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F3C4" w14:textId="77777777" w:rsidR="00150C2C" w:rsidRDefault="004B464B" w:rsidP="00C32F4F">
      <w:pPr>
        <w:pStyle w:val="JudiktNadpishlavn"/>
      </w:pPr>
      <w:r>
        <w:t xml:space="preserve">Anotace </w:t>
      </w:r>
      <w:r w:rsidRPr="00201088">
        <w:t>rozhodnutí</w:t>
      </w:r>
      <w:r>
        <w:t xml:space="preserve"> Evropského soudu pro lidská práva</w:t>
      </w:r>
    </w:p>
    <w:p w14:paraId="53798C52" w14:textId="5AC75F4A" w:rsidR="00CA2926" w:rsidRPr="00CA2926" w:rsidRDefault="00CA2926" w:rsidP="00CA2926">
      <w:pPr>
        <w:pStyle w:val="Judiktnadpis"/>
      </w:pPr>
      <w:r w:rsidRPr="00CA2926">
        <w:t xml:space="preserve">Rozsudek ze dne </w:t>
      </w:r>
      <w:r w:rsidR="004F426C">
        <w:t xml:space="preserve">15. září </w:t>
      </w:r>
      <w:r w:rsidRPr="00CA2926">
        <w:t>2020 ve věci č. </w:t>
      </w:r>
      <w:r w:rsidR="004F426C">
        <w:t>21218/12</w:t>
      </w:r>
      <w:r w:rsidRPr="00CA2926">
        <w:t xml:space="preserve"> – </w:t>
      </w:r>
      <w:proofErr w:type="spellStart"/>
      <w:r w:rsidR="005A5D9A" w:rsidRPr="005A5D9A">
        <w:rPr>
          <w:rStyle w:val="Judiktnadpisnzevstnostikurzvou"/>
        </w:rPr>
        <w:t>Čivinskaitė</w:t>
      </w:r>
      <w:proofErr w:type="spellEnd"/>
      <w:r w:rsidR="005A5D9A">
        <w:rPr>
          <w:rStyle w:val="Judiktnadpisnzevstnostikurzvou"/>
        </w:rPr>
        <w:t xml:space="preserve"> proti Litvě</w:t>
      </w:r>
    </w:p>
    <w:p w14:paraId="710D69F5" w14:textId="4E47C817" w:rsidR="00C74BFB" w:rsidRDefault="00CA2926" w:rsidP="00CA2926">
      <w:pPr>
        <w:pStyle w:val="Judiktpopis"/>
      </w:pPr>
      <w:r w:rsidRPr="00CA2926">
        <w:t xml:space="preserve">Senát </w:t>
      </w:r>
      <w:r w:rsidR="004F426C">
        <w:t xml:space="preserve">druhé </w:t>
      </w:r>
      <w:r w:rsidRPr="00CA2926">
        <w:t xml:space="preserve">sekce Soudu </w:t>
      </w:r>
      <w:r w:rsidR="008935AF">
        <w:t xml:space="preserve">šesti hlasy proti jednomu rozhodl, </w:t>
      </w:r>
      <w:r w:rsidR="008935AF" w:rsidRPr="00CC6842">
        <w:t>že</w:t>
      </w:r>
      <w:r w:rsidR="008935AF">
        <w:t xml:space="preserve"> </w:t>
      </w:r>
      <w:r w:rsidR="006734D6">
        <w:t xml:space="preserve">v kárném </w:t>
      </w:r>
      <w:r w:rsidR="008935AF">
        <w:t xml:space="preserve">řízení proti státní zástupkyni, které skončilo jejím </w:t>
      </w:r>
      <w:r w:rsidR="0040140B">
        <w:t xml:space="preserve">odvoláním </w:t>
      </w:r>
      <w:r w:rsidR="008935AF">
        <w:t xml:space="preserve">z funkce z důvodu pochybení při dohledu nad </w:t>
      </w:r>
      <w:r w:rsidR="00C74BFB">
        <w:t xml:space="preserve">vyšetřováním </w:t>
      </w:r>
      <w:r w:rsidR="00E05E02">
        <w:t xml:space="preserve">případu </w:t>
      </w:r>
      <w:r w:rsidR="00C74BFB">
        <w:t xml:space="preserve">sexuálního zneužívání dítěte, nebylo porušeno právo na spravedlivý proces dle čl. 6 odst. 1 Úmluvy. Dle Soudu nebyl důvod pochybovat o nezávislosti a nestrannosti soudního rozhodování, které bylo doprovázeno politickými prohlášeními a mediálním zpravodajstvím. </w:t>
      </w:r>
    </w:p>
    <w:p w14:paraId="6888BD90" w14:textId="77777777" w:rsidR="00CA2926" w:rsidRPr="00CA2926" w:rsidRDefault="00CA2926" w:rsidP="00CA2926">
      <w:pPr>
        <w:pStyle w:val="Judiktnadpissti"/>
      </w:pPr>
      <w:r w:rsidRPr="00CA2926">
        <w:t>I.</w:t>
      </w:r>
      <w:r w:rsidRPr="00CA2926">
        <w:tab/>
        <w:t>Skutkové okolnosti</w:t>
      </w:r>
    </w:p>
    <w:p w14:paraId="676CE720" w14:textId="72822811" w:rsidR="00A00FF8" w:rsidRDefault="00A00FF8" w:rsidP="00CA2926">
      <w:pPr>
        <w:pStyle w:val="Judikttext"/>
      </w:pPr>
      <w:r>
        <w:t xml:space="preserve">Vnitrostátní řízení, které vedlo k podání předmětné stížnosti, vycházelo ze skutečností popsaných ve věci </w:t>
      </w:r>
      <w:proofErr w:type="spellStart"/>
      <w:r w:rsidRPr="00A00FF8">
        <w:rPr>
          <w:rStyle w:val="Judikttextkurzvou"/>
        </w:rPr>
        <w:t>Stankūnaitė</w:t>
      </w:r>
      <w:proofErr w:type="spellEnd"/>
      <w:r w:rsidRPr="00A00FF8">
        <w:rPr>
          <w:rStyle w:val="Judikttextkurzvou"/>
        </w:rPr>
        <w:t xml:space="preserve"> proti Litvě</w:t>
      </w:r>
      <w:r>
        <w:t xml:space="preserve"> (</w:t>
      </w:r>
      <w:r w:rsidRPr="00A00FF8">
        <w:t xml:space="preserve">č. 67068/11, </w:t>
      </w:r>
      <w:r>
        <w:t xml:space="preserve">rozsudek ze dne 29. října 2019, </w:t>
      </w:r>
      <w:r w:rsidRPr="00A00FF8">
        <w:t>§ 7–9, 18–29 a 109</w:t>
      </w:r>
      <w:r>
        <w:t>)</w:t>
      </w:r>
      <w:r w:rsidRPr="00A00FF8">
        <w:t>.</w:t>
      </w:r>
    </w:p>
    <w:p w14:paraId="4BDBBE16" w14:textId="1734C073" w:rsidR="00A17120" w:rsidRDefault="00583F24" w:rsidP="00CA2926">
      <w:pPr>
        <w:pStyle w:val="Judikttext"/>
      </w:pPr>
      <w:r>
        <w:t xml:space="preserve">V </w:t>
      </w:r>
      <w:r w:rsidR="00C329A7">
        <w:t xml:space="preserve">listopadu </w:t>
      </w:r>
      <w:r>
        <w:t xml:space="preserve">2008 D. K. podal trestní oznámení z důvodu </w:t>
      </w:r>
      <w:r w:rsidR="00C74BFB">
        <w:t xml:space="preserve">údajného </w:t>
      </w:r>
      <w:r>
        <w:t xml:space="preserve">sexuálního zneužívání nezletilé dcery. </w:t>
      </w:r>
      <w:r w:rsidR="00670DA6">
        <w:t>Prezident</w:t>
      </w:r>
      <w:r w:rsidR="00DF0ADB">
        <w:t>ka</w:t>
      </w:r>
      <w:r w:rsidR="00670DA6">
        <w:t xml:space="preserve"> a vysoce postavení politici </w:t>
      </w:r>
      <w:r w:rsidR="00E073A5">
        <w:t>veřejně kritizovali způsob vyšetřování</w:t>
      </w:r>
      <w:r w:rsidR="00CB36D6">
        <w:t xml:space="preserve"> a za </w:t>
      </w:r>
      <w:r w:rsidR="00E073A5">
        <w:t xml:space="preserve">jeho nedostatky požadovali tvrdé </w:t>
      </w:r>
      <w:r w:rsidR="0040140B">
        <w:t xml:space="preserve">postihy </w:t>
      </w:r>
      <w:r w:rsidR="00E073A5">
        <w:t xml:space="preserve">odpovědných osob. </w:t>
      </w:r>
      <w:r w:rsidR="00D04214">
        <w:t xml:space="preserve">Nejvyšší státní zástupce </w:t>
      </w:r>
      <w:r w:rsidR="00037C01">
        <w:t>shledal</w:t>
      </w:r>
      <w:r w:rsidR="00FB746F">
        <w:t xml:space="preserve"> </w:t>
      </w:r>
      <w:r w:rsidR="00CB36D6">
        <w:t xml:space="preserve">pochybení </w:t>
      </w:r>
      <w:r w:rsidR="00DC6DC6">
        <w:t xml:space="preserve">mj. </w:t>
      </w:r>
      <w:r w:rsidR="00CB36D6">
        <w:t xml:space="preserve">pracovníků </w:t>
      </w:r>
      <w:r w:rsidR="00FB746F">
        <w:t xml:space="preserve">státního zastupitelství </w:t>
      </w:r>
      <w:r w:rsidR="00CB36D6">
        <w:t xml:space="preserve">ve městě </w:t>
      </w:r>
      <w:r w:rsidR="00FB746F">
        <w:t xml:space="preserve">Kaunas, kde </w:t>
      </w:r>
      <w:r w:rsidR="00CB36D6">
        <w:t>stěžovatelka</w:t>
      </w:r>
      <w:r w:rsidR="001E2A0D">
        <w:t xml:space="preserve"> </w:t>
      </w:r>
      <w:r w:rsidR="00CB36D6">
        <w:t>působila jako zástupkyně vedoucího státního zástupce.</w:t>
      </w:r>
      <w:r w:rsidR="001E2A0D">
        <w:t xml:space="preserve"> Na základě kárného řízení byla stěžovatelka v </w:t>
      </w:r>
      <w:r w:rsidR="00C329A7">
        <w:t xml:space="preserve">říjnu </w:t>
      </w:r>
      <w:r w:rsidR="001E2A0D">
        <w:t xml:space="preserve">2009 </w:t>
      </w:r>
      <w:r w:rsidR="0040140B">
        <w:t xml:space="preserve">odvolána </w:t>
      </w:r>
      <w:r w:rsidR="00C01AC2">
        <w:t>z funkce.</w:t>
      </w:r>
      <w:r w:rsidR="001E2A0D">
        <w:t xml:space="preserve"> Parlamentní vyšetřovací komise ve zprávě z</w:t>
      </w:r>
      <w:r w:rsidR="00C329A7">
        <w:t xml:space="preserve"> ledna 2</w:t>
      </w:r>
      <w:r w:rsidR="001E2A0D">
        <w:t xml:space="preserve">010 </w:t>
      </w:r>
      <w:r w:rsidR="00DE7A1B">
        <w:t xml:space="preserve">uvedla, že </w:t>
      </w:r>
      <w:r w:rsidR="001E2A0D">
        <w:t>státní zastupitelství v Kaunas</w:t>
      </w:r>
      <w:r w:rsidR="0040140B">
        <w:t>u</w:t>
      </w:r>
      <w:r w:rsidR="00C329A7">
        <w:t xml:space="preserve"> při vyšetřování </w:t>
      </w:r>
      <w:r w:rsidR="00183B5B" w:rsidRPr="00183B5B">
        <w:t>„</w:t>
      </w:r>
      <w:r w:rsidR="00183B5B">
        <w:t>zjevně prokrastinovalo</w:t>
      </w:r>
      <w:r w:rsidR="00183B5B" w:rsidRPr="00183B5B">
        <w:t>“</w:t>
      </w:r>
      <w:r w:rsidR="00C329A7">
        <w:t>.</w:t>
      </w:r>
      <w:r w:rsidR="00D04214">
        <w:t xml:space="preserve"> </w:t>
      </w:r>
      <w:r w:rsidR="00DC6DC6">
        <w:t xml:space="preserve">Správní soudy žalobu stěžovatelky zamítly, aniž se </w:t>
      </w:r>
      <w:r w:rsidR="00D04214">
        <w:t xml:space="preserve">výslovně zabývaly jejími </w:t>
      </w:r>
      <w:r w:rsidR="00DC6DC6">
        <w:t>námitkami na zásahy politiků a médií do kárného řízení</w:t>
      </w:r>
      <w:r w:rsidR="00A17120">
        <w:t xml:space="preserve">. </w:t>
      </w:r>
      <w:r w:rsidR="001F7EC7">
        <w:t xml:space="preserve">Dle soudů bylo </w:t>
      </w:r>
      <w:r w:rsidR="0040140B">
        <w:t xml:space="preserve">odvolání </w:t>
      </w:r>
      <w:r w:rsidR="001F7EC7">
        <w:t xml:space="preserve">z funkce přiměřené shledanému provinění stěžovatelky, která pochybila při výkonu dozoru nad vyšetřováním. </w:t>
      </w:r>
    </w:p>
    <w:p w14:paraId="482E2C57" w14:textId="77777777" w:rsidR="00CA2926" w:rsidRPr="00CA2926" w:rsidRDefault="00CA2926" w:rsidP="00CA2926">
      <w:pPr>
        <w:pStyle w:val="Judiktnadpissti"/>
      </w:pPr>
      <w:r w:rsidRPr="00CA2926">
        <w:t>II.</w:t>
      </w:r>
      <w:r w:rsidRPr="00CA2926">
        <w:tab/>
        <w:t>Odůvodnění rozhodnutí Soudu</w:t>
      </w:r>
    </w:p>
    <w:p w14:paraId="2E67DC4D" w14:textId="6FEDEF9B" w:rsidR="00CA2926" w:rsidRPr="00CA2926" w:rsidRDefault="00CA2926" w:rsidP="00CA2926">
      <w:pPr>
        <w:pStyle w:val="Judiktnadpispodsti"/>
      </w:pPr>
      <w:r w:rsidRPr="00CA2926">
        <w:t xml:space="preserve">K tvrzenému porušení článku </w:t>
      </w:r>
      <w:r w:rsidR="00037C01">
        <w:t xml:space="preserve">6 odst. 1 </w:t>
      </w:r>
      <w:r w:rsidRPr="00CA2926">
        <w:t>Úmluvy</w:t>
      </w:r>
    </w:p>
    <w:p w14:paraId="2021F3E2" w14:textId="56EC6BD8" w:rsidR="00C01AC2" w:rsidRDefault="00CA2926" w:rsidP="00CA2926">
      <w:pPr>
        <w:pStyle w:val="Judikttext"/>
      </w:pPr>
      <w:r w:rsidRPr="00CA2926">
        <w:t xml:space="preserve">Stěžovatelka </w:t>
      </w:r>
      <w:r w:rsidR="00847F88">
        <w:t>s poukazem na čl</w:t>
      </w:r>
      <w:r w:rsidR="00822BA8">
        <w:t xml:space="preserve">. 6 odst. 1 a 2 Úmluvy namítala, že </w:t>
      </w:r>
      <w:r w:rsidR="00C01AC2">
        <w:t xml:space="preserve">kárné řízení vedené proti ní nebylo nezávislé a nestranné z důvodu </w:t>
      </w:r>
      <w:r w:rsidR="00DD72CD">
        <w:t xml:space="preserve">zjištění parlamentní vyšetřovací komise a </w:t>
      </w:r>
      <w:r w:rsidR="00C01AC2">
        <w:t xml:space="preserve">vlivu politiků a médií. </w:t>
      </w:r>
    </w:p>
    <w:p w14:paraId="13E358B8" w14:textId="3774CCCA" w:rsidR="00B5044D" w:rsidRDefault="00490E32" w:rsidP="00AE40C2">
      <w:pPr>
        <w:pStyle w:val="Judikttext"/>
      </w:pPr>
      <w:r>
        <w:t>Z judikatury Soudu (</w:t>
      </w:r>
      <w:proofErr w:type="spellStart"/>
      <w:r w:rsidRPr="001A70BF">
        <w:rPr>
          <w:rStyle w:val="Judikttextkurzvou"/>
        </w:rPr>
        <w:t>Baka</w:t>
      </w:r>
      <w:proofErr w:type="spellEnd"/>
      <w:r w:rsidRPr="001A70BF">
        <w:rPr>
          <w:rStyle w:val="Judikttextkurzvou"/>
        </w:rPr>
        <w:t xml:space="preserve"> proti Maďarsku,</w:t>
      </w:r>
      <w:r>
        <w:t xml:space="preserve"> č. 20261/12, rozsudek v</w:t>
      </w:r>
      <w:r w:rsidR="001A70BF">
        <w:t>elkého senátu ze dne 23. června</w:t>
      </w:r>
      <w:r w:rsidR="00DD72CD">
        <w:t xml:space="preserve"> 2016</w:t>
      </w:r>
      <w:r w:rsidR="001A70BF">
        <w:t xml:space="preserve">, § 105) plyne, že článek 6 Úmluvy je ve své </w:t>
      </w:r>
      <w:r w:rsidR="0040140B">
        <w:t xml:space="preserve">občanskoprávní složce použitelný </w:t>
      </w:r>
      <w:r w:rsidR="001A70BF">
        <w:t xml:space="preserve">na kárné řízení. </w:t>
      </w:r>
      <w:r w:rsidR="00C30DDE">
        <w:t>Vzhledem k tomu, že n</w:t>
      </w:r>
      <w:r w:rsidR="001A70BF">
        <w:t xml:space="preserve">ejtvrdším trestem za </w:t>
      </w:r>
      <w:r w:rsidR="000963AB">
        <w:t xml:space="preserve">kárné provinění bylo </w:t>
      </w:r>
      <w:r w:rsidR="001A70BF">
        <w:t>propuštění ze zaměstnání</w:t>
      </w:r>
      <w:r w:rsidR="0040140B">
        <w:t xml:space="preserve"> </w:t>
      </w:r>
      <w:r w:rsidR="00C30DDE">
        <w:t xml:space="preserve">a trestní řízení </w:t>
      </w:r>
      <w:r w:rsidR="0040140B">
        <w:t>neproběhlo</w:t>
      </w:r>
      <w:r w:rsidR="00C30DDE">
        <w:t xml:space="preserve">, je námitka </w:t>
      </w:r>
      <w:r w:rsidR="002E77C5">
        <w:t xml:space="preserve">porušení čl. </w:t>
      </w:r>
      <w:r w:rsidR="001A70BF">
        <w:t>6 odst. 2 Úmluvy neslučiteln</w:t>
      </w:r>
      <w:r w:rsidR="002E77C5">
        <w:t>á</w:t>
      </w:r>
      <w:r w:rsidR="001A70BF">
        <w:t xml:space="preserve"> </w:t>
      </w:r>
      <w:proofErr w:type="spellStart"/>
      <w:r w:rsidR="001A70BF" w:rsidRPr="001A70BF">
        <w:rPr>
          <w:rStyle w:val="Judikttextkurzvou"/>
        </w:rPr>
        <w:t>ratione</w:t>
      </w:r>
      <w:proofErr w:type="spellEnd"/>
      <w:r w:rsidR="001A70BF" w:rsidRPr="001A70BF">
        <w:rPr>
          <w:rStyle w:val="Judikttextkurzvou"/>
        </w:rPr>
        <w:t xml:space="preserve"> </w:t>
      </w:r>
      <w:proofErr w:type="spellStart"/>
      <w:r w:rsidR="001A70BF" w:rsidRPr="001A70BF">
        <w:rPr>
          <w:rStyle w:val="Judikttextkurzvou"/>
        </w:rPr>
        <w:t>materiae</w:t>
      </w:r>
      <w:proofErr w:type="spellEnd"/>
      <w:r w:rsidR="001A70BF">
        <w:t xml:space="preserve"> s ustanoveními Úmluvy</w:t>
      </w:r>
      <w:r w:rsidR="00DD72CD">
        <w:t xml:space="preserve">. </w:t>
      </w:r>
      <w:r w:rsidR="00AE40C2">
        <w:t xml:space="preserve">Soud se </w:t>
      </w:r>
      <w:r w:rsidR="000963AB">
        <w:t xml:space="preserve">současně </w:t>
      </w:r>
      <w:r w:rsidR="00AE40C2">
        <w:t xml:space="preserve">omezil na přezkum spravedlivosti řízení před správními soudy, jelikož </w:t>
      </w:r>
      <w:r w:rsidR="00AE40C2" w:rsidRPr="00AE40C2">
        <w:t xml:space="preserve">pokud správní orgán rozhoduje spory o občanských právech nebo závazcích, aniž sám </w:t>
      </w:r>
      <w:r w:rsidR="0040140B" w:rsidRPr="00AE40C2">
        <w:t>splň</w:t>
      </w:r>
      <w:r w:rsidR="0040140B">
        <w:t>uje</w:t>
      </w:r>
      <w:r w:rsidR="0040140B" w:rsidRPr="00AE40C2">
        <w:t xml:space="preserve"> </w:t>
      </w:r>
      <w:r w:rsidR="00AE40C2" w:rsidRPr="00AE40C2">
        <w:t>záruky daného ustanovení, neznamená to nutně jeho porušení za předpokladu, že rozhodnutí správního orgánu podléhají následné kontrole ze strany soudního orgánu, který je nadán úplnou přezkumnou pravomocí a nabízí veškeré záruky spravedlivého procesu (</w:t>
      </w:r>
      <w:proofErr w:type="spellStart"/>
      <w:r w:rsidR="00AE40C2" w:rsidRPr="00AE40C2">
        <w:rPr>
          <w:rStyle w:val="Judikttextkurzvou"/>
        </w:rPr>
        <w:t>Ramos</w:t>
      </w:r>
      <w:proofErr w:type="spellEnd"/>
      <w:r w:rsidR="00AE40C2" w:rsidRPr="00AE40C2">
        <w:rPr>
          <w:rStyle w:val="Judikttextkurzvou"/>
        </w:rPr>
        <w:t xml:space="preserve"> </w:t>
      </w:r>
      <w:proofErr w:type="spellStart"/>
      <w:r w:rsidR="00AE40C2" w:rsidRPr="00AE40C2">
        <w:rPr>
          <w:rStyle w:val="Judikttextkurzvou"/>
        </w:rPr>
        <w:t>Nunes</w:t>
      </w:r>
      <w:proofErr w:type="spellEnd"/>
      <w:r w:rsidR="00AE40C2" w:rsidRPr="00AE40C2">
        <w:rPr>
          <w:rStyle w:val="Judikttextkurzvou"/>
        </w:rPr>
        <w:t xml:space="preserve"> de </w:t>
      </w:r>
      <w:proofErr w:type="spellStart"/>
      <w:r w:rsidR="00AE40C2" w:rsidRPr="00AE40C2">
        <w:rPr>
          <w:rStyle w:val="Judikttextkurzvou"/>
        </w:rPr>
        <w:t>Carvalho</w:t>
      </w:r>
      <w:proofErr w:type="spellEnd"/>
      <w:r w:rsidR="00AE40C2" w:rsidRPr="00AE40C2">
        <w:rPr>
          <w:rStyle w:val="Judikttextkurzvou"/>
        </w:rPr>
        <w:t xml:space="preserve"> e </w:t>
      </w:r>
      <w:proofErr w:type="spellStart"/>
      <w:r w:rsidR="00AE40C2" w:rsidRPr="00AE40C2">
        <w:rPr>
          <w:rStyle w:val="Judikttextkurzvou"/>
        </w:rPr>
        <w:t>Sá</w:t>
      </w:r>
      <w:proofErr w:type="spellEnd"/>
      <w:r w:rsidR="00AE40C2" w:rsidRPr="00AE40C2">
        <w:rPr>
          <w:rStyle w:val="Judikttextkurzvou"/>
        </w:rPr>
        <w:t xml:space="preserve"> proti Portugalsku,</w:t>
      </w:r>
      <w:r w:rsidR="002E77C5">
        <w:t xml:space="preserve"> č. </w:t>
      </w:r>
      <w:r w:rsidR="00AE40C2" w:rsidRPr="00AE40C2">
        <w:t>55391/13 a dvě další, rozsudek velkého senátu z 6. listopadu 2018, § 1</w:t>
      </w:r>
      <w:r w:rsidR="00AE40C2">
        <w:t xml:space="preserve">32). </w:t>
      </w:r>
    </w:p>
    <w:p w14:paraId="2D624351" w14:textId="16E13322" w:rsidR="00EB765F" w:rsidRPr="00EB765F" w:rsidRDefault="00EB765F" w:rsidP="00EB765F">
      <w:pPr>
        <w:pStyle w:val="Judiktnadpisoddlu"/>
      </w:pPr>
      <w:r w:rsidRPr="00EB765F">
        <w:t>a)</w:t>
      </w:r>
      <w:r w:rsidRPr="00EB765F">
        <w:tab/>
      </w:r>
      <w:r w:rsidR="00272651">
        <w:t xml:space="preserve">K přístupu Soudu </w:t>
      </w:r>
      <w:r w:rsidR="00B5044D">
        <w:t xml:space="preserve">v </w:t>
      </w:r>
      <w:r w:rsidR="0040140B">
        <w:t>projednávané věci</w:t>
      </w:r>
    </w:p>
    <w:p w14:paraId="68BA6F63" w14:textId="58735958" w:rsidR="00BC2747" w:rsidRDefault="00EB765F" w:rsidP="00CA2926">
      <w:pPr>
        <w:pStyle w:val="Judikttext"/>
      </w:pPr>
      <w:r w:rsidRPr="00EB765F">
        <w:t>Soud připomněl, že</w:t>
      </w:r>
      <w:r w:rsidR="00BC2747">
        <w:t xml:space="preserve"> veřejné výroky vysoce postavených politiků </w:t>
      </w:r>
      <w:r w:rsidR="00A43725">
        <w:t>mohou být s ohledem na jejich obsah a způsob podání neslučitelné s konceptem nezávislého a nestranného soudu ve smyslu čl. 6 odst. 1 Úmluvy (</w:t>
      </w:r>
      <w:proofErr w:type="spellStart"/>
      <w:r w:rsidR="00A43725" w:rsidRPr="00CD1EC7">
        <w:rPr>
          <w:rStyle w:val="Judikttextkurzvou"/>
        </w:rPr>
        <w:t>Sovtrans</w:t>
      </w:r>
      <w:r w:rsidR="00CD1EC7" w:rsidRPr="00CD1EC7">
        <w:rPr>
          <w:rStyle w:val="Judikttextkurzvou"/>
        </w:rPr>
        <w:t>avto</w:t>
      </w:r>
      <w:proofErr w:type="spellEnd"/>
      <w:r w:rsidR="00CD1EC7" w:rsidRPr="00CD1EC7">
        <w:rPr>
          <w:rStyle w:val="Judikttextkurzvou"/>
        </w:rPr>
        <w:t xml:space="preserve"> Holding proti Ukrajině, </w:t>
      </w:r>
      <w:r w:rsidR="00CD1EC7">
        <w:t>č. 48553/99, rozsudek ze dne 25. července 2002, § 80</w:t>
      </w:r>
      <w:r w:rsidR="0040140B">
        <w:t>;</w:t>
      </w:r>
      <w:r w:rsidR="00CD1EC7">
        <w:t xml:space="preserve"> </w:t>
      </w:r>
      <w:r w:rsidR="00CD1EC7" w:rsidRPr="00CD1EC7">
        <w:rPr>
          <w:rStyle w:val="Judikttextkurzvou"/>
        </w:rPr>
        <w:t>Kinský proti České republice,</w:t>
      </w:r>
      <w:r w:rsidR="00CD1EC7">
        <w:t xml:space="preserve"> č. 42856/06, rozsudek ze dne 9. února 2012, § 94). V sázce nebyl skutečný důkaz vlivu nebo tlaku na soudce, ale podstatné bylo zdání nestrannosti (</w:t>
      </w:r>
      <w:proofErr w:type="spellStart"/>
      <w:r w:rsidR="00CD1EC7" w:rsidRPr="00CD1EC7">
        <w:rPr>
          <w:rStyle w:val="Judikttextkurzvou"/>
        </w:rPr>
        <w:t>mutatis</w:t>
      </w:r>
      <w:proofErr w:type="spellEnd"/>
      <w:r w:rsidR="00CD1EC7" w:rsidRPr="00CD1EC7">
        <w:rPr>
          <w:rStyle w:val="Judikttextkurzvou"/>
        </w:rPr>
        <w:t xml:space="preserve"> </w:t>
      </w:r>
      <w:proofErr w:type="spellStart"/>
      <w:r w:rsidR="00CD1EC7" w:rsidRPr="00CD1EC7">
        <w:rPr>
          <w:rStyle w:val="Judikttextkurzvou"/>
        </w:rPr>
        <w:t>mutandis</w:t>
      </w:r>
      <w:proofErr w:type="spellEnd"/>
      <w:r w:rsidR="00CD1EC7" w:rsidRPr="00CD1EC7">
        <w:rPr>
          <w:rStyle w:val="Judikttextkurzvou"/>
        </w:rPr>
        <w:t>,</w:t>
      </w:r>
      <w:r w:rsidR="00CD1EC7">
        <w:t xml:space="preserve"> </w:t>
      </w:r>
      <w:r w:rsidR="00A74136">
        <w:t>tamtéž, § </w:t>
      </w:r>
      <w:r w:rsidR="00B92930">
        <w:t>98).</w:t>
      </w:r>
      <w:r w:rsidR="00A74136">
        <w:t xml:space="preserve"> </w:t>
      </w:r>
    </w:p>
    <w:p w14:paraId="08E19985" w14:textId="7CCEBB61" w:rsidR="00A74136" w:rsidRDefault="00A74136" w:rsidP="00BD3D12">
      <w:pPr>
        <w:pStyle w:val="Judikttext"/>
      </w:pPr>
      <w:r>
        <w:t xml:space="preserve">Dosud Soud při zkoumání dopadů výroků veřejných činitelů na nezávislost a nestrannost soudů v občanskoprávních řízeních shledal porušení čl. 6 odst. 1 Úmluvy v případech opakovaných zásahů státních </w:t>
      </w:r>
      <w:r>
        <w:lastRenderedPageBreak/>
        <w:t xml:space="preserve">orgánů na nejvyšší </w:t>
      </w:r>
      <w:r w:rsidR="004D795F">
        <w:t>úrovni (</w:t>
      </w:r>
      <w:proofErr w:type="spellStart"/>
      <w:r w:rsidRPr="004D795F">
        <w:rPr>
          <w:rStyle w:val="Judikttextkurzvou"/>
        </w:rPr>
        <w:t>Sovtransavto</w:t>
      </w:r>
      <w:proofErr w:type="spellEnd"/>
      <w:r w:rsidRPr="004D795F">
        <w:rPr>
          <w:rStyle w:val="Judikttextkurzvou"/>
        </w:rPr>
        <w:t xml:space="preserve"> Holding</w:t>
      </w:r>
      <w:r w:rsidR="004D795F" w:rsidRPr="004D795F">
        <w:rPr>
          <w:rStyle w:val="Judikttextkurzvou"/>
        </w:rPr>
        <w:t xml:space="preserve"> proti Ukrajině,</w:t>
      </w:r>
      <w:r w:rsidR="004D795F">
        <w:t xml:space="preserve"> cit. výše, </w:t>
      </w:r>
      <w:r w:rsidRPr="00A74136">
        <w:t>§ 80)</w:t>
      </w:r>
      <w:r w:rsidR="0040140B">
        <w:t xml:space="preserve"> nebo</w:t>
      </w:r>
      <w:r w:rsidR="004D795F">
        <w:t xml:space="preserve"> v </w:t>
      </w:r>
      <w:r w:rsidR="00BD3D12">
        <w:t xml:space="preserve">situaci, kdy několik politiků učinilo </w:t>
      </w:r>
      <w:r w:rsidR="004D795F">
        <w:t xml:space="preserve">důrazná negativní prohlášení </w:t>
      </w:r>
      <w:r w:rsidRPr="00A74136">
        <w:t xml:space="preserve">ohledně rozhodnutí v </w:t>
      </w:r>
      <w:r w:rsidR="00BD3D12">
        <w:t>případech</w:t>
      </w:r>
      <w:r w:rsidR="0040140B">
        <w:t>,</w:t>
      </w:r>
      <w:r w:rsidR="00BD3D12">
        <w:t xml:space="preserve"> jako je ten </w:t>
      </w:r>
      <w:r w:rsidR="0040140B">
        <w:t>projednávaný,</w:t>
      </w:r>
      <w:r w:rsidR="00BD3D12">
        <w:t xml:space="preserve"> </w:t>
      </w:r>
      <w:r w:rsidR="004D795F">
        <w:t>a jednoznačně vyjádřilo názor, že rozhodnutí soudů potvrzující tvrzení</w:t>
      </w:r>
      <w:r w:rsidR="00BD3D12">
        <w:t xml:space="preserve"> stěžovatele byla </w:t>
      </w:r>
      <w:r w:rsidRPr="00A74136">
        <w:t>nesprávná a nežádoucí</w:t>
      </w:r>
      <w:r w:rsidR="0040140B">
        <w:t>,</w:t>
      </w:r>
      <w:r w:rsidRPr="00A74136">
        <w:t xml:space="preserve"> a tato prohlášení byla přímo zaměřena na soudce (</w:t>
      </w:r>
      <w:r w:rsidR="00BD3D12" w:rsidRPr="00BD3D12">
        <w:rPr>
          <w:rStyle w:val="Judikttextkurzvou"/>
        </w:rPr>
        <w:t xml:space="preserve">Kinský proti České republice, </w:t>
      </w:r>
      <w:r w:rsidR="00BD3D12">
        <w:t xml:space="preserve">cit. výše, </w:t>
      </w:r>
      <w:r w:rsidRPr="00A74136">
        <w:t xml:space="preserve">§ 91–93). Soud má za to, že odůvodnění rozsudků </w:t>
      </w:r>
      <w:r w:rsidR="00BD3D12">
        <w:t xml:space="preserve">v </w:t>
      </w:r>
      <w:r w:rsidR="0040140B">
        <w:t xml:space="preserve">projednávané </w:t>
      </w:r>
      <w:r w:rsidR="00BD3D12">
        <w:t xml:space="preserve">věci je </w:t>
      </w:r>
      <w:r w:rsidRPr="00A74136">
        <w:t>relevantní a mělo by být náležitě zohledněno při posuzování prohlášení učiněných veřejnými činiteli.</w:t>
      </w:r>
    </w:p>
    <w:p w14:paraId="7B18A3EE" w14:textId="1DE3347A" w:rsidR="004D3E8D" w:rsidRDefault="009A1665" w:rsidP="00BD3D12">
      <w:pPr>
        <w:pStyle w:val="Judikttext"/>
      </w:pPr>
      <w:r>
        <w:t xml:space="preserve">V předchozích případech, i když v rámci trestního řízení, Soud rozhodl, že v určitých situacích může </w:t>
      </w:r>
      <w:r w:rsidR="00E61CE2">
        <w:t xml:space="preserve">nepřátelská </w:t>
      </w:r>
      <w:r>
        <w:t xml:space="preserve">mediální kampaň </w:t>
      </w:r>
      <w:r w:rsidR="00DD5473">
        <w:t>nepříznivě ovlivnit spravedlivost soudního řízení a založit odpovědnost státu, mj. s ohledem na nestrannost soudů (</w:t>
      </w:r>
      <w:proofErr w:type="spellStart"/>
      <w:r w:rsidR="00DD5473" w:rsidRPr="00DD5473">
        <w:rPr>
          <w:rStyle w:val="Judikttextkurzvou"/>
        </w:rPr>
        <w:t>Paulikas</w:t>
      </w:r>
      <w:proofErr w:type="spellEnd"/>
      <w:r w:rsidR="00DD5473" w:rsidRPr="00DD5473">
        <w:rPr>
          <w:rStyle w:val="Judikttextkurzvou"/>
        </w:rPr>
        <w:t xml:space="preserve"> proti Litvě, </w:t>
      </w:r>
      <w:r w:rsidR="00F67AB7">
        <w:t>č. </w:t>
      </w:r>
      <w:r w:rsidR="00DD5473">
        <w:t>57435/09, rozsudek ze dne 24. ledna 2017, § 57).</w:t>
      </w:r>
      <w:r w:rsidR="004D3E8D">
        <w:t xml:space="preserve"> Státy mají větší volnost při řešení případů týkajících se občanských práv a povinností než při řešení trestních případů, nicméně Soud považuje za nezbytné při přezkumu občanskoprávních řízení čerpat inspiraci z přístupu k trestněprávním věcem (</w:t>
      </w:r>
      <w:proofErr w:type="spellStart"/>
      <w:r w:rsidR="004D3E8D" w:rsidRPr="004D3E8D">
        <w:rPr>
          <w:rStyle w:val="Judikttextkurzvou"/>
        </w:rPr>
        <w:t>Hodžić</w:t>
      </w:r>
      <w:proofErr w:type="spellEnd"/>
      <w:r w:rsidR="004D3E8D" w:rsidRPr="004D3E8D">
        <w:rPr>
          <w:rStyle w:val="Judikttextkurzvou"/>
        </w:rPr>
        <w:t xml:space="preserve"> proti Chorvatsku,</w:t>
      </w:r>
      <w:r w:rsidR="004D3E8D">
        <w:t xml:space="preserve"> č. </w:t>
      </w:r>
      <w:r w:rsidR="004D3E8D" w:rsidRPr="004D3E8D">
        <w:t xml:space="preserve">28932/14, </w:t>
      </w:r>
      <w:r w:rsidR="004D3E8D">
        <w:t xml:space="preserve">rozsudek ze dne 4. dubna 2019, </w:t>
      </w:r>
      <w:r w:rsidR="004D3E8D" w:rsidRPr="004D3E8D">
        <w:rPr>
          <w:rFonts w:cs="Calibri"/>
        </w:rPr>
        <w:t>§</w:t>
      </w:r>
      <w:r w:rsidR="004D3E8D" w:rsidRPr="004D3E8D">
        <w:t xml:space="preserve"> 67).</w:t>
      </w:r>
    </w:p>
    <w:p w14:paraId="6AAC9A69" w14:textId="7F1435EF" w:rsidR="002A7191" w:rsidRDefault="002A7191" w:rsidP="00BD3D12">
      <w:pPr>
        <w:pStyle w:val="Judikttext"/>
      </w:pPr>
      <w:r>
        <w:t xml:space="preserve">S přihlédnutím k uvedeným úvahám Soud zdůraznil, že řízení může být spravedlivé navzdory intenzivní nepříznivé publicitě. V demokratické společnosti významné případy nevyhnutelně přitahují mediální pozornost, což neznamená, že </w:t>
      </w:r>
      <w:r w:rsidR="00007190">
        <w:t>jakýkoli mediální komentář poškozuje právo na spravedlivý proces. Soud v takových případech zkoumá, zda existovaly dostatečné záruky k zajištění uvedeného práva, a vyžaduje přesvědčivé důkazy, že obavy z nestrannosti soudců jsou objektivně oprávněné (</w:t>
      </w:r>
      <w:proofErr w:type="spellStart"/>
      <w:r w:rsidR="00007190" w:rsidRPr="00173DD6">
        <w:rPr>
          <w:rStyle w:val="Judikttextkurzvou"/>
        </w:rPr>
        <w:t>Paulikas</w:t>
      </w:r>
      <w:proofErr w:type="spellEnd"/>
      <w:r w:rsidR="00007190" w:rsidRPr="00173DD6">
        <w:rPr>
          <w:rStyle w:val="Judikttextkurzvou"/>
        </w:rPr>
        <w:t xml:space="preserve"> proti Litvě, </w:t>
      </w:r>
      <w:r w:rsidR="00007190">
        <w:t xml:space="preserve">cit. výše, § 58). </w:t>
      </w:r>
    </w:p>
    <w:p w14:paraId="0F169A93" w14:textId="2B25BA6C" w:rsidR="00EB765F" w:rsidRPr="00EB765F" w:rsidRDefault="00EB765F" w:rsidP="00EB765F">
      <w:pPr>
        <w:pStyle w:val="Judiktnadpisoddlu"/>
      </w:pPr>
      <w:r>
        <w:t>b</w:t>
      </w:r>
      <w:r w:rsidRPr="00EB765F">
        <w:t>)</w:t>
      </w:r>
      <w:r w:rsidRPr="00EB765F">
        <w:tab/>
      </w:r>
      <w:r w:rsidR="00173DD6">
        <w:t>K činnosti parlamentní vyšetřovací komise</w:t>
      </w:r>
    </w:p>
    <w:p w14:paraId="20BD16D3" w14:textId="4E996C21" w:rsidR="0061053E" w:rsidRDefault="00183B5B" w:rsidP="00CA2926">
      <w:pPr>
        <w:pStyle w:val="Judikttext"/>
      </w:pPr>
      <w:r>
        <w:t>Dle S</w:t>
      </w:r>
      <w:r w:rsidR="0061053E">
        <w:t xml:space="preserve">oudu bylo </w:t>
      </w:r>
      <w:r>
        <w:t>účelem souběžně vedeného vyšetřování parlamentní komise zjistit</w:t>
      </w:r>
      <w:r w:rsidR="0061053E">
        <w:t>, jak bylo vedeno vyšetřování. Jeho účel byl tudíž odlišný od trestního řízení vedeného na základě námitek D. K. (</w:t>
      </w:r>
      <w:proofErr w:type="spellStart"/>
      <w:r w:rsidR="0061053E" w:rsidRPr="006053A1">
        <w:rPr>
          <w:rStyle w:val="Judikttextkurzvou"/>
        </w:rPr>
        <w:t>mutatis</w:t>
      </w:r>
      <w:proofErr w:type="spellEnd"/>
      <w:r w:rsidR="0061053E" w:rsidRPr="006053A1">
        <w:rPr>
          <w:rStyle w:val="Judikttextkurzvou"/>
        </w:rPr>
        <w:t xml:space="preserve"> </w:t>
      </w:r>
      <w:proofErr w:type="spellStart"/>
      <w:r w:rsidR="0061053E" w:rsidRPr="006053A1">
        <w:rPr>
          <w:rStyle w:val="Judikttextkurzvou"/>
        </w:rPr>
        <w:t>mutandis</w:t>
      </w:r>
      <w:proofErr w:type="spellEnd"/>
      <w:r w:rsidR="0061053E" w:rsidRPr="006053A1">
        <w:rPr>
          <w:rStyle w:val="Judikttextkurzvou"/>
        </w:rPr>
        <w:t xml:space="preserve">, </w:t>
      </w:r>
      <w:proofErr w:type="spellStart"/>
      <w:r w:rsidR="0061053E" w:rsidRPr="006053A1">
        <w:rPr>
          <w:rStyle w:val="Judikttextkurzvou"/>
        </w:rPr>
        <w:t>Rywin</w:t>
      </w:r>
      <w:proofErr w:type="spellEnd"/>
      <w:r w:rsidR="0061053E" w:rsidRPr="006053A1">
        <w:rPr>
          <w:rStyle w:val="Judikttextkurzvou"/>
        </w:rPr>
        <w:t xml:space="preserve"> proti Polsku,</w:t>
      </w:r>
      <w:r w:rsidR="0061053E">
        <w:t xml:space="preserve"> č. 6091/06 a dvě další, rozsudek ze dne 18. února 2016, § 226</w:t>
      </w:r>
      <w:r w:rsidR="0040140B">
        <w:t>;</w:t>
      </w:r>
      <w:r w:rsidR="0061053E">
        <w:t xml:space="preserve"> </w:t>
      </w:r>
      <w:r w:rsidR="006053A1">
        <w:t>stanovisko Benátské komise k účelům parlamentního vyšetřování). P</w:t>
      </w:r>
      <w:r w:rsidR="0084193B">
        <w:t>arlamentní komise nestanovila odpovědnost konkrétních osob</w:t>
      </w:r>
      <w:r w:rsidR="001E6F6B">
        <w:t>, včetně stěžovatelky,</w:t>
      </w:r>
      <w:r w:rsidR="0084193B">
        <w:t xml:space="preserve"> a </w:t>
      </w:r>
      <w:r w:rsidR="003028BA">
        <w:t xml:space="preserve">zjištění ohledně prokrastinace státních zástupců tak bylo </w:t>
      </w:r>
      <w:r w:rsidR="0084193B">
        <w:t xml:space="preserve">pouze obecného charakteru. </w:t>
      </w:r>
      <w:r w:rsidR="00D12C16">
        <w:t>K</w:t>
      </w:r>
      <w:r w:rsidR="00EE09D0">
        <w:t>omise</w:t>
      </w:r>
      <w:r w:rsidR="00D12C16">
        <w:t xml:space="preserve"> nevedla zvláštní vyšetřování, </w:t>
      </w:r>
      <w:r w:rsidR="00EE09D0">
        <w:t xml:space="preserve">svá zjištění založila na podkladech dodaných </w:t>
      </w:r>
      <w:r w:rsidR="00D12C16">
        <w:t xml:space="preserve">mj. nejvyšším státním zástupcem, </w:t>
      </w:r>
      <w:r w:rsidR="003028BA">
        <w:t>přičemž jím vedené kárné řízení bylo v</w:t>
      </w:r>
      <w:r w:rsidR="00EF4106">
        <w:t xml:space="preserve"> době vydání zprávy komise </w:t>
      </w:r>
      <w:r w:rsidR="00DD6E01">
        <w:t xml:space="preserve">ukončeno. </w:t>
      </w:r>
      <w:r w:rsidR="003028BA">
        <w:t>Ze</w:t>
      </w:r>
      <w:r w:rsidR="00DE7A1B">
        <w:t xml:space="preserve"> zprávy komise j</w:t>
      </w:r>
      <w:r w:rsidR="003028BA">
        <w:t xml:space="preserve">ednoznačně </w:t>
      </w:r>
      <w:r w:rsidR="00DE7A1B">
        <w:t>vyplývalo, že k</w:t>
      </w:r>
      <w:r w:rsidR="003028BA">
        <w:t>e zjištění o pochybení polic</w:t>
      </w:r>
      <w:r w:rsidR="0040140B">
        <w:t>i</w:t>
      </w:r>
      <w:r w:rsidR="003028BA">
        <w:t>e a státních zástupců d</w:t>
      </w:r>
      <w:r w:rsidR="00DE7A1B">
        <w:t xml:space="preserve">ospěl nejvyšší státní zástupce, nikoli sama komise. Komise </w:t>
      </w:r>
      <w:r w:rsidR="00496BC2">
        <w:t xml:space="preserve">neučinila žádné vlastní posouzení zjištění nejvyššího státního zástupce, nepotvrdila ho ani nekritizovala a neprovedla žádné doplňující posouzení role stěžovatelky </w:t>
      </w:r>
      <w:r w:rsidR="00D12C16">
        <w:t>při vyšetřování</w:t>
      </w:r>
      <w:r w:rsidR="00496BC2">
        <w:t xml:space="preserve"> (obdobně </w:t>
      </w:r>
      <w:proofErr w:type="spellStart"/>
      <w:r w:rsidR="00496BC2" w:rsidRPr="00496BC2">
        <w:rPr>
          <w:rStyle w:val="Judikttextkurzvou"/>
        </w:rPr>
        <w:t>Rywin</w:t>
      </w:r>
      <w:proofErr w:type="spellEnd"/>
      <w:r w:rsidR="00496BC2" w:rsidRPr="00496BC2">
        <w:rPr>
          <w:rStyle w:val="Judikttextkurzvou"/>
        </w:rPr>
        <w:t xml:space="preserve"> proti Polsku,</w:t>
      </w:r>
      <w:r w:rsidR="00496BC2">
        <w:t xml:space="preserve"> cit. výše, § 217). </w:t>
      </w:r>
      <w:r w:rsidR="00E9499D">
        <w:t>Za uvedených okolností měl Soud za</w:t>
      </w:r>
      <w:r w:rsidR="00585C58">
        <w:t xml:space="preserve"> </w:t>
      </w:r>
      <w:r w:rsidR="00E9499D">
        <w:t xml:space="preserve">to, že </w:t>
      </w:r>
      <w:r w:rsidR="00D12C16">
        <w:t xml:space="preserve">zprávu nelze </w:t>
      </w:r>
      <w:r w:rsidR="0040140B">
        <w:t xml:space="preserve">chápat </w:t>
      </w:r>
      <w:r w:rsidR="00D12C16">
        <w:t xml:space="preserve">tak, že by </w:t>
      </w:r>
      <w:r w:rsidR="0040140B">
        <w:t xml:space="preserve">podle ní </w:t>
      </w:r>
      <w:r w:rsidR="00121350">
        <w:t>stěžovatelka byla osobně odpovědná za nedostatky v práci státního zastupitelství v Kaunas</w:t>
      </w:r>
      <w:r w:rsidR="0040140B">
        <w:t>u</w:t>
      </w:r>
      <w:r w:rsidR="00D12C16">
        <w:t xml:space="preserve">. Zpráva tudíž </w:t>
      </w:r>
      <w:r w:rsidR="00121350">
        <w:t xml:space="preserve">nezpochybnila nezávislost a nestrannost soudů. </w:t>
      </w:r>
    </w:p>
    <w:p w14:paraId="62EC0623" w14:textId="6B09834C" w:rsidR="00121350" w:rsidRDefault="00121350" w:rsidP="00121350">
      <w:pPr>
        <w:pStyle w:val="Judiktnadpisoddlu"/>
      </w:pPr>
      <w:r>
        <w:t>c</w:t>
      </w:r>
      <w:r w:rsidRPr="00121350">
        <w:t>)</w:t>
      </w:r>
      <w:r w:rsidRPr="00121350">
        <w:tab/>
        <w:t xml:space="preserve">K </w:t>
      </w:r>
      <w:r>
        <w:t>veřejným výrokům vysoce postavených politiků</w:t>
      </w:r>
    </w:p>
    <w:p w14:paraId="171D2795" w14:textId="030C7BAD" w:rsidR="001B24EF" w:rsidRDefault="00667B61" w:rsidP="00CA2926">
      <w:pPr>
        <w:pStyle w:val="Judikttext"/>
      </w:pPr>
      <w:r>
        <w:t xml:space="preserve">Soud uvedl, že </w:t>
      </w:r>
      <w:r w:rsidR="0040140B">
        <w:t xml:space="preserve">veřejná </w:t>
      </w:r>
      <w:r>
        <w:t>prohlášení prezident</w:t>
      </w:r>
      <w:r w:rsidR="00DF0ADB">
        <w:t>ky</w:t>
      </w:r>
      <w:r w:rsidR="001E6F6B">
        <w:t xml:space="preserve"> a </w:t>
      </w:r>
      <w:r w:rsidR="0040140B">
        <w:t xml:space="preserve">dalších </w:t>
      </w:r>
      <w:r w:rsidR="001E6F6B">
        <w:t>politiků</w:t>
      </w:r>
      <w:r w:rsidR="008525EA">
        <w:t xml:space="preserve">, </w:t>
      </w:r>
      <w:r w:rsidR="001E6F6B">
        <w:t>ve kterých požadovali tvrdé potrestání odpovědných osob,</w:t>
      </w:r>
      <w:r>
        <w:t xml:space="preserve"> byla učiněna nezávisle na kárném řízení. Obvinění ze</w:t>
      </w:r>
      <w:r w:rsidR="001E6F6B">
        <w:t xml:space="preserve"> sexuálního zneužívání dítěte a zjevná </w:t>
      </w:r>
      <w:r w:rsidR="003876CA">
        <w:t>neschopnost vést urychlené a řádné vyšetřování měl</w:t>
      </w:r>
      <w:r w:rsidR="001E6F6B">
        <w:t>y</w:t>
      </w:r>
      <w:r w:rsidR="003876CA">
        <w:t xml:space="preserve"> za následek legitimní zájem veřejnosti na informace </w:t>
      </w:r>
      <w:r w:rsidR="001E6F6B">
        <w:t>o řízení a p</w:t>
      </w:r>
      <w:r w:rsidR="003876CA">
        <w:t xml:space="preserve">řijatých opatřeních za účelem nápravy shledaných nedostatků. Žádné prohlášení učiněné před ukončením kárného řízení nejvyšším státním zástupcem kritizující </w:t>
      </w:r>
      <w:r w:rsidR="0040140B">
        <w:t xml:space="preserve">zdlouhavé </w:t>
      </w:r>
      <w:r w:rsidR="003876CA">
        <w:t xml:space="preserve">vyšetřování </w:t>
      </w:r>
      <w:r w:rsidR="001E6F6B">
        <w:t xml:space="preserve">nezahrnovalo stěžovatelku a její </w:t>
      </w:r>
      <w:r w:rsidR="00DF0ADB">
        <w:t>odpovědnost za nastalá pochyb</w:t>
      </w:r>
      <w:r w:rsidR="00767147">
        <w:t>e</w:t>
      </w:r>
      <w:r w:rsidR="00DF0ADB">
        <w:t>ní (</w:t>
      </w:r>
      <w:proofErr w:type="spellStart"/>
      <w:r w:rsidR="00DF0ADB" w:rsidRPr="00DF0ADB">
        <w:rPr>
          <w:rStyle w:val="Judikttextkurzvou"/>
        </w:rPr>
        <w:t>Natsvlishvili</w:t>
      </w:r>
      <w:proofErr w:type="spellEnd"/>
      <w:r w:rsidR="00DF0ADB" w:rsidRPr="00DF0ADB">
        <w:rPr>
          <w:rStyle w:val="Judikttextkurzvou"/>
        </w:rPr>
        <w:t xml:space="preserve"> a </w:t>
      </w:r>
      <w:proofErr w:type="spellStart"/>
      <w:r w:rsidR="00DF0ADB" w:rsidRPr="00DF0ADB">
        <w:rPr>
          <w:rStyle w:val="Judikttextkurzvou"/>
        </w:rPr>
        <w:t>Togonidze</w:t>
      </w:r>
      <w:proofErr w:type="spellEnd"/>
      <w:r w:rsidR="00DF0ADB" w:rsidRPr="00DF0ADB">
        <w:rPr>
          <w:rStyle w:val="Judikttextkurzvou"/>
        </w:rPr>
        <w:t xml:space="preserve"> proti Gruzii,</w:t>
      </w:r>
      <w:r w:rsidR="00DF0ADB">
        <w:t xml:space="preserve"> č. 9043/05, rozsudek ze dne</w:t>
      </w:r>
      <w:r w:rsidR="001E6F6B">
        <w:t xml:space="preserve"> 29. dubna 2014, </w:t>
      </w:r>
      <w:r w:rsidR="00DF0ADB">
        <w:t xml:space="preserve">§ 104). </w:t>
      </w:r>
      <w:r w:rsidR="001E6F6B">
        <w:t xml:space="preserve">Obecné výroky </w:t>
      </w:r>
      <w:r w:rsidR="00DF0ADB">
        <w:t>nemohly ovlivnit spravedlivost řízení (</w:t>
      </w:r>
      <w:proofErr w:type="spellStart"/>
      <w:r w:rsidR="00DF0ADB" w:rsidRPr="00DF0ADB">
        <w:rPr>
          <w:rStyle w:val="Judikttextkurzvou"/>
        </w:rPr>
        <w:t>Paulikas</w:t>
      </w:r>
      <w:proofErr w:type="spellEnd"/>
      <w:r w:rsidR="00DF0ADB" w:rsidRPr="00DF0ADB">
        <w:rPr>
          <w:rStyle w:val="Judikttextkurzvou"/>
        </w:rPr>
        <w:t xml:space="preserve"> proti Litvě,</w:t>
      </w:r>
      <w:r w:rsidR="00DF0ADB">
        <w:t xml:space="preserve"> cit. výše, § 52). Prohlášení učiněná prezidentkou po skončení kárného řízení</w:t>
      </w:r>
      <w:r w:rsidR="00B1717A">
        <w:t>, která očekávala přísnější potrestání státních zástupců v Kaunas</w:t>
      </w:r>
      <w:r w:rsidR="0040140B">
        <w:t>u</w:t>
      </w:r>
      <w:r w:rsidR="00B1717A">
        <w:t>, odkazovala na ohraničenou sk</w:t>
      </w:r>
      <w:r w:rsidR="00577896">
        <w:t>upinu státníc</w:t>
      </w:r>
      <w:r w:rsidR="001B24EF">
        <w:t xml:space="preserve">h zástupců, včetně stěžovatelky, nicméně správní soudy zabývající se stížností stěžovatelky na </w:t>
      </w:r>
      <w:r w:rsidR="0040140B">
        <w:t xml:space="preserve">odvolání </w:t>
      </w:r>
      <w:r w:rsidR="001B24EF">
        <w:t xml:space="preserve">z funkce jí neudělily přísnější trest. Soudy nadto </w:t>
      </w:r>
      <w:r w:rsidR="008525EA">
        <w:t xml:space="preserve">její </w:t>
      </w:r>
      <w:r w:rsidR="0040140B">
        <w:t xml:space="preserve">odvolání </w:t>
      </w:r>
      <w:r w:rsidR="001B24EF">
        <w:t>z funkce odůvodnily specifickými povinnost</w:t>
      </w:r>
      <w:r w:rsidR="001E6F6B">
        <w:t>m</w:t>
      </w:r>
      <w:r w:rsidR="001B24EF">
        <w:t xml:space="preserve">i dozorujícího státního zástupce a výčtem konkrétních opatření, která stěžovatelka </w:t>
      </w:r>
      <w:r w:rsidR="001E6F6B">
        <w:t>opomněla přijmout</w:t>
      </w:r>
      <w:r w:rsidR="001B24EF">
        <w:t>. Za těchto okolností</w:t>
      </w:r>
      <w:r w:rsidR="00201F73">
        <w:t xml:space="preserve"> prohlášení </w:t>
      </w:r>
      <w:r w:rsidR="008525EA">
        <w:t xml:space="preserve">nevedla </w:t>
      </w:r>
      <w:r w:rsidR="00201F73">
        <w:t xml:space="preserve">k pochybnostem o nezávislosti a nestrannosti soudů. </w:t>
      </w:r>
    </w:p>
    <w:p w14:paraId="5E1152EC" w14:textId="77777777" w:rsidR="00201F73" w:rsidRDefault="00201F73" w:rsidP="00201F73">
      <w:pPr>
        <w:pStyle w:val="Judiktnadpisoddlu"/>
      </w:pPr>
      <w:r>
        <w:lastRenderedPageBreak/>
        <w:t>d</w:t>
      </w:r>
      <w:r w:rsidRPr="00201F73">
        <w:t>)</w:t>
      </w:r>
      <w:r w:rsidRPr="00201F73">
        <w:tab/>
        <w:t xml:space="preserve">K </w:t>
      </w:r>
      <w:r>
        <w:t>mediální kampani</w:t>
      </w:r>
    </w:p>
    <w:p w14:paraId="696D5C60" w14:textId="463B4803" w:rsidR="0094440D" w:rsidRDefault="00213071" w:rsidP="00D87B0E">
      <w:pPr>
        <w:pStyle w:val="Judikttext"/>
      </w:pPr>
      <w:r>
        <w:t xml:space="preserve">Soud uznává, že </w:t>
      </w:r>
      <w:r w:rsidR="00201F73" w:rsidRPr="00201F73">
        <w:t xml:space="preserve">v určitých situacích může </w:t>
      </w:r>
      <w:r w:rsidR="00E61CE2">
        <w:t xml:space="preserve">nepřátelská </w:t>
      </w:r>
      <w:r w:rsidR="00201F73" w:rsidRPr="00201F73">
        <w:t>mediální kampaň nepříznivě ovlivnit spravedlivost soudního řízení</w:t>
      </w:r>
      <w:r>
        <w:t>. Současně je zpravodajství projevem svobody projevu ve smyslu článku 10 Úmluvy.</w:t>
      </w:r>
      <w:r w:rsidR="00F67AB7">
        <w:t xml:space="preserve"> Při </w:t>
      </w:r>
      <w:r w:rsidR="00E61CE2">
        <w:t xml:space="preserve">nepřátelské </w:t>
      </w:r>
      <w:r w:rsidR="00F67AB7">
        <w:t>mediální kampani nejsou rozhodující subjektivní</w:t>
      </w:r>
      <w:r w:rsidR="0040140B">
        <w:t>,</w:t>
      </w:r>
      <w:r w:rsidR="00F67AB7">
        <w:t xml:space="preserve"> </w:t>
      </w:r>
      <w:r w:rsidR="00C16C20">
        <w:t xml:space="preserve">byť pochopitelné </w:t>
      </w:r>
      <w:r w:rsidR="00F67AB7">
        <w:t>obavy dotčené osoby</w:t>
      </w:r>
      <w:r w:rsidR="0094440D">
        <w:t xml:space="preserve"> ohledně neexistence předsudků ze strany soudů</w:t>
      </w:r>
      <w:r w:rsidR="00EA4720">
        <w:t>. R</w:t>
      </w:r>
      <w:r w:rsidR="00C16C20">
        <w:t xml:space="preserve">ozhodující je, zda jsou tyto obavy </w:t>
      </w:r>
      <w:r w:rsidR="0094440D">
        <w:t>za daných okolností opodstatněné (</w:t>
      </w:r>
      <w:proofErr w:type="spellStart"/>
      <w:r w:rsidR="00826568" w:rsidRPr="0094440D">
        <w:rPr>
          <w:rStyle w:val="Judikttextkurzvou"/>
        </w:rPr>
        <w:t>mutatis</w:t>
      </w:r>
      <w:proofErr w:type="spellEnd"/>
      <w:r w:rsidR="00826568" w:rsidRPr="0094440D">
        <w:rPr>
          <w:rStyle w:val="Judikttextkurzvou"/>
        </w:rPr>
        <w:t xml:space="preserve"> </w:t>
      </w:r>
      <w:proofErr w:type="spellStart"/>
      <w:r w:rsidR="00826568" w:rsidRPr="0094440D">
        <w:rPr>
          <w:rStyle w:val="Judikttextkurzvou"/>
        </w:rPr>
        <w:t>mutandis</w:t>
      </w:r>
      <w:proofErr w:type="spellEnd"/>
      <w:r w:rsidR="00826568" w:rsidRPr="0094440D">
        <w:rPr>
          <w:rStyle w:val="Judikttextkurzvou"/>
        </w:rPr>
        <w:t>,</w:t>
      </w:r>
      <w:r w:rsidR="00826568" w:rsidRPr="00826568">
        <w:t xml:space="preserve"> </w:t>
      </w:r>
      <w:proofErr w:type="spellStart"/>
      <w:r w:rsidR="00826568" w:rsidRPr="0094440D">
        <w:rPr>
          <w:rStyle w:val="Judikttextkurzvou"/>
        </w:rPr>
        <w:t>Paulikas</w:t>
      </w:r>
      <w:proofErr w:type="spellEnd"/>
      <w:r w:rsidR="0094440D" w:rsidRPr="0094440D">
        <w:rPr>
          <w:rStyle w:val="Judikttextkurzvou"/>
        </w:rPr>
        <w:t xml:space="preserve"> proti Litvě,</w:t>
      </w:r>
      <w:r w:rsidR="0094440D">
        <w:t xml:space="preserve"> cit. výše, § 57). V </w:t>
      </w:r>
      <w:r w:rsidR="0040140B">
        <w:t xml:space="preserve">projednávané věci </w:t>
      </w:r>
      <w:r w:rsidR="0094440D">
        <w:t>byl mediální zájem vyvolán údajným sexuálním zneužíváním dítěte a následným kárným řízením proti státním zástupců</w:t>
      </w:r>
      <w:r w:rsidR="00D87B0E">
        <w:t xml:space="preserve">m. Nelze </w:t>
      </w:r>
      <w:r w:rsidR="0040140B">
        <w:t>tvrdit</w:t>
      </w:r>
      <w:r w:rsidR="00D87B0E">
        <w:t xml:space="preserve">, že by způsob, jakým se o stěžovatelce vyjadřovala média, předjímal její odpovědnost za konkrétní činy (tamtéž, § 61). Nadto o případu rozhodovali profesionální soudci, </w:t>
      </w:r>
      <w:r w:rsidR="00E02CA0" w:rsidRPr="00E02CA0">
        <w:t>u nichž byl</w:t>
      </w:r>
      <w:r w:rsidR="00E02CA0">
        <w:t>o</w:t>
      </w:r>
      <w:r w:rsidR="00E02CA0" w:rsidRPr="00E02CA0">
        <w:t xml:space="preserve"> na rozdíl od soudní poroty vzhledem k jejich odbornému vzdělání a zkušenostem méně pravděpodobné, že se nechají ovlivnit mediální kampaní</w:t>
      </w:r>
      <w:r w:rsidR="00E02CA0">
        <w:t xml:space="preserve"> (tamtéž, § 62). Rozsudky byly navíc pečlivě odůvodněné. </w:t>
      </w:r>
      <w:r w:rsidR="00C16C20">
        <w:t>Neexistovaly tak</w:t>
      </w:r>
      <w:r w:rsidR="00E02CA0">
        <w:t xml:space="preserve"> přesvědčivé důkazy, že by příslušní soudci byli jakkoli ovlivněni mediálními výroky. </w:t>
      </w:r>
    </w:p>
    <w:p w14:paraId="7C15147B" w14:textId="1373C9E0" w:rsidR="00E02CA0" w:rsidRDefault="00E02CA0" w:rsidP="00E02CA0">
      <w:pPr>
        <w:pStyle w:val="Judiktnadpisoddlu"/>
      </w:pPr>
      <w:r>
        <w:t>e</w:t>
      </w:r>
      <w:r w:rsidRPr="00E02CA0">
        <w:t>)</w:t>
      </w:r>
      <w:r w:rsidRPr="00E02CA0">
        <w:tab/>
      </w:r>
      <w:r>
        <w:t xml:space="preserve">K </w:t>
      </w:r>
      <w:r w:rsidR="00272651">
        <w:t>odůvodnění rozhodnutí správních soudů</w:t>
      </w:r>
    </w:p>
    <w:p w14:paraId="7AA8B5C8" w14:textId="4432F0F8" w:rsidR="00FA632E" w:rsidRDefault="003536A8" w:rsidP="00D87B0E">
      <w:pPr>
        <w:pStyle w:val="Judikttext"/>
      </w:pPr>
      <w:r>
        <w:t xml:space="preserve">Dle čl. 6 odst. 1 Úmluvy mají soudy povinnost odůvodnit svá rozhodnutí, což nelze </w:t>
      </w:r>
      <w:r w:rsidR="00EA4720">
        <w:t xml:space="preserve">nicméně </w:t>
      </w:r>
      <w:r>
        <w:t xml:space="preserve">chápat tak, že mají </w:t>
      </w:r>
      <w:r w:rsidR="0040140B">
        <w:t xml:space="preserve">podrobně </w:t>
      </w:r>
      <w:r w:rsidR="00290E96">
        <w:t xml:space="preserve">odpovědět </w:t>
      </w:r>
      <w:r>
        <w:t xml:space="preserve">na každý předložený argument. </w:t>
      </w:r>
      <w:r w:rsidR="00C16C20">
        <w:t xml:space="preserve">V </w:t>
      </w:r>
      <w:r w:rsidR="00290E96">
        <w:t xml:space="preserve">projednávané věci </w:t>
      </w:r>
      <w:r w:rsidR="00C16C20">
        <w:t>p</w:t>
      </w:r>
      <w:r>
        <w:t xml:space="preserve">ozornosti Soudu neuniklo, že se soudy </w:t>
      </w:r>
      <w:r w:rsidR="00C16C20">
        <w:t xml:space="preserve">výslovně </w:t>
      </w:r>
      <w:r>
        <w:t xml:space="preserve">nevypořádaly s </w:t>
      </w:r>
      <w:r w:rsidR="00976A6F">
        <w:t xml:space="preserve">poněkud obecně formulovanou </w:t>
      </w:r>
      <w:r>
        <w:t>námitkou stěžovatelky ohledně n</w:t>
      </w:r>
      <w:r w:rsidR="00976A6F">
        <w:t>arušení spravedlivosti řízení z </w:t>
      </w:r>
      <w:r>
        <w:t xml:space="preserve">důvodu výroků politiků a mediálního </w:t>
      </w:r>
      <w:r w:rsidR="00D33A56">
        <w:t>zpravodajství (</w:t>
      </w:r>
      <w:r w:rsidR="00D33A56" w:rsidRPr="00D33A56">
        <w:rPr>
          <w:rStyle w:val="Judikttextkurzvou"/>
        </w:rPr>
        <w:t xml:space="preserve">a contrario, </w:t>
      </w:r>
      <w:proofErr w:type="spellStart"/>
      <w:r w:rsidR="00D33A56" w:rsidRPr="00D33A56">
        <w:rPr>
          <w:rStyle w:val="Judikttextkurzvou"/>
        </w:rPr>
        <w:t>Arrigo</w:t>
      </w:r>
      <w:proofErr w:type="spellEnd"/>
      <w:r w:rsidR="00D33A56" w:rsidRPr="00D33A56">
        <w:rPr>
          <w:rStyle w:val="Judikttextkurzvou"/>
        </w:rPr>
        <w:t xml:space="preserve"> a Vella proti Maltě,</w:t>
      </w:r>
      <w:r w:rsidR="00D33A56">
        <w:t xml:space="preserve"> č. 6569/04, rozhodnutí ze dne 10. května 2005). </w:t>
      </w:r>
      <w:r w:rsidR="00976A6F">
        <w:t xml:space="preserve">Soudy nicméně reagovaly na hlavní námitku, že stěžovatelka jednala podle zákona a že uložená sankce byla nepřiměřená, a </w:t>
      </w:r>
      <w:bookmarkStart w:id="0" w:name="_GoBack"/>
      <w:bookmarkEnd w:id="0"/>
      <w:r w:rsidR="00976A6F">
        <w:t xml:space="preserve">pečlivě zdůvodnily opodstatněnost uložené sankce. </w:t>
      </w:r>
      <w:r w:rsidR="00FA632E">
        <w:t xml:space="preserve">Soud navíc neshledal, že by nezávislost a nestrannost soudů byla ohrožena politickými prohlášeními. </w:t>
      </w:r>
      <w:r w:rsidR="00FA632E" w:rsidRPr="00FA632E">
        <w:t>Soud tak považoval mlčení</w:t>
      </w:r>
      <w:r w:rsidR="00C16C20">
        <w:t xml:space="preserve"> soudů</w:t>
      </w:r>
      <w:r w:rsidR="00FA632E" w:rsidRPr="00FA632E">
        <w:t xml:space="preserve"> </w:t>
      </w:r>
      <w:r w:rsidR="00C16C20">
        <w:t xml:space="preserve">za </w:t>
      </w:r>
      <w:r w:rsidR="00FA632E" w:rsidRPr="00FA632E">
        <w:t>impli</w:t>
      </w:r>
      <w:r w:rsidR="00C16C20">
        <w:t xml:space="preserve">citní odmítnutí tvrzení o vlivu politiků a médií </w:t>
      </w:r>
      <w:r w:rsidR="00FA632E" w:rsidRPr="00FA632E">
        <w:t>(</w:t>
      </w:r>
      <w:proofErr w:type="spellStart"/>
      <w:r w:rsidR="00FA632E" w:rsidRPr="00FA632E">
        <w:rPr>
          <w:rStyle w:val="Judikttextkurzvou"/>
        </w:rPr>
        <w:t>Yanakiev</w:t>
      </w:r>
      <w:proofErr w:type="spellEnd"/>
      <w:r w:rsidR="00FA632E" w:rsidRPr="00FA632E">
        <w:rPr>
          <w:rStyle w:val="Judikttextkurzvou"/>
        </w:rPr>
        <w:t xml:space="preserve"> proti Bulharsku,</w:t>
      </w:r>
      <w:r w:rsidR="00FA632E" w:rsidRPr="00FA632E">
        <w:t xml:space="preserve"> č. 40476/98, rozsud</w:t>
      </w:r>
      <w:r w:rsidR="00C16C20">
        <w:t>ek ze dne 10</w:t>
      </w:r>
      <w:r w:rsidR="00290E96">
        <w:t>. </w:t>
      </w:r>
      <w:r w:rsidR="00C16C20">
        <w:t>srpna 2006, § </w:t>
      </w:r>
      <w:r w:rsidR="00FA632E">
        <w:t>71)</w:t>
      </w:r>
      <w:r w:rsidR="00C16C20">
        <w:t xml:space="preserve">. Nic nenasvědčovalo tomu, že </w:t>
      </w:r>
      <w:r w:rsidR="00FA632E">
        <w:t xml:space="preserve">řízení jako celek nebylo spravedlivé. </w:t>
      </w:r>
    </w:p>
    <w:p w14:paraId="663995DE" w14:textId="5FC05C49" w:rsidR="007A77E8" w:rsidRDefault="007A77E8" w:rsidP="00D87B0E">
      <w:pPr>
        <w:pStyle w:val="Judikttext"/>
      </w:pPr>
      <w:r>
        <w:t>K porušení čl. 6 odst. 1 Úmluvy tudíž nedošlo.</w:t>
      </w:r>
    </w:p>
    <w:p w14:paraId="425C755A" w14:textId="77777777" w:rsidR="000C723D" w:rsidRPr="00E56DD1" w:rsidRDefault="000C723D" w:rsidP="000C723D">
      <w:pPr>
        <w:pStyle w:val="Judiktnadpissti"/>
      </w:pPr>
      <w:r w:rsidRPr="00E56DD1">
        <w:t>III.</w:t>
      </w:r>
      <w:r w:rsidRPr="00E56DD1">
        <w:tab/>
      </w:r>
      <w:r>
        <w:t>Oddělená</w:t>
      </w:r>
      <w:r w:rsidRPr="00E56DD1">
        <w:t xml:space="preserve"> stanoviska</w:t>
      </w:r>
    </w:p>
    <w:p w14:paraId="6F2C5553" w14:textId="192706E9" w:rsidR="000C723D" w:rsidRDefault="000C723D" w:rsidP="000C723D">
      <w:pPr>
        <w:pStyle w:val="Judikttext"/>
      </w:pPr>
      <w:r>
        <w:t xml:space="preserve">Dle nesouhlasného stanoviska soudce </w:t>
      </w:r>
      <w:proofErr w:type="spellStart"/>
      <w:r>
        <w:t>Bošnjaka</w:t>
      </w:r>
      <w:proofErr w:type="spellEnd"/>
      <w:r>
        <w:t xml:space="preserve"> </w:t>
      </w:r>
      <w:r w:rsidR="008935AF">
        <w:t>stěžovatelka dostatečně jasně ozřejmila své argumenty ohledně předpojatosti soudů s ohledem na výroky politiků a mediální zpravodajství. S</w:t>
      </w:r>
      <w:r w:rsidR="00C16C20">
        <w:t>oudy se s </w:t>
      </w:r>
      <w:r w:rsidR="008935AF">
        <w:t xml:space="preserve">nimi přesto nevypořádaly. </w:t>
      </w:r>
    </w:p>
    <w:sectPr w:rsidR="000C723D" w:rsidSect="00201088">
      <w:footerReference w:type="even" r:id="rId8"/>
      <w:footerReference w:type="default" r:id="rId9"/>
      <w:pgSz w:w="11906" w:h="16838"/>
      <w:pgMar w:top="1701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C3BC" w14:textId="77777777" w:rsidR="00A746FE" w:rsidRDefault="00A746FE">
      <w:r>
        <w:separator/>
      </w:r>
    </w:p>
  </w:endnote>
  <w:endnote w:type="continuationSeparator" w:id="0">
    <w:p w14:paraId="347883CE" w14:textId="77777777" w:rsidR="00A746FE" w:rsidRDefault="00A7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8728" w14:textId="77777777" w:rsidR="00150C2C" w:rsidRDefault="00150C2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FAE5FF" w14:textId="77777777" w:rsidR="00150C2C" w:rsidRDefault="00150C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FAFA3" w14:textId="4C4590DF" w:rsidR="00150C2C" w:rsidRPr="00D72734" w:rsidRDefault="00150C2C" w:rsidP="00D72734">
    <w:pPr>
      <w:pStyle w:val="slovnstran"/>
    </w:pPr>
    <w:r w:rsidRPr="00D72734">
      <w:t xml:space="preserve">— </w:t>
    </w:r>
    <w:r w:rsidRPr="00D72734">
      <w:rPr>
        <w:rStyle w:val="slostrnky"/>
      </w:rPr>
      <w:fldChar w:fldCharType="begin"/>
    </w:r>
    <w:r w:rsidRPr="00D72734">
      <w:rPr>
        <w:rStyle w:val="slostrnky"/>
      </w:rPr>
      <w:instrText xml:space="preserve"> PAGE </w:instrText>
    </w:r>
    <w:r w:rsidRPr="00D72734">
      <w:rPr>
        <w:rStyle w:val="slostrnky"/>
      </w:rPr>
      <w:fldChar w:fldCharType="separate"/>
    </w:r>
    <w:r w:rsidR="00206707">
      <w:rPr>
        <w:rStyle w:val="slostrnky"/>
        <w:noProof/>
      </w:rPr>
      <w:t>3</w:t>
    </w:r>
    <w:r w:rsidRPr="00D72734">
      <w:rPr>
        <w:rStyle w:val="slostrnky"/>
      </w:rPr>
      <w:fldChar w:fldCharType="end"/>
    </w:r>
    <w:r w:rsidR="00F720E2" w:rsidRPr="00D72734">
      <w:rPr>
        <w:rStyle w:val="slostrnky"/>
      </w:rPr>
      <w:t>/</w:t>
    </w:r>
    <w:r w:rsidR="00D12C16">
      <w:rPr>
        <w:rStyle w:val="slostrnky"/>
      </w:rPr>
      <w:t>3</w:t>
    </w:r>
    <w:r w:rsidRPr="00D72734"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CF3A" w14:textId="77777777" w:rsidR="00A746FE" w:rsidRDefault="00A746FE">
      <w:r>
        <w:separator/>
      </w:r>
    </w:p>
  </w:footnote>
  <w:footnote w:type="continuationSeparator" w:id="0">
    <w:p w14:paraId="135D0A29" w14:textId="77777777" w:rsidR="00A746FE" w:rsidRDefault="00A7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629B"/>
    <w:multiLevelType w:val="hybridMultilevel"/>
    <w:tmpl w:val="41CEF82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A510D0"/>
    <w:multiLevelType w:val="hybridMultilevel"/>
    <w:tmpl w:val="B2E69D6C"/>
    <w:lvl w:ilvl="0" w:tplc="071C1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formatting="1" w:enforcement="1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07190"/>
    <w:rsid w:val="00010771"/>
    <w:rsid w:val="00022DBE"/>
    <w:rsid w:val="00033FC3"/>
    <w:rsid w:val="00037C01"/>
    <w:rsid w:val="00046FEA"/>
    <w:rsid w:val="00061F2B"/>
    <w:rsid w:val="000963AB"/>
    <w:rsid w:val="000A37D4"/>
    <w:rsid w:val="000A5683"/>
    <w:rsid w:val="000C02C9"/>
    <w:rsid w:val="000C723D"/>
    <w:rsid w:val="001005FC"/>
    <w:rsid w:val="001130C4"/>
    <w:rsid w:val="00121350"/>
    <w:rsid w:val="00123CC1"/>
    <w:rsid w:val="00125C61"/>
    <w:rsid w:val="00126679"/>
    <w:rsid w:val="00150C2C"/>
    <w:rsid w:val="001706F4"/>
    <w:rsid w:val="00173DD6"/>
    <w:rsid w:val="00176992"/>
    <w:rsid w:val="00183B5B"/>
    <w:rsid w:val="00186CC7"/>
    <w:rsid w:val="001A052C"/>
    <w:rsid w:val="001A0690"/>
    <w:rsid w:val="001A70BF"/>
    <w:rsid w:val="001B24EF"/>
    <w:rsid w:val="001D6574"/>
    <w:rsid w:val="001E2A0D"/>
    <w:rsid w:val="001E6F6B"/>
    <w:rsid w:val="001F6B15"/>
    <w:rsid w:val="001F7EC7"/>
    <w:rsid w:val="00201088"/>
    <w:rsid w:val="002015E8"/>
    <w:rsid w:val="00201F73"/>
    <w:rsid w:val="00206707"/>
    <w:rsid w:val="00213071"/>
    <w:rsid w:val="00221E33"/>
    <w:rsid w:val="00246D08"/>
    <w:rsid w:val="0026055C"/>
    <w:rsid w:val="00262691"/>
    <w:rsid w:val="00272651"/>
    <w:rsid w:val="00290E96"/>
    <w:rsid w:val="002A7191"/>
    <w:rsid w:val="002A7A30"/>
    <w:rsid w:val="002E77C5"/>
    <w:rsid w:val="002F08C4"/>
    <w:rsid w:val="003028BA"/>
    <w:rsid w:val="00304FBC"/>
    <w:rsid w:val="003074DE"/>
    <w:rsid w:val="00335B20"/>
    <w:rsid w:val="003430D1"/>
    <w:rsid w:val="0034575B"/>
    <w:rsid w:val="003536A8"/>
    <w:rsid w:val="003555A2"/>
    <w:rsid w:val="003650AA"/>
    <w:rsid w:val="003717F3"/>
    <w:rsid w:val="003859B7"/>
    <w:rsid w:val="003876CA"/>
    <w:rsid w:val="00396161"/>
    <w:rsid w:val="003B0A4B"/>
    <w:rsid w:val="003F244A"/>
    <w:rsid w:val="003F369A"/>
    <w:rsid w:val="003F67FE"/>
    <w:rsid w:val="0040140B"/>
    <w:rsid w:val="00472757"/>
    <w:rsid w:val="00490E32"/>
    <w:rsid w:val="00496BC2"/>
    <w:rsid w:val="004A1561"/>
    <w:rsid w:val="004A193D"/>
    <w:rsid w:val="004B2B07"/>
    <w:rsid w:val="004B464B"/>
    <w:rsid w:val="004B6A69"/>
    <w:rsid w:val="004C09AF"/>
    <w:rsid w:val="004D3E8D"/>
    <w:rsid w:val="004D795F"/>
    <w:rsid w:val="004E24B1"/>
    <w:rsid w:val="004F0C11"/>
    <w:rsid w:val="004F426C"/>
    <w:rsid w:val="00513563"/>
    <w:rsid w:val="00537F46"/>
    <w:rsid w:val="0054273B"/>
    <w:rsid w:val="005643E2"/>
    <w:rsid w:val="00577896"/>
    <w:rsid w:val="00582DFC"/>
    <w:rsid w:val="00583F24"/>
    <w:rsid w:val="00585C58"/>
    <w:rsid w:val="00594CA0"/>
    <w:rsid w:val="005A5D9A"/>
    <w:rsid w:val="005D5069"/>
    <w:rsid w:val="005D698D"/>
    <w:rsid w:val="005E70DB"/>
    <w:rsid w:val="005F14C3"/>
    <w:rsid w:val="005F1599"/>
    <w:rsid w:val="006053A1"/>
    <w:rsid w:val="0061053E"/>
    <w:rsid w:val="00622C9B"/>
    <w:rsid w:val="00661871"/>
    <w:rsid w:val="00667B61"/>
    <w:rsid w:val="00667BFB"/>
    <w:rsid w:val="00670DA6"/>
    <w:rsid w:val="006734D6"/>
    <w:rsid w:val="00691753"/>
    <w:rsid w:val="006C08F9"/>
    <w:rsid w:val="006C597F"/>
    <w:rsid w:val="006E148A"/>
    <w:rsid w:val="007135A2"/>
    <w:rsid w:val="00714792"/>
    <w:rsid w:val="00767147"/>
    <w:rsid w:val="00787495"/>
    <w:rsid w:val="007A77E8"/>
    <w:rsid w:val="007C0C3B"/>
    <w:rsid w:val="007C4B51"/>
    <w:rsid w:val="007D172E"/>
    <w:rsid w:val="007E0291"/>
    <w:rsid w:val="007F2B4C"/>
    <w:rsid w:val="00822BA8"/>
    <w:rsid w:val="00826568"/>
    <w:rsid w:val="0084183F"/>
    <w:rsid w:val="0084193B"/>
    <w:rsid w:val="00847F88"/>
    <w:rsid w:val="008525EA"/>
    <w:rsid w:val="00867D21"/>
    <w:rsid w:val="00872FA9"/>
    <w:rsid w:val="00877F09"/>
    <w:rsid w:val="008920D2"/>
    <w:rsid w:val="00892546"/>
    <w:rsid w:val="008935AF"/>
    <w:rsid w:val="00894583"/>
    <w:rsid w:val="008B7143"/>
    <w:rsid w:val="008C17FF"/>
    <w:rsid w:val="008E53CF"/>
    <w:rsid w:val="008F718E"/>
    <w:rsid w:val="009160B0"/>
    <w:rsid w:val="0094440D"/>
    <w:rsid w:val="00976A6F"/>
    <w:rsid w:val="00977666"/>
    <w:rsid w:val="00997390"/>
    <w:rsid w:val="009A1665"/>
    <w:rsid w:val="009B38E8"/>
    <w:rsid w:val="009B6E56"/>
    <w:rsid w:val="009C48E2"/>
    <w:rsid w:val="009D49DF"/>
    <w:rsid w:val="009D5CD3"/>
    <w:rsid w:val="009E01FE"/>
    <w:rsid w:val="009F6B18"/>
    <w:rsid w:val="00A00FF8"/>
    <w:rsid w:val="00A02009"/>
    <w:rsid w:val="00A153A4"/>
    <w:rsid w:val="00A17120"/>
    <w:rsid w:val="00A42222"/>
    <w:rsid w:val="00A43725"/>
    <w:rsid w:val="00A601C4"/>
    <w:rsid w:val="00A63103"/>
    <w:rsid w:val="00A74136"/>
    <w:rsid w:val="00A746FE"/>
    <w:rsid w:val="00A74D7C"/>
    <w:rsid w:val="00AA1C6A"/>
    <w:rsid w:val="00AA3EC4"/>
    <w:rsid w:val="00AE40C2"/>
    <w:rsid w:val="00AF546A"/>
    <w:rsid w:val="00B0591F"/>
    <w:rsid w:val="00B10C09"/>
    <w:rsid w:val="00B1717A"/>
    <w:rsid w:val="00B22C2D"/>
    <w:rsid w:val="00B252E0"/>
    <w:rsid w:val="00B269A3"/>
    <w:rsid w:val="00B41845"/>
    <w:rsid w:val="00B43262"/>
    <w:rsid w:val="00B5044D"/>
    <w:rsid w:val="00B62E3A"/>
    <w:rsid w:val="00B77E0A"/>
    <w:rsid w:val="00B90189"/>
    <w:rsid w:val="00B915AD"/>
    <w:rsid w:val="00B92930"/>
    <w:rsid w:val="00BB5BC2"/>
    <w:rsid w:val="00BC2747"/>
    <w:rsid w:val="00BC2E82"/>
    <w:rsid w:val="00BD3D12"/>
    <w:rsid w:val="00BE343D"/>
    <w:rsid w:val="00C01AC2"/>
    <w:rsid w:val="00C054CB"/>
    <w:rsid w:val="00C15E05"/>
    <w:rsid w:val="00C16C20"/>
    <w:rsid w:val="00C30DDE"/>
    <w:rsid w:val="00C329A7"/>
    <w:rsid w:val="00C32F4F"/>
    <w:rsid w:val="00C340D8"/>
    <w:rsid w:val="00C562A9"/>
    <w:rsid w:val="00C63652"/>
    <w:rsid w:val="00C74BFB"/>
    <w:rsid w:val="00C82CE9"/>
    <w:rsid w:val="00C93BAE"/>
    <w:rsid w:val="00CA186A"/>
    <w:rsid w:val="00CA2926"/>
    <w:rsid w:val="00CB36D6"/>
    <w:rsid w:val="00CB7F04"/>
    <w:rsid w:val="00CD1EC7"/>
    <w:rsid w:val="00CE7E2F"/>
    <w:rsid w:val="00CF338E"/>
    <w:rsid w:val="00CF37D6"/>
    <w:rsid w:val="00D007AE"/>
    <w:rsid w:val="00D04214"/>
    <w:rsid w:val="00D046A6"/>
    <w:rsid w:val="00D06388"/>
    <w:rsid w:val="00D12C16"/>
    <w:rsid w:val="00D2079D"/>
    <w:rsid w:val="00D30598"/>
    <w:rsid w:val="00D3334C"/>
    <w:rsid w:val="00D33A56"/>
    <w:rsid w:val="00D372B0"/>
    <w:rsid w:val="00D72734"/>
    <w:rsid w:val="00D87B0E"/>
    <w:rsid w:val="00D90C14"/>
    <w:rsid w:val="00DC6DC6"/>
    <w:rsid w:val="00DD5473"/>
    <w:rsid w:val="00DD6E01"/>
    <w:rsid w:val="00DD709E"/>
    <w:rsid w:val="00DD72CD"/>
    <w:rsid w:val="00DE7A1B"/>
    <w:rsid w:val="00DF0ADB"/>
    <w:rsid w:val="00DF707D"/>
    <w:rsid w:val="00E02CA0"/>
    <w:rsid w:val="00E05E02"/>
    <w:rsid w:val="00E073A5"/>
    <w:rsid w:val="00E1241D"/>
    <w:rsid w:val="00E249FD"/>
    <w:rsid w:val="00E26A39"/>
    <w:rsid w:val="00E3341C"/>
    <w:rsid w:val="00E42385"/>
    <w:rsid w:val="00E61CE2"/>
    <w:rsid w:val="00E85438"/>
    <w:rsid w:val="00E9499D"/>
    <w:rsid w:val="00EA4720"/>
    <w:rsid w:val="00EB765F"/>
    <w:rsid w:val="00ED1800"/>
    <w:rsid w:val="00EE09D0"/>
    <w:rsid w:val="00EF4106"/>
    <w:rsid w:val="00EF46AA"/>
    <w:rsid w:val="00F00964"/>
    <w:rsid w:val="00F102F9"/>
    <w:rsid w:val="00F15099"/>
    <w:rsid w:val="00F179DC"/>
    <w:rsid w:val="00F30EE9"/>
    <w:rsid w:val="00F67AB7"/>
    <w:rsid w:val="00F720E2"/>
    <w:rsid w:val="00F84023"/>
    <w:rsid w:val="00F91FCC"/>
    <w:rsid w:val="00FA02CF"/>
    <w:rsid w:val="00FA632E"/>
    <w:rsid w:val="00FB31EC"/>
    <w:rsid w:val="00FB746F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771AB"/>
  <w15:chartTrackingRefBased/>
  <w15:docId w15:val="{71F91B72-04C9-4566-89DD-1D86D4F3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ln">
    <w:name w:val="Normal"/>
    <w:qFormat/>
    <w:rsid w:val="00D72734"/>
  </w:style>
  <w:style w:type="paragraph" w:styleId="Nadpis1">
    <w:name w:val="heading 1"/>
    <w:basedOn w:val="Normln"/>
    <w:next w:val="Normln"/>
    <w:qFormat/>
    <w:locked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locked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locked/>
    <w:pPr>
      <w:keepNext/>
      <w:jc w:val="both"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locked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locked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locked/>
    <w:pPr>
      <w:keepNext/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locked/>
    <w:pPr>
      <w:keepNext/>
      <w:outlineLvl w:val="6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pPr>
      <w:ind w:left="566" w:hanging="283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4"/>
    </w:rPr>
  </w:style>
  <w:style w:type="character" w:styleId="Siln">
    <w:name w:val="Strong"/>
    <w:qFormat/>
    <w:locked/>
    <w:rPr>
      <w:b/>
      <w:bCs/>
    </w:rPr>
  </w:style>
  <w:style w:type="paragraph" w:customStyle="1" w:styleId="JudiktNadpishlavn">
    <w:name w:val="Judikát_Nadpis hlavní"/>
    <w:basedOn w:val="Normln"/>
    <w:rsid w:val="00A153A4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120"/>
      <w:jc w:val="center"/>
    </w:pPr>
    <w:rPr>
      <w:rFonts w:ascii="Calibri" w:hAnsi="Calibri"/>
      <w:b/>
      <w:sz w:val="28"/>
    </w:rPr>
  </w:style>
  <w:style w:type="paragraph" w:customStyle="1" w:styleId="Judiktpopis">
    <w:name w:val="Judikát_popis"/>
    <w:basedOn w:val="Normln"/>
    <w:link w:val="JudiktpopisChar"/>
    <w:qFormat/>
    <w:rsid w:val="004B464B"/>
    <w:pPr>
      <w:spacing w:before="80"/>
      <w:jc w:val="both"/>
    </w:pPr>
    <w:rPr>
      <w:rFonts w:ascii="Calibri" w:hAnsi="Calibri"/>
      <w:sz w:val="22"/>
      <w:szCs w:val="22"/>
    </w:rPr>
  </w:style>
  <w:style w:type="character" w:customStyle="1" w:styleId="JudiktpopisChar">
    <w:name w:val="Judikát_popis Char"/>
    <w:link w:val="Judiktpopis"/>
    <w:rsid w:val="004B464B"/>
    <w:rPr>
      <w:rFonts w:ascii="Calibri" w:hAnsi="Calibri"/>
      <w:sz w:val="22"/>
      <w:szCs w:val="22"/>
      <w:lang w:eastAsia="cs-CZ"/>
    </w:rPr>
  </w:style>
  <w:style w:type="paragraph" w:customStyle="1" w:styleId="Judiktnadpisoddlu">
    <w:name w:val="Judikát_nadpis oddílu"/>
    <w:basedOn w:val="Judiktpopis"/>
    <w:qFormat/>
    <w:rsid w:val="007135A2"/>
    <w:pPr>
      <w:keepNext/>
      <w:keepLines/>
      <w:ind w:left="284" w:hanging="284"/>
    </w:pPr>
    <w:rPr>
      <w:i/>
    </w:rPr>
  </w:style>
  <w:style w:type="paragraph" w:customStyle="1" w:styleId="Judiktnadpispodsti">
    <w:name w:val="Judikát_nadpis podčásti"/>
    <w:basedOn w:val="Judiktnadpisoddlu"/>
    <w:qFormat/>
    <w:rsid w:val="004B464B"/>
    <w:pPr>
      <w:spacing w:before="160"/>
    </w:pPr>
    <w:rPr>
      <w:i w:val="0"/>
      <w:smallCaps/>
    </w:rPr>
  </w:style>
  <w:style w:type="paragraph" w:customStyle="1" w:styleId="Judiktnadpissti">
    <w:name w:val="Judikát_nadpis části"/>
    <w:basedOn w:val="Judiktnadpispodsti"/>
    <w:qFormat/>
    <w:rsid w:val="004B464B"/>
    <w:pPr>
      <w:spacing w:before="240"/>
    </w:pPr>
    <w:rPr>
      <w:b/>
      <w:smallCaps w:val="0"/>
    </w:rPr>
  </w:style>
  <w:style w:type="paragraph" w:customStyle="1" w:styleId="Judiktnadpis">
    <w:name w:val="Judikát_nadpis"/>
    <w:basedOn w:val="Normln"/>
    <w:qFormat/>
    <w:rsid w:val="004B464B"/>
    <w:pPr>
      <w:keepNext/>
      <w:keepLines/>
      <w:spacing w:before="360"/>
      <w:jc w:val="both"/>
    </w:pPr>
    <w:rPr>
      <w:rFonts w:ascii="Calibri" w:hAnsi="Calibri"/>
      <w:b/>
      <w:sz w:val="24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38E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locked/>
    <w:rsid w:val="00CE7E2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E7E2F"/>
    <w:rPr>
      <w:color w:val="800080"/>
      <w:u w:val="single"/>
    </w:rPr>
  </w:style>
  <w:style w:type="paragraph" w:customStyle="1" w:styleId="Judikttext">
    <w:name w:val="Judikát_text"/>
    <w:basedOn w:val="Judiktpopis"/>
    <w:qFormat/>
    <w:rsid w:val="00B77E0A"/>
  </w:style>
  <w:style w:type="paragraph" w:customStyle="1" w:styleId="Judiktnadpispododdlu">
    <w:name w:val="Judikát_nadpis pododdílu"/>
    <w:basedOn w:val="Judiktnadpisoddlu"/>
    <w:qFormat/>
    <w:rsid w:val="001A052C"/>
    <w:rPr>
      <w:i w:val="0"/>
    </w:rPr>
  </w:style>
  <w:style w:type="character" w:customStyle="1" w:styleId="Judikttextkurzvou">
    <w:name w:val="Judikát_text kurzívou"/>
    <w:uiPriority w:val="1"/>
    <w:qFormat/>
    <w:rsid w:val="00A153A4"/>
    <w:rPr>
      <w:i/>
    </w:rPr>
  </w:style>
  <w:style w:type="character" w:customStyle="1" w:styleId="Judikttextsezruenmkurzvy">
    <w:name w:val="Judikát_text se zrušením kurzívy"/>
    <w:uiPriority w:val="1"/>
    <w:qFormat/>
    <w:rsid w:val="00A153A4"/>
    <w:rPr>
      <w:i w:val="0"/>
    </w:rPr>
  </w:style>
  <w:style w:type="character" w:customStyle="1" w:styleId="Judiktnadpisnzevstnostikurzvou">
    <w:name w:val="Judikát_nadpis_název stížnosti kurzívou"/>
    <w:uiPriority w:val="1"/>
    <w:qFormat/>
    <w:rsid w:val="00594CA0"/>
    <w:rPr>
      <w:i/>
    </w:rPr>
  </w:style>
  <w:style w:type="paragraph" w:customStyle="1" w:styleId="slovnstran">
    <w:name w:val="Číslování stran"/>
    <w:basedOn w:val="Zpat"/>
    <w:qFormat/>
    <w:rsid w:val="00D72734"/>
    <w:pPr>
      <w:jc w:val="center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0369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0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0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03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76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9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069D-81CA-4942-AD4B-1C2C455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1498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rozhodnutí ESLP</vt:lpstr>
    </vt:vector>
  </TitlesOfParts>
  <Company>MSp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rozhodnutí ESLP</dc:title>
  <dc:subject/>
  <dc:creator>S</dc:creator>
  <cp:keywords/>
  <cp:lastModifiedBy>Petrová Eva Mgr.</cp:lastModifiedBy>
  <cp:revision>4</cp:revision>
  <cp:lastPrinted>2015-03-23T10:54:00Z</cp:lastPrinted>
  <dcterms:created xsi:type="dcterms:W3CDTF">2021-01-06T10:43:00Z</dcterms:created>
  <dcterms:modified xsi:type="dcterms:W3CDTF">2021-03-22T09:12:00Z</dcterms:modified>
</cp:coreProperties>
</file>