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78E8" w14:textId="77777777" w:rsidR="00E636B2" w:rsidRPr="0057005C" w:rsidRDefault="00E636B2" w:rsidP="009066A2">
      <w:pPr>
        <w:jc w:val="both"/>
        <w:rPr>
          <w:b/>
          <w:sz w:val="40"/>
        </w:rPr>
      </w:pPr>
    </w:p>
    <w:p w14:paraId="3D095032" w14:textId="16312B40" w:rsidR="005E6366" w:rsidRPr="0057005C" w:rsidRDefault="00B67CF4" w:rsidP="009066A2">
      <w:pPr>
        <w:jc w:val="center"/>
        <w:rPr>
          <w:b/>
          <w:sz w:val="40"/>
        </w:rPr>
      </w:pPr>
      <w:r w:rsidRPr="0057005C">
        <w:rPr>
          <w:b/>
          <w:sz w:val="40"/>
        </w:rPr>
        <w:t>Document</w:t>
      </w:r>
      <w:r w:rsidR="005E6366" w:rsidRPr="0057005C">
        <w:rPr>
          <w:b/>
          <w:sz w:val="40"/>
        </w:rPr>
        <w:t xml:space="preserve"> N </w:t>
      </w:r>
      <w:r w:rsidR="002F0DFE">
        <w:rPr>
          <w:b/>
          <w:sz w:val="40"/>
        </w:rPr>
        <w:t>99</w:t>
      </w:r>
    </w:p>
    <w:p w14:paraId="295667EE" w14:textId="563813B4" w:rsidR="00E636B2" w:rsidRPr="0057005C" w:rsidRDefault="00B67CF4" w:rsidP="009066A2">
      <w:pPr>
        <w:jc w:val="center"/>
        <w:rPr>
          <w:b/>
          <w:sz w:val="40"/>
        </w:rPr>
      </w:pPr>
      <w:r w:rsidRPr="0057005C">
        <w:rPr>
          <w:b/>
          <w:sz w:val="40"/>
        </w:rPr>
        <w:t xml:space="preserve">Energy Strategy </w:t>
      </w:r>
      <w:r w:rsidR="0057005C" w:rsidRPr="0057005C">
        <w:rPr>
          <w:b/>
          <w:sz w:val="40"/>
        </w:rPr>
        <w:t>20</w:t>
      </w:r>
      <w:r w:rsidR="00C96264">
        <w:rPr>
          <w:b/>
          <w:sz w:val="40"/>
        </w:rPr>
        <w:t>5</w:t>
      </w:r>
      <w:r w:rsidR="0057005C" w:rsidRPr="0057005C">
        <w:rPr>
          <w:b/>
          <w:sz w:val="40"/>
        </w:rPr>
        <w:t xml:space="preserve">0 </w:t>
      </w:r>
    </w:p>
    <w:p w14:paraId="72DDE029" w14:textId="77777777" w:rsidR="005E6366" w:rsidRPr="0057005C" w:rsidRDefault="005E6366" w:rsidP="009066A2">
      <w:pPr>
        <w:jc w:val="center"/>
        <w:rPr>
          <w:sz w:val="24"/>
        </w:rPr>
      </w:pPr>
    </w:p>
    <w:p w14:paraId="44ED88C5" w14:textId="77777777" w:rsidR="005E6366" w:rsidRPr="0057005C" w:rsidRDefault="00B67CF4" w:rsidP="009066A2">
      <w:pPr>
        <w:jc w:val="center"/>
        <w:rPr>
          <w:i/>
          <w:sz w:val="24"/>
        </w:rPr>
      </w:pPr>
      <w:r w:rsidRPr="0057005C">
        <w:rPr>
          <w:i/>
          <w:sz w:val="24"/>
        </w:rPr>
        <w:t>Draft document for consultations</w:t>
      </w:r>
    </w:p>
    <w:p w14:paraId="67A4BB6A" w14:textId="77777777" w:rsidR="00D130AD" w:rsidRPr="0057005C" w:rsidRDefault="00D130AD" w:rsidP="009066A2">
      <w:pPr>
        <w:jc w:val="both"/>
        <w:rPr>
          <w:i/>
          <w:sz w:val="24"/>
        </w:rPr>
      </w:pPr>
    </w:p>
    <w:p w14:paraId="35B6C725" w14:textId="210F730C" w:rsidR="005E6366" w:rsidRPr="0057005C" w:rsidRDefault="00B67CF4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 xml:space="preserve">Prepared by the Government of </w:t>
      </w:r>
      <w:r w:rsidR="00540477" w:rsidRPr="0057005C">
        <w:rPr>
          <w:sz w:val="24"/>
          <w:szCs w:val="24"/>
        </w:rPr>
        <w:t xml:space="preserve">the </w:t>
      </w:r>
      <w:r w:rsidR="002F0DFE">
        <w:rPr>
          <w:sz w:val="24"/>
          <w:szCs w:val="24"/>
        </w:rPr>
        <w:t>State of Burabarra</w:t>
      </w:r>
      <w:r w:rsidR="00B67278" w:rsidRPr="0057005C">
        <w:rPr>
          <w:sz w:val="24"/>
          <w:szCs w:val="24"/>
        </w:rPr>
        <w:t xml:space="preserve">, </w:t>
      </w:r>
    </w:p>
    <w:p w14:paraId="4002B706" w14:textId="57825D6E" w:rsidR="00E636B2" w:rsidRPr="0057005C" w:rsidRDefault="002F0DFE" w:rsidP="009066A2">
      <w:pPr>
        <w:jc w:val="both"/>
        <w:rPr>
          <w:sz w:val="24"/>
          <w:szCs w:val="24"/>
        </w:rPr>
      </w:pPr>
      <w:r>
        <w:rPr>
          <w:sz w:val="24"/>
          <w:szCs w:val="24"/>
        </w:rPr>
        <w:t>January</w:t>
      </w:r>
      <w:r w:rsidR="00B67CF4" w:rsidRPr="0057005C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</w:p>
    <w:p w14:paraId="43344030" w14:textId="77777777" w:rsidR="00E636B2" w:rsidRPr="0057005C" w:rsidRDefault="00E636B2" w:rsidP="009066A2">
      <w:pPr>
        <w:jc w:val="both"/>
        <w:rPr>
          <w:sz w:val="24"/>
          <w:szCs w:val="24"/>
        </w:rPr>
      </w:pPr>
    </w:p>
    <w:p w14:paraId="468F5791" w14:textId="5CF5A141" w:rsidR="007353A6" w:rsidRPr="0057005C" w:rsidRDefault="00B67CF4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 xml:space="preserve">The core objective of the Energy Strategy </w:t>
      </w:r>
      <w:r w:rsidR="0057005C" w:rsidRPr="0057005C">
        <w:rPr>
          <w:sz w:val="24"/>
          <w:szCs w:val="24"/>
        </w:rPr>
        <w:t>20</w:t>
      </w:r>
      <w:r w:rsidR="002F0DFE">
        <w:rPr>
          <w:sz w:val="24"/>
          <w:szCs w:val="24"/>
        </w:rPr>
        <w:t>5</w:t>
      </w:r>
      <w:r w:rsidR="0057005C" w:rsidRPr="0057005C">
        <w:rPr>
          <w:sz w:val="24"/>
          <w:szCs w:val="24"/>
        </w:rPr>
        <w:t xml:space="preserve">0 </w:t>
      </w:r>
      <w:r w:rsidR="00D130AD" w:rsidRPr="0057005C">
        <w:rPr>
          <w:sz w:val="24"/>
          <w:szCs w:val="24"/>
        </w:rPr>
        <w:t xml:space="preserve">Document </w:t>
      </w:r>
      <w:r w:rsidRPr="0057005C">
        <w:rPr>
          <w:sz w:val="24"/>
          <w:szCs w:val="24"/>
        </w:rPr>
        <w:t xml:space="preserve">(hereinafter, Strategy), consists </w:t>
      </w:r>
      <w:r w:rsidR="00D130AD" w:rsidRPr="0057005C">
        <w:rPr>
          <w:sz w:val="24"/>
          <w:szCs w:val="24"/>
        </w:rPr>
        <w:t>of</w:t>
      </w:r>
      <w:r w:rsidRPr="0057005C">
        <w:rPr>
          <w:sz w:val="24"/>
          <w:szCs w:val="24"/>
        </w:rPr>
        <w:t xml:space="preserve"> enhancing efficient use of energy resources, increas</w:t>
      </w:r>
      <w:r w:rsidR="00D130AD" w:rsidRPr="0057005C">
        <w:rPr>
          <w:sz w:val="24"/>
          <w:szCs w:val="24"/>
        </w:rPr>
        <w:t>ing</w:t>
      </w:r>
      <w:r w:rsidRPr="0057005C">
        <w:rPr>
          <w:sz w:val="24"/>
          <w:szCs w:val="24"/>
        </w:rPr>
        <w:t xml:space="preserve"> competitiveness for sustainable economic development, increas</w:t>
      </w:r>
      <w:r w:rsidR="00D130AD" w:rsidRPr="0057005C">
        <w:rPr>
          <w:sz w:val="24"/>
          <w:szCs w:val="24"/>
        </w:rPr>
        <w:t>ing</w:t>
      </w:r>
      <w:r w:rsidRPr="0057005C">
        <w:rPr>
          <w:sz w:val="24"/>
          <w:szCs w:val="24"/>
        </w:rPr>
        <w:t xml:space="preserve"> quality of life</w:t>
      </w:r>
      <w:r w:rsidR="00D130AD" w:rsidRPr="0057005C">
        <w:rPr>
          <w:sz w:val="24"/>
          <w:szCs w:val="24"/>
        </w:rPr>
        <w:t>,</w:t>
      </w:r>
      <w:r w:rsidRPr="0057005C">
        <w:rPr>
          <w:sz w:val="24"/>
          <w:szCs w:val="24"/>
        </w:rPr>
        <w:t xml:space="preserve"> and reduc</w:t>
      </w:r>
      <w:r w:rsidR="00D130AD" w:rsidRPr="0057005C">
        <w:rPr>
          <w:sz w:val="24"/>
          <w:szCs w:val="24"/>
        </w:rPr>
        <w:t>ing</w:t>
      </w:r>
      <w:r w:rsidRPr="0057005C">
        <w:rPr>
          <w:sz w:val="24"/>
          <w:szCs w:val="24"/>
        </w:rPr>
        <w:t xml:space="preserve"> energy poverty. The present Document sets objectives and implementation mechanisms for the period up to 20</w:t>
      </w:r>
      <w:r w:rsidR="002F0DFE">
        <w:rPr>
          <w:sz w:val="24"/>
          <w:szCs w:val="24"/>
        </w:rPr>
        <w:t>5</w:t>
      </w:r>
      <w:r w:rsidRPr="0057005C">
        <w:rPr>
          <w:sz w:val="24"/>
          <w:szCs w:val="24"/>
        </w:rPr>
        <w:t xml:space="preserve">0. </w:t>
      </w:r>
    </w:p>
    <w:p w14:paraId="041F1F42" w14:textId="77777777" w:rsidR="003B5ED9" w:rsidRPr="0057005C" w:rsidRDefault="003B5ED9" w:rsidP="009066A2">
      <w:pPr>
        <w:jc w:val="both"/>
        <w:rPr>
          <w:sz w:val="24"/>
          <w:szCs w:val="24"/>
        </w:rPr>
      </w:pPr>
    </w:p>
    <w:p w14:paraId="38FEE8B0" w14:textId="77777777" w:rsidR="00B61966" w:rsidRPr="0057005C" w:rsidRDefault="00B61966" w:rsidP="009066A2">
      <w:pPr>
        <w:jc w:val="both"/>
        <w:rPr>
          <w:sz w:val="24"/>
          <w:szCs w:val="24"/>
        </w:rPr>
      </w:pPr>
    </w:p>
    <w:p w14:paraId="56044D2D" w14:textId="2987BD24" w:rsidR="00B61966" w:rsidRPr="0057005C" w:rsidRDefault="00D130AD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>The s</w:t>
      </w:r>
      <w:r w:rsidR="003C0279" w:rsidRPr="0057005C">
        <w:rPr>
          <w:sz w:val="24"/>
          <w:szCs w:val="24"/>
        </w:rPr>
        <w:t>tructure of the Strategy contains the following elements</w:t>
      </w:r>
      <w:r w:rsidR="00B61966" w:rsidRPr="0057005C">
        <w:rPr>
          <w:sz w:val="24"/>
          <w:szCs w:val="24"/>
        </w:rPr>
        <w:t>:</w:t>
      </w:r>
    </w:p>
    <w:p w14:paraId="7E11A663" w14:textId="77777777" w:rsidR="00B61966" w:rsidRPr="0057005C" w:rsidRDefault="00B61966" w:rsidP="009066A2">
      <w:pPr>
        <w:jc w:val="both"/>
        <w:rPr>
          <w:sz w:val="24"/>
          <w:szCs w:val="24"/>
        </w:rPr>
      </w:pPr>
    </w:p>
    <w:p w14:paraId="06292B84" w14:textId="61225815" w:rsidR="00B61966" w:rsidRPr="0057005C" w:rsidRDefault="00763295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>1</w:t>
      </w:r>
      <w:r w:rsidR="00B61966" w:rsidRPr="0057005C">
        <w:rPr>
          <w:sz w:val="24"/>
          <w:szCs w:val="24"/>
        </w:rPr>
        <w:t xml:space="preserve">. </w:t>
      </w:r>
      <w:r w:rsidR="003C0279" w:rsidRPr="0057005C">
        <w:rPr>
          <w:sz w:val="24"/>
          <w:szCs w:val="24"/>
        </w:rPr>
        <w:t xml:space="preserve">Main principles of the </w:t>
      </w:r>
      <w:r w:rsidR="00D130AD" w:rsidRPr="0057005C">
        <w:rPr>
          <w:sz w:val="24"/>
          <w:szCs w:val="24"/>
        </w:rPr>
        <w:t>Energy Strategy</w:t>
      </w:r>
      <w:r w:rsidR="0057005C" w:rsidRPr="0057005C">
        <w:rPr>
          <w:sz w:val="24"/>
          <w:szCs w:val="24"/>
        </w:rPr>
        <w:t xml:space="preserve"> 20</w:t>
      </w:r>
      <w:r w:rsidR="002F0DFE">
        <w:rPr>
          <w:sz w:val="24"/>
          <w:szCs w:val="24"/>
        </w:rPr>
        <w:t>5</w:t>
      </w:r>
      <w:r w:rsidR="0057005C" w:rsidRPr="0057005C">
        <w:rPr>
          <w:sz w:val="24"/>
          <w:szCs w:val="24"/>
        </w:rPr>
        <w:t>0</w:t>
      </w:r>
    </w:p>
    <w:p w14:paraId="74770AB1" w14:textId="77777777" w:rsidR="00B61966" w:rsidRPr="0057005C" w:rsidRDefault="00B61966" w:rsidP="009066A2">
      <w:pPr>
        <w:jc w:val="both"/>
        <w:rPr>
          <w:sz w:val="24"/>
          <w:szCs w:val="24"/>
        </w:rPr>
      </w:pPr>
    </w:p>
    <w:p w14:paraId="15E21ACB" w14:textId="59EAF463" w:rsidR="00B61966" w:rsidRPr="0057005C" w:rsidRDefault="00763295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>2</w:t>
      </w:r>
      <w:r w:rsidR="00B61966" w:rsidRPr="0057005C">
        <w:rPr>
          <w:sz w:val="24"/>
          <w:szCs w:val="24"/>
        </w:rPr>
        <w:t xml:space="preserve">. </w:t>
      </w:r>
      <w:r w:rsidR="003C0279" w:rsidRPr="0057005C">
        <w:rPr>
          <w:sz w:val="24"/>
          <w:szCs w:val="24"/>
        </w:rPr>
        <w:t xml:space="preserve">Specific objectives for </w:t>
      </w:r>
      <w:r w:rsidR="00D130AD" w:rsidRPr="0057005C">
        <w:rPr>
          <w:sz w:val="24"/>
          <w:szCs w:val="24"/>
        </w:rPr>
        <w:t xml:space="preserve">the </w:t>
      </w:r>
      <w:r w:rsidR="002F0DFE">
        <w:rPr>
          <w:sz w:val="24"/>
          <w:szCs w:val="24"/>
        </w:rPr>
        <w:t>lignite</w:t>
      </w:r>
      <w:r w:rsidR="003C0279" w:rsidRPr="0057005C">
        <w:rPr>
          <w:sz w:val="24"/>
          <w:szCs w:val="24"/>
        </w:rPr>
        <w:t xml:space="preserve"> industry</w:t>
      </w:r>
    </w:p>
    <w:p w14:paraId="1E2AA634" w14:textId="77777777" w:rsidR="00B61966" w:rsidRPr="0057005C" w:rsidRDefault="00B61966" w:rsidP="009066A2">
      <w:pPr>
        <w:jc w:val="both"/>
        <w:rPr>
          <w:sz w:val="24"/>
          <w:szCs w:val="24"/>
        </w:rPr>
      </w:pPr>
    </w:p>
    <w:p w14:paraId="6536E52A" w14:textId="77777777" w:rsidR="00B61966" w:rsidRPr="0057005C" w:rsidRDefault="00763295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>3</w:t>
      </w:r>
      <w:r w:rsidR="00B61966" w:rsidRPr="0057005C">
        <w:rPr>
          <w:sz w:val="24"/>
          <w:szCs w:val="24"/>
        </w:rPr>
        <w:t xml:space="preserve">. </w:t>
      </w:r>
      <w:r w:rsidR="003C0279" w:rsidRPr="0057005C">
        <w:rPr>
          <w:sz w:val="24"/>
          <w:szCs w:val="24"/>
        </w:rPr>
        <w:t xml:space="preserve">Specific objectives for </w:t>
      </w:r>
      <w:r w:rsidR="00D130AD" w:rsidRPr="0057005C">
        <w:rPr>
          <w:sz w:val="24"/>
          <w:szCs w:val="24"/>
        </w:rPr>
        <w:t xml:space="preserve">the </w:t>
      </w:r>
      <w:r w:rsidR="003C0279" w:rsidRPr="0057005C">
        <w:rPr>
          <w:sz w:val="24"/>
          <w:szCs w:val="24"/>
        </w:rPr>
        <w:t>gas industry</w:t>
      </w:r>
    </w:p>
    <w:p w14:paraId="06027904" w14:textId="77777777" w:rsidR="00B61966" w:rsidRPr="0057005C" w:rsidRDefault="00B61966" w:rsidP="009066A2">
      <w:pPr>
        <w:jc w:val="both"/>
        <w:rPr>
          <w:sz w:val="24"/>
          <w:szCs w:val="24"/>
        </w:rPr>
      </w:pPr>
    </w:p>
    <w:p w14:paraId="2417091C" w14:textId="4FC8962B" w:rsidR="002F0DFE" w:rsidRDefault="00763295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>4</w:t>
      </w:r>
      <w:r w:rsidR="00B61966" w:rsidRPr="0057005C">
        <w:rPr>
          <w:sz w:val="24"/>
          <w:szCs w:val="24"/>
        </w:rPr>
        <w:t xml:space="preserve">. </w:t>
      </w:r>
      <w:r w:rsidR="002F0DFE" w:rsidRPr="0057005C">
        <w:rPr>
          <w:sz w:val="24"/>
          <w:szCs w:val="24"/>
        </w:rPr>
        <w:t xml:space="preserve">Specific objectives for the </w:t>
      </w:r>
      <w:r w:rsidR="002F0DFE">
        <w:rPr>
          <w:sz w:val="24"/>
          <w:szCs w:val="24"/>
        </w:rPr>
        <w:t xml:space="preserve">power </w:t>
      </w:r>
      <w:r w:rsidR="002F0DFE" w:rsidRPr="0057005C">
        <w:rPr>
          <w:sz w:val="24"/>
          <w:szCs w:val="24"/>
        </w:rPr>
        <w:t xml:space="preserve">sector </w:t>
      </w:r>
    </w:p>
    <w:p w14:paraId="0FD99D0A" w14:textId="77777777" w:rsidR="002F0DFE" w:rsidRDefault="002F0DFE" w:rsidP="009066A2">
      <w:pPr>
        <w:jc w:val="both"/>
        <w:rPr>
          <w:sz w:val="24"/>
          <w:szCs w:val="24"/>
        </w:rPr>
      </w:pPr>
    </w:p>
    <w:p w14:paraId="27E9527D" w14:textId="5D35C590" w:rsidR="00B61966" w:rsidRDefault="002F0DFE" w:rsidP="00906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4,a  </w:t>
      </w:r>
      <w:r w:rsidR="003C0279" w:rsidRPr="0057005C">
        <w:rPr>
          <w:sz w:val="24"/>
          <w:szCs w:val="24"/>
        </w:rPr>
        <w:t>Specific objectives for renewable energy sources (RES)</w:t>
      </w:r>
    </w:p>
    <w:p w14:paraId="72E90C43" w14:textId="71885635" w:rsidR="002F0DFE" w:rsidRDefault="002F0DFE" w:rsidP="009066A2">
      <w:pPr>
        <w:jc w:val="both"/>
        <w:rPr>
          <w:sz w:val="24"/>
          <w:szCs w:val="24"/>
        </w:rPr>
      </w:pPr>
    </w:p>
    <w:p w14:paraId="16601070" w14:textId="24CAF562" w:rsidR="002F0DFE" w:rsidRPr="0057005C" w:rsidRDefault="002F0DFE" w:rsidP="009066A2">
      <w:pPr>
        <w:jc w:val="both"/>
        <w:rPr>
          <w:sz w:val="24"/>
          <w:szCs w:val="24"/>
        </w:rPr>
      </w:pPr>
    </w:p>
    <w:p w14:paraId="3D0E5C8D" w14:textId="77777777" w:rsidR="00B61966" w:rsidRPr="0057005C" w:rsidRDefault="00B61966" w:rsidP="009066A2">
      <w:pPr>
        <w:jc w:val="both"/>
        <w:rPr>
          <w:sz w:val="24"/>
          <w:szCs w:val="24"/>
        </w:rPr>
      </w:pPr>
    </w:p>
    <w:p w14:paraId="3148B210" w14:textId="291A12DE" w:rsidR="003B5ED9" w:rsidRPr="0057005C" w:rsidRDefault="003B5ED9" w:rsidP="009066A2">
      <w:pPr>
        <w:jc w:val="both"/>
        <w:rPr>
          <w:sz w:val="24"/>
          <w:szCs w:val="24"/>
        </w:rPr>
      </w:pPr>
    </w:p>
    <w:p w14:paraId="4CE3D0A0" w14:textId="77777777" w:rsidR="00FD2942" w:rsidRPr="0057005C" w:rsidRDefault="00FD2942" w:rsidP="009066A2">
      <w:pPr>
        <w:jc w:val="both"/>
        <w:rPr>
          <w:sz w:val="24"/>
          <w:szCs w:val="24"/>
        </w:rPr>
      </w:pPr>
    </w:p>
    <w:p w14:paraId="5AC76889" w14:textId="77777777" w:rsidR="00FD2942" w:rsidRPr="0057005C" w:rsidRDefault="00FD2942" w:rsidP="009066A2">
      <w:pPr>
        <w:spacing w:after="200"/>
        <w:jc w:val="both"/>
        <w:rPr>
          <w:sz w:val="24"/>
          <w:szCs w:val="24"/>
        </w:rPr>
      </w:pPr>
    </w:p>
    <w:p w14:paraId="76BFE67A" w14:textId="77777777" w:rsidR="001E6273" w:rsidRDefault="001E6273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022484" w14:textId="576FCAB2" w:rsidR="00E7686E" w:rsidRPr="0057005C" w:rsidRDefault="00763295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lastRenderedPageBreak/>
        <w:t>1</w:t>
      </w:r>
      <w:r w:rsidR="00E7686E" w:rsidRPr="0057005C">
        <w:rPr>
          <w:sz w:val="24"/>
          <w:szCs w:val="24"/>
        </w:rPr>
        <w:t xml:space="preserve">. </w:t>
      </w:r>
      <w:r w:rsidR="00FC2F35" w:rsidRPr="0057005C">
        <w:rPr>
          <w:sz w:val="24"/>
          <w:szCs w:val="24"/>
        </w:rPr>
        <w:t>Basic Objectives of the Energy Strategy</w:t>
      </w:r>
    </w:p>
    <w:p w14:paraId="003FA024" w14:textId="77777777" w:rsidR="006837DC" w:rsidRPr="0057005C" w:rsidRDefault="006837DC" w:rsidP="009066A2">
      <w:pPr>
        <w:jc w:val="both"/>
        <w:rPr>
          <w:sz w:val="24"/>
          <w:szCs w:val="24"/>
        </w:rPr>
      </w:pPr>
    </w:p>
    <w:p w14:paraId="23EF43CC" w14:textId="6CC06BAC" w:rsidR="00E7686E" w:rsidRPr="0057005C" w:rsidRDefault="00FC2F35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>Three</w:t>
      </w:r>
      <w:r w:rsidR="00CA493E" w:rsidRPr="0057005C">
        <w:rPr>
          <w:sz w:val="24"/>
          <w:szCs w:val="24"/>
        </w:rPr>
        <w:t xml:space="preserve"> main dimensions of </w:t>
      </w:r>
      <w:r w:rsidR="002F0DFE">
        <w:rPr>
          <w:sz w:val="24"/>
          <w:szCs w:val="24"/>
        </w:rPr>
        <w:t>Burabarra</w:t>
      </w:r>
      <w:r w:rsidR="00CA493E" w:rsidRPr="0057005C">
        <w:rPr>
          <w:sz w:val="24"/>
          <w:szCs w:val="24"/>
        </w:rPr>
        <w:t xml:space="preserve"> </w:t>
      </w:r>
      <w:r w:rsidRPr="0057005C">
        <w:rPr>
          <w:sz w:val="24"/>
          <w:szCs w:val="24"/>
        </w:rPr>
        <w:t>energy policy are</w:t>
      </w:r>
      <w:r w:rsidR="00E7686E" w:rsidRPr="0057005C">
        <w:rPr>
          <w:sz w:val="24"/>
          <w:szCs w:val="24"/>
        </w:rPr>
        <w:t>:</w:t>
      </w:r>
    </w:p>
    <w:p w14:paraId="2D089DDD" w14:textId="77777777" w:rsidR="00E7686E" w:rsidRPr="0057005C" w:rsidRDefault="00E7686E" w:rsidP="009066A2">
      <w:pPr>
        <w:jc w:val="both"/>
        <w:rPr>
          <w:sz w:val="24"/>
          <w:szCs w:val="24"/>
        </w:rPr>
      </w:pPr>
    </w:p>
    <w:p w14:paraId="3E9CE45A" w14:textId="180FD856" w:rsidR="00E7686E" w:rsidRPr="0057005C" w:rsidRDefault="00FC2F35" w:rsidP="0057005C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>Energy security</w:t>
      </w:r>
      <w:r w:rsidR="0057005C" w:rsidRPr="0057005C">
        <w:rPr>
          <w:sz w:val="24"/>
          <w:szCs w:val="24"/>
        </w:rPr>
        <w:t>:</w:t>
      </w:r>
      <w:r w:rsidRPr="0057005C">
        <w:rPr>
          <w:sz w:val="24"/>
          <w:szCs w:val="24"/>
        </w:rPr>
        <w:t xml:space="preserve"> defined as supply availability, transit and demand security</w:t>
      </w:r>
      <w:r w:rsidR="009066A2" w:rsidRPr="0057005C">
        <w:rPr>
          <w:sz w:val="24"/>
          <w:szCs w:val="24"/>
        </w:rPr>
        <w:t>,</w:t>
      </w:r>
      <w:r w:rsidRPr="0057005C">
        <w:rPr>
          <w:sz w:val="24"/>
          <w:szCs w:val="24"/>
        </w:rPr>
        <w:t xml:space="preserve"> and energy poverty abatement.</w:t>
      </w:r>
      <w:r w:rsidR="00F20277" w:rsidRPr="0057005C">
        <w:rPr>
          <w:sz w:val="24"/>
          <w:szCs w:val="24"/>
        </w:rPr>
        <w:t xml:space="preserve"> </w:t>
      </w:r>
      <w:r w:rsidR="00A96164" w:rsidRPr="0057005C">
        <w:rPr>
          <w:sz w:val="24"/>
          <w:szCs w:val="24"/>
        </w:rPr>
        <w:t>[</w:t>
      </w:r>
      <w:r w:rsidR="003C2769">
        <w:rPr>
          <w:i/>
          <w:sz w:val="24"/>
          <w:szCs w:val="24"/>
        </w:rPr>
        <w:t>especially inclusion of an</w:t>
      </w:r>
      <w:r w:rsidRPr="0057005C">
        <w:rPr>
          <w:i/>
          <w:sz w:val="24"/>
          <w:szCs w:val="24"/>
        </w:rPr>
        <w:t xml:space="preserve"> access to energy for remote regions</w:t>
      </w:r>
      <w:r w:rsidR="003C2769">
        <w:rPr>
          <w:i/>
          <w:sz w:val="24"/>
          <w:szCs w:val="24"/>
        </w:rPr>
        <w:t xml:space="preserve"> under the definition of energy security may be negotiated</w:t>
      </w:r>
      <w:r w:rsidR="00A96164" w:rsidRPr="0057005C">
        <w:rPr>
          <w:sz w:val="24"/>
          <w:szCs w:val="24"/>
        </w:rPr>
        <w:t>]</w:t>
      </w:r>
      <w:r w:rsidR="00F20277" w:rsidRPr="0057005C">
        <w:rPr>
          <w:sz w:val="24"/>
          <w:szCs w:val="24"/>
        </w:rPr>
        <w:t xml:space="preserve"> </w:t>
      </w:r>
    </w:p>
    <w:p w14:paraId="23F12BF6" w14:textId="2F767AB3" w:rsidR="00E7686E" w:rsidRPr="0057005C" w:rsidRDefault="0027053A" w:rsidP="0057005C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>Competitiveness: in the context of growing economic competition, energy must be affordable for consumers</w:t>
      </w:r>
      <w:r w:rsidR="00E7686E" w:rsidRPr="0057005C">
        <w:rPr>
          <w:sz w:val="24"/>
          <w:szCs w:val="24"/>
        </w:rPr>
        <w:t>.</w:t>
      </w:r>
      <w:r w:rsidRPr="0057005C">
        <w:rPr>
          <w:sz w:val="24"/>
          <w:szCs w:val="24"/>
        </w:rPr>
        <w:t xml:space="preserve"> </w:t>
      </w:r>
      <w:r w:rsidR="0057005C" w:rsidRPr="0057005C">
        <w:rPr>
          <w:sz w:val="24"/>
          <w:szCs w:val="24"/>
        </w:rPr>
        <w:t xml:space="preserve">The </w:t>
      </w:r>
      <w:r w:rsidR="002F0DFE">
        <w:rPr>
          <w:sz w:val="24"/>
          <w:szCs w:val="24"/>
        </w:rPr>
        <w:t>State of Burabarra</w:t>
      </w:r>
      <w:r w:rsidRPr="0057005C">
        <w:rPr>
          <w:sz w:val="24"/>
          <w:szCs w:val="24"/>
        </w:rPr>
        <w:t xml:space="preserve"> plans to increase revenues from gas exports</w:t>
      </w:r>
      <w:r w:rsidR="00E7686E" w:rsidRPr="0057005C">
        <w:rPr>
          <w:sz w:val="24"/>
          <w:szCs w:val="24"/>
        </w:rPr>
        <w:t>.</w:t>
      </w:r>
      <w:r w:rsidR="0054582B" w:rsidRPr="0057005C">
        <w:rPr>
          <w:sz w:val="24"/>
          <w:szCs w:val="24"/>
        </w:rPr>
        <w:t xml:space="preserve"> [</w:t>
      </w:r>
      <w:r w:rsidRPr="0057005C">
        <w:rPr>
          <w:i/>
          <w:sz w:val="24"/>
          <w:szCs w:val="24"/>
        </w:rPr>
        <w:t>Increase</w:t>
      </w:r>
      <w:r w:rsidR="003C2769">
        <w:rPr>
          <w:i/>
          <w:sz w:val="24"/>
          <w:szCs w:val="24"/>
        </w:rPr>
        <w:t>d</w:t>
      </w:r>
      <w:r w:rsidRPr="0057005C">
        <w:rPr>
          <w:i/>
          <w:sz w:val="24"/>
          <w:szCs w:val="24"/>
        </w:rPr>
        <w:t xml:space="preserve"> competitiveness also requires electricity and gas sector restructuring</w:t>
      </w:r>
      <w:r w:rsidR="003C2769">
        <w:rPr>
          <w:i/>
          <w:sz w:val="24"/>
          <w:szCs w:val="24"/>
        </w:rPr>
        <w:t>, negotiate whether the restructuring of electricity and gas sectors should be mentioned in the strategy</w:t>
      </w:r>
      <w:r w:rsidR="0054582B" w:rsidRPr="0057005C">
        <w:rPr>
          <w:sz w:val="24"/>
          <w:szCs w:val="24"/>
        </w:rPr>
        <w:t>]</w:t>
      </w:r>
    </w:p>
    <w:p w14:paraId="2FC51460" w14:textId="6F26C0A5" w:rsidR="002F0DFE" w:rsidRPr="002F0DFE" w:rsidRDefault="00EC1CFC" w:rsidP="009066A2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>Sustainable development</w:t>
      </w:r>
      <w:r w:rsidR="00E7686E" w:rsidRPr="0057005C">
        <w:rPr>
          <w:sz w:val="24"/>
          <w:szCs w:val="24"/>
        </w:rPr>
        <w:t>:</w:t>
      </w:r>
      <w:r w:rsidRPr="0057005C">
        <w:rPr>
          <w:sz w:val="24"/>
          <w:szCs w:val="24"/>
        </w:rPr>
        <w:t xml:space="preserve"> </w:t>
      </w:r>
      <w:r w:rsidR="0057005C" w:rsidRPr="0057005C">
        <w:rPr>
          <w:sz w:val="24"/>
          <w:szCs w:val="24"/>
        </w:rPr>
        <w:t xml:space="preserve">the </w:t>
      </w:r>
      <w:r w:rsidRPr="0057005C">
        <w:rPr>
          <w:sz w:val="24"/>
          <w:szCs w:val="24"/>
        </w:rPr>
        <w:t xml:space="preserve">Strategy should avoid non-sustainable policy options. Sustainability is defined </w:t>
      </w:r>
      <w:r w:rsidR="0057005C" w:rsidRPr="0057005C">
        <w:rPr>
          <w:sz w:val="24"/>
          <w:szCs w:val="24"/>
        </w:rPr>
        <w:t>as</w:t>
      </w:r>
      <w:r w:rsidRPr="0057005C">
        <w:rPr>
          <w:sz w:val="24"/>
          <w:szCs w:val="24"/>
        </w:rPr>
        <w:t xml:space="preserve"> adequate supply for the current economic system </w:t>
      </w:r>
      <w:r w:rsidR="0057005C" w:rsidRPr="0057005C">
        <w:rPr>
          <w:sz w:val="24"/>
          <w:szCs w:val="24"/>
        </w:rPr>
        <w:t>that does not</w:t>
      </w:r>
      <w:r w:rsidRPr="0057005C">
        <w:rPr>
          <w:sz w:val="24"/>
          <w:szCs w:val="24"/>
        </w:rPr>
        <w:t xml:space="preserve"> hinder long term interests. </w:t>
      </w:r>
      <w:r w:rsidR="0057005C" w:rsidRPr="0057005C">
        <w:rPr>
          <w:sz w:val="24"/>
          <w:szCs w:val="24"/>
        </w:rPr>
        <w:t xml:space="preserve">The </w:t>
      </w:r>
      <w:r w:rsidRPr="0057005C">
        <w:rPr>
          <w:sz w:val="24"/>
          <w:szCs w:val="24"/>
        </w:rPr>
        <w:t xml:space="preserve">Strategy includes targets related to improvement of </w:t>
      </w:r>
      <w:r w:rsidR="0057005C" w:rsidRPr="0057005C">
        <w:rPr>
          <w:sz w:val="24"/>
          <w:szCs w:val="24"/>
        </w:rPr>
        <w:t xml:space="preserve">the </w:t>
      </w:r>
      <w:r w:rsidRPr="0057005C">
        <w:rPr>
          <w:sz w:val="24"/>
          <w:szCs w:val="24"/>
        </w:rPr>
        <w:t xml:space="preserve">ecological situation in the country. </w:t>
      </w:r>
      <w:r w:rsidRPr="00CC2CEC">
        <w:rPr>
          <w:iCs/>
          <w:sz w:val="24"/>
          <w:szCs w:val="24"/>
        </w:rPr>
        <w:t>Objective is to reduce GHG emissions by</w:t>
      </w:r>
      <w:r w:rsidRPr="0057005C">
        <w:rPr>
          <w:i/>
          <w:sz w:val="24"/>
          <w:szCs w:val="24"/>
        </w:rPr>
        <w:t xml:space="preserve"> </w:t>
      </w:r>
      <w:r w:rsidR="003C2769" w:rsidRPr="0057005C">
        <w:rPr>
          <w:sz w:val="24"/>
          <w:szCs w:val="24"/>
        </w:rPr>
        <w:t>[</w:t>
      </w:r>
      <w:r w:rsidR="00A3527D">
        <w:rPr>
          <w:i/>
          <w:sz w:val="24"/>
          <w:szCs w:val="24"/>
        </w:rPr>
        <w:t>4</w:t>
      </w:r>
      <w:r w:rsidR="002F0DFE">
        <w:rPr>
          <w:i/>
          <w:sz w:val="24"/>
          <w:szCs w:val="24"/>
        </w:rPr>
        <w:t>5</w:t>
      </w:r>
      <w:r w:rsidR="005E4A17" w:rsidRPr="0057005C">
        <w:rPr>
          <w:i/>
          <w:sz w:val="24"/>
          <w:szCs w:val="24"/>
        </w:rPr>
        <w:t>%</w:t>
      </w:r>
      <w:r w:rsidR="003C2769" w:rsidRPr="0057005C">
        <w:rPr>
          <w:sz w:val="24"/>
          <w:szCs w:val="24"/>
        </w:rPr>
        <w:t>]</w:t>
      </w:r>
      <w:r w:rsidR="005E4A17" w:rsidRPr="0057005C">
        <w:rPr>
          <w:i/>
          <w:sz w:val="24"/>
          <w:szCs w:val="24"/>
        </w:rPr>
        <w:t xml:space="preserve"> </w:t>
      </w:r>
      <w:r w:rsidRPr="00CC2CEC">
        <w:rPr>
          <w:iCs/>
          <w:sz w:val="24"/>
          <w:szCs w:val="24"/>
        </w:rPr>
        <w:t>by</w:t>
      </w:r>
    </w:p>
    <w:p w14:paraId="763038FB" w14:textId="6FDCDA8C" w:rsidR="00FD2942" w:rsidRDefault="0057005C" w:rsidP="002F0DFE">
      <w:pPr>
        <w:pStyle w:val="ListParagraph"/>
        <w:ind w:left="709"/>
        <w:jc w:val="both"/>
        <w:rPr>
          <w:sz w:val="24"/>
          <w:szCs w:val="24"/>
        </w:rPr>
      </w:pPr>
      <w:r w:rsidRPr="0057005C">
        <w:rPr>
          <w:i/>
          <w:sz w:val="24"/>
          <w:szCs w:val="24"/>
        </w:rPr>
        <w:t xml:space="preserve"> </w:t>
      </w:r>
      <w:r w:rsidR="003C2769" w:rsidRPr="0057005C">
        <w:rPr>
          <w:sz w:val="24"/>
          <w:szCs w:val="24"/>
        </w:rPr>
        <w:t>[</w:t>
      </w:r>
      <w:r w:rsidRPr="0057005C">
        <w:rPr>
          <w:i/>
          <w:sz w:val="24"/>
          <w:szCs w:val="24"/>
        </w:rPr>
        <w:t>20</w:t>
      </w:r>
      <w:r w:rsidR="002F0DFE">
        <w:rPr>
          <w:i/>
          <w:sz w:val="24"/>
          <w:szCs w:val="24"/>
        </w:rPr>
        <w:t>5</w:t>
      </w:r>
      <w:r w:rsidRPr="0057005C">
        <w:rPr>
          <w:i/>
          <w:sz w:val="24"/>
          <w:szCs w:val="24"/>
        </w:rPr>
        <w:t>0</w:t>
      </w:r>
      <w:r w:rsidR="005E4A17" w:rsidRPr="0057005C">
        <w:rPr>
          <w:sz w:val="24"/>
          <w:szCs w:val="24"/>
        </w:rPr>
        <w:t>]</w:t>
      </w:r>
      <w:r w:rsidR="003C2769">
        <w:rPr>
          <w:sz w:val="24"/>
          <w:szCs w:val="24"/>
        </w:rPr>
        <w:t>.</w:t>
      </w:r>
    </w:p>
    <w:p w14:paraId="22854A2C" w14:textId="77777777" w:rsidR="00A3527D" w:rsidRDefault="002F0DFE" w:rsidP="002F0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     Commitments of the Energy Strategy should be translated into the updated </w:t>
      </w:r>
      <w:r w:rsidR="00A3527D">
        <w:rPr>
          <w:sz w:val="24"/>
          <w:szCs w:val="24"/>
        </w:rPr>
        <w:t>version of the</w:t>
      </w:r>
    </w:p>
    <w:p w14:paraId="61CB1F7C" w14:textId="57DF0FC6" w:rsidR="002F0DFE" w:rsidRPr="002F0DFE" w:rsidRDefault="00A3527D" w:rsidP="002F0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NDC and submitted to the UNFCCC before COP28 meeting in Dubai, in November 2023.</w:t>
      </w:r>
    </w:p>
    <w:p w14:paraId="3306F35D" w14:textId="77777777" w:rsidR="00FD2942" w:rsidRPr="0057005C" w:rsidRDefault="00FD2942" w:rsidP="009066A2">
      <w:pPr>
        <w:jc w:val="both"/>
        <w:rPr>
          <w:sz w:val="24"/>
          <w:szCs w:val="24"/>
        </w:rPr>
      </w:pPr>
    </w:p>
    <w:p w14:paraId="2CB30C21" w14:textId="3D282801" w:rsidR="00E7686E" w:rsidRPr="0057005C" w:rsidRDefault="00061113" w:rsidP="009066A2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57005C">
        <w:rPr>
          <w:sz w:val="24"/>
          <w:szCs w:val="24"/>
        </w:rPr>
        <w:t xml:space="preserve">Specific </w:t>
      </w:r>
      <w:r w:rsidR="00787F5D" w:rsidRPr="0057005C">
        <w:rPr>
          <w:sz w:val="24"/>
          <w:szCs w:val="24"/>
        </w:rPr>
        <w:t>targets</w:t>
      </w:r>
      <w:r w:rsidRPr="0057005C">
        <w:rPr>
          <w:sz w:val="24"/>
          <w:szCs w:val="24"/>
        </w:rPr>
        <w:t xml:space="preserve"> for </w:t>
      </w:r>
      <w:r w:rsidR="0057005C" w:rsidRPr="0057005C">
        <w:rPr>
          <w:sz w:val="24"/>
          <w:szCs w:val="24"/>
        </w:rPr>
        <w:t xml:space="preserve">the </w:t>
      </w:r>
      <w:r w:rsidR="00A3527D">
        <w:rPr>
          <w:sz w:val="24"/>
          <w:szCs w:val="24"/>
        </w:rPr>
        <w:t xml:space="preserve">lignite </w:t>
      </w:r>
      <w:r w:rsidRPr="0057005C">
        <w:rPr>
          <w:sz w:val="24"/>
          <w:szCs w:val="24"/>
        </w:rPr>
        <w:t>industry</w:t>
      </w:r>
    </w:p>
    <w:p w14:paraId="6BE5238E" w14:textId="77777777" w:rsidR="009066A2" w:rsidRPr="0057005C" w:rsidRDefault="009066A2" w:rsidP="009066A2">
      <w:pPr>
        <w:jc w:val="both"/>
        <w:rPr>
          <w:sz w:val="24"/>
          <w:szCs w:val="24"/>
        </w:rPr>
      </w:pPr>
    </w:p>
    <w:p w14:paraId="5091E90F" w14:textId="493F0D20" w:rsidR="0057005C" w:rsidRPr="0057005C" w:rsidRDefault="0057005C" w:rsidP="0057005C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>The d</w:t>
      </w:r>
      <w:r w:rsidR="00061113" w:rsidRPr="0057005C">
        <w:rPr>
          <w:sz w:val="24"/>
          <w:szCs w:val="24"/>
        </w:rPr>
        <w:t>ecline in coal production rates necessitates social spending</w:t>
      </w:r>
      <w:r w:rsidRPr="0057005C">
        <w:rPr>
          <w:sz w:val="24"/>
          <w:szCs w:val="24"/>
        </w:rPr>
        <w:t>,</w:t>
      </w:r>
      <w:r w:rsidR="00061113" w:rsidRPr="0057005C">
        <w:rPr>
          <w:sz w:val="24"/>
          <w:szCs w:val="24"/>
        </w:rPr>
        <w:t xml:space="preserve"> especially for regions with a higher depletion rate. There is a need to consider </w:t>
      </w:r>
      <w:r w:rsidR="00D15D09" w:rsidRPr="0057005C">
        <w:rPr>
          <w:sz w:val="24"/>
          <w:szCs w:val="24"/>
        </w:rPr>
        <w:t>various</w:t>
      </w:r>
      <w:r w:rsidR="00061113" w:rsidRPr="0057005C">
        <w:rPr>
          <w:sz w:val="24"/>
          <w:szCs w:val="24"/>
        </w:rPr>
        <w:t xml:space="preserve"> options of </w:t>
      </w:r>
      <w:r w:rsidR="00D15D09" w:rsidRPr="0057005C">
        <w:rPr>
          <w:sz w:val="24"/>
          <w:szCs w:val="24"/>
        </w:rPr>
        <w:t>labour</w:t>
      </w:r>
      <w:r w:rsidR="00061113" w:rsidRPr="0057005C">
        <w:rPr>
          <w:sz w:val="24"/>
          <w:szCs w:val="24"/>
        </w:rPr>
        <w:t xml:space="preserve"> </w:t>
      </w:r>
      <w:r w:rsidR="00A3527D">
        <w:rPr>
          <w:sz w:val="24"/>
          <w:szCs w:val="24"/>
        </w:rPr>
        <w:t xml:space="preserve">requalification and new investments. </w:t>
      </w:r>
    </w:p>
    <w:p w14:paraId="08A6C2A3" w14:textId="75FF3D74" w:rsidR="0057005C" w:rsidRPr="0057005C" w:rsidRDefault="00061113" w:rsidP="0057005C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 xml:space="preserve">Energy policy must target </w:t>
      </w:r>
      <w:r w:rsidR="0057005C" w:rsidRPr="0057005C">
        <w:rPr>
          <w:sz w:val="24"/>
          <w:szCs w:val="24"/>
        </w:rPr>
        <w:t xml:space="preserve">the </w:t>
      </w:r>
      <w:r w:rsidRPr="0057005C">
        <w:rPr>
          <w:sz w:val="24"/>
          <w:szCs w:val="24"/>
        </w:rPr>
        <w:t xml:space="preserve">ecological situation in the </w:t>
      </w:r>
      <w:r w:rsidR="00A3527D">
        <w:rPr>
          <w:sz w:val="24"/>
          <w:szCs w:val="24"/>
        </w:rPr>
        <w:t xml:space="preserve">lignite </w:t>
      </w:r>
      <w:r w:rsidRPr="0057005C">
        <w:rPr>
          <w:sz w:val="24"/>
          <w:szCs w:val="24"/>
        </w:rPr>
        <w:t>producing regions</w:t>
      </w:r>
      <w:r w:rsidR="008A6C0D">
        <w:rPr>
          <w:sz w:val="24"/>
          <w:szCs w:val="24"/>
        </w:rPr>
        <w:t>.</w:t>
      </w:r>
    </w:p>
    <w:p w14:paraId="1E306021" w14:textId="3CC9C9F5" w:rsidR="00A3527D" w:rsidRDefault="00A3527D" w:rsidP="009066A2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Lignite</w:t>
      </w:r>
      <w:r w:rsidR="00061113" w:rsidRPr="0057005C">
        <w:rPr>
          <w:sz w:val="24"/>
          <w:szCs w:val="24"/>
        </w:rPr>
        <w:t xml:space="preserve">-based power generation needs to be replaced by cleaner fuels by </w:t>
      </w:r>
      <w:r w:rsidR="002B3F67" w:rsidRPr="0057005C">
        <w:rPr>
          <w:sz w:val="24"/>
          <w:szCs w:val="24"/>
        </w:rPr>
        <w:t>[</w:t>
      </w:r>
      <w:r w:rsidR="002B3F67" w:rsidRPr="0057005C">
        <w:rPr>
          <w:i/>
          <w:sz w:val="24"/>
          <w:szCs w:val="24"/>
        </w:rPr>
        <w:t>80%</w:t>
      </w:r>
      <w:r w:rsidR="002B3F67" w:rsidRPr="0057005C">
        <w:rPr>
          <w:sz w:val="24"/>
          <w:szCs w:val="24"/>
        </w:rPr>
        <w:t xml:space="preserve">] </w:t>
      </w:r>
      <w:r w:rsidR="00061113" w:rsidRPr="0057005C">
        <w:rPr>
          <w:sz w:val="24"/>
          <w:szCs w:val="24"/>
        </w:rPr>
        <w:t>by [</w:t>
      </w:r>
      <w:r w:rsidR="00061113" w:rsidRPr="0057005C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5</w:t>
      </w:r>
      <w:r w:rsidR="00061113" w:rsidRPr="0057005C">
        <w:rPr>
          <w:i/>
          <w:sz w:val="24"/>
          <w:szCs w:val="24"/>
        </w:rPr>
        <w:t>0</w:t>
      </w:r>
      <w:r w:rsidR="00061113" w:rsidRPr="0057005C">
        <w:rPr>
          <w:sz w:val="24"/>
          <w:szCs w:val="24"/>
        </w:rPr>
        <w:t>]</w:t>
      </w:r>
      <w:r w:rsidR="008A6C0D">
        <w:rPr>
          <w:sz w:val="24"/>
          <w:szCs w:val="24"/>
        </w:rPr>
        <w:t>.</w:t>
      </w:r>
    </w:p>
    <w:p w14:paraId="0085A70F" w14:textId="48E858C8" w:rsidR="00FB2614" w:rsidRPr="0057005C" w:rsidRDefault="00A3527D" w:rsidP="009066A2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Overall</w:t>
      </w:r>
      <w:r w:rsidR="00061113" w:rsidRPr="00570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emissions from lignite thermal generation shall fall by </w:t>
      </w:r>
      <w:r w:rsidRPr="0057005C">
        <w:rPr>
          <w:sz w:val="24"/>
          <w:szCs w:val="24"/>
        </w:rPr>
        <w:t>[</w:t>
      </w:r>
      <w:r w:rsidRPr="0057005C">
        <w:rPr>
          <w:i/>
          <w:sz w:val="24"/>
          <w:szCs w:val="24"/>
        </w:rPr>
        <w:t>80%</w:t>
      </w:r>
      <w:r w:rsidRPr="0057005C">
        <w:rPr>
          <w:sz w:val="24"/>
          <w:szCs w:val="24"/>
        </w:rPr>
        <w:t>] by [</w:t>
      </w:r>
      <w:r w:rsidRPr="0057005C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5</w:t>
      </w:r>
      <w:r w:rsidRPr="0057005C">
        <w:rPr>
          <w:i/>
          <w:sz w:val="24"/>
          <w:szCs w:val="24"/>
        </w:rPr>
        <w:t>0</w:t>
      </w:r>
      <w:r w:rsidRPr="0057005C">
        <w:rPr>
          <w:sz w:val="24"/>
          <w:szCs w:val="24"/>
        </w:rPr>
        <w:t>]</w:t>
      </w:r>
      <w:r w:rsidR="008A6C0D">
        <w:rPr>
          <w:sz w:val="24"/>
          <w:szCs w:val="24"/>
        </w:rPr>
        <w:t>.</w:t>
      </w:r>
    </w:p>
    <w:p w14:paraId="226694A3" w14:textId="77777777" w:rsidR="001706B2" w:rsidRPr="0057005C" w:rsidRDefault="001706B2" w:rsidP="009066A2">
      <w:pPr>
        <w:pStyle w:val="ListParagraph"/>
        <w:ind w:left="709" w:hanging="709"/>
        <w:jc w:val="both"/>
        <w:rPr>
          <w:sz w:val="24"/>
          <w:szCs w:val="24"/>
        </w:rPr>
      </w:pPr>
    </w:p>
    <w:p w14:paraId="5460EECE" w14:textId="77777777" w:rsidR="002B48DC" w:rsidRPr="0057005C" w:rsidRDefault="007A06B9" w:rsidP="0057005C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57005C">
        <w:rPr>
          <w:sz w:val="24"/>
          <w:szCs w:val="24"/>
        </w:rPr>
        <w:t xml:space="preserve">Specific </w:t>
      </w:r>
      <w:r w:rsidR="00787F5D" w:rsidRPr="0057005C">
        <w:rPr>
          <w:sz w:val="24"/>
          <w:szCs w:val="24"/>
        </w:rPr>
        <w:t>targets</w:t>
      </w:r>
      <w:r w:rsidRPr="0057005C">
        <w:rPr>
          <w:sz w:val="24"/>
          <w:szCs w:val="24"/>
        </w:rPr>
        <w:t xml:space="preserve"> for </w:t>
      </w:r>
      <w:r w:rsidR="0057005C" w:rsidRPr="0057005C">
        <w:rPr>
          <w:sz w:val="24"/>
          <w:szCs w:val="24"/>
        </w:rPr>
        <w:t xml:space="preserve">the </w:t>
      </w:r>
      <w:r w:rsidRPr="0057005C">
        <w:rPr>
          <w:sz w:val="24"/>
          <w:szCs w:val="24"/>
        </w:rPr>
        <w:t>gas industry</w:t>
      </w:r>
    </w:p>
    <w:p w14:paraId="25B64604" w14:textId="77777777" w:rsidR="0057005C" w:rsidRPr="0057005C" w:rsidRDefault="0057005C" w:rsidP="0057005C">
      <w:pPr>
        <w:jc w:val="both"/>
        <w:rPr>
          <w:sz w:val="24"/>
          <w:szCs w:val="24"/>
        </w:rPr>
      </w:pPr>
    </w:p>
    <w:p w14:paraId="5CA8DC45" w14:textId="77777777" w:rsidR="007547D0" w:rsidRPr="0057005C" w:rsidRDefault="007A06B9" w:rsidP="009066A2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 xml:space="preserve">Reforms of </w:t>
      </w:r>
      <w:r w:rsidR="0057005C" w:rsidRPr="0057005C">
        <w:rPr>
          <w:sz w:val="24"/>
          <w:szCs w:val="24"/>
        </w:rPr>
        <w:t xml:space="preserve">the </w:t>
      </w:r>
      <w:r w:rsidRPr="0057005C">
        <w:rPr>
          <w:sz w:val="24"/>
          <w:szCs w:val="24"/>
        </w:rPr>
        <w:t>domestic gas industry and an increase of competitiveness</w:t>
      </w:r>
    </w:p>
    <w:p w14:paraId="55173495" w14:textId="41820770" w:rsidR="00467243" w:rsidRPr="0057005C" w:rsidRDefault="00A3308F" w:rsidP="009066A2">
      <w:pPr>
        <w:pStyle w:val="ListParagraph"/>
        <w:numPr>
          <w:ilvl w:val="2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 xml:space="preserve">Third </w:t>
      </w:r>
      <w:r w:rsidR="0057005C" w:rsidRPr="0057005C">
        <w:rPr>
          <w:sz w:val="24"/>
          <w:szCs w:val="24"/>
        </w:rPr>
        <w:t>P</w:t>
      </w:r>
      <w:r w:rsidRPr="0057005C">
        <w:rPr>
          <w:sz w:val="24"/>
          <w:szCs w:val="24"/>
        </w:rPr>
        <w:t>arty Access to networks for independent producers</w:t>
      </w:r>
      <w:r w:rsidR="00467243" w:rsidRPr="0057005C">
        <w:rPr>
          <w:sz w:val="24"/>
          <w:szCs w:val="24"/>
        </w:rPr>
        <w:t xml:space="preserve"> [</w:t>
      </w:r>
      <w:r w:rsidR="00467243" w:rsidRPr="0057005C">
        <w:rPr>
          <w:i/>
          <w:sz w:val="24"/>
          <w:szCs w:val="24"/>
        </w:rPr>
        <w:t>20</w:t>
      </w:r>
      <w:r w:rsidR="00A3527D">
        <w:rPr>
          <w:i/>
          <w:sz w:val="24"/>
          <w:szCs w:val="24"/>
        </w:rPr>
        <w:t>25</w:t>
      </w:r>
      <w:r w:rsidR="00467243" w:rsidRPr="0057005C">
        <w:rPr>
          <w:sz w:val="24"/>
          <w:szCs w:val="24"/>
        </w:rPr>
        <w:t>]</w:t>
      </w:r>
    </w:p>
    <w:p w14:paraId="76491915" w14:textId="1B3E013F" w:rsidR="00467243" w:rsidRPr="0057005C" w:rsidRDefault="00A3527D" w:rsidP="009066A2">
      <w:pPr>
        <w:pStyle w:val="ListParagraph"/>
        <w:numPr>
          <w:ilvl w:val="2"/>
          <w:numId w:val="7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Subsidies</w:t>
      </w:r>
      <w:r w:rsidR="00A3308F" w:rsidRPr="0057005C">
        <w:rPr>
          <w:sz w:val="24"/>
          <w:szCs w:val="24"/>
        </w:rPr>
        <w:t xml:space="preserve"> removal by </w:t>
      </w:r>
      <w:r w:rsidR="00467243" w:rsidRPr="0057005C">
        <w:rPr>
          <w:sz w:val="24"/>
          <w:szCs w:val="24"/>
        </w:rPr>
        <w:t>[</w:t>
      </w:r>
      <w:r w:rsidR="00467243" w:rsidRPr="0057005C">
        <w:rPr>
          <w:i/>
          <w:sz w:val="24"/>
          <w:szCs w:val="24"/>
        </w:rPr>
        <w:t>20</w:t>
      </w:r>
      <w:r w:rsidR="00A3308F" w:rsidRPr="0057005C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5</w:t>
      </w:r>
      <w:r w:rsidR="00467243" w:rsidRPr="0057005C">
        <w:rPr>
          <w:sz w:val="24"/>
          <w:szCs w:val="24"/>
        </w:rPr>
        <w:t>]</w:t>
      </w:r>
    </w:p>
    <w:p w14:paraId="6D543C7A" w14:textId="63A6340D" w:rsidR="00467243" w:rsidRPr="0057005C" w:rsidRDefault="00A3308F" w:rsidP="009066A2">
      <w:pPr>
        <w:pStyle w:val="ListParagraph"/>
        <w:numPr>
          <w:ilvl w:val="2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 xml:space="preserve">Partial privatization of </w:t>
      </w:r>
      <w:r w:rsidR="00A3527D">
        <w:rPr>
          <w:sz w:val="24"/>
          <w:szCs w:val="24"/>
        </w:rPr>
        <w:t>Burabarr Gas</w:t>
      </w:r>
      <w:r w:rsidR="00467243" w:rsidRPr="0057005C">
        <w:rPr>
          <w:sz w:val="24"/>
          <w:szCs w:val="24"/>
        </w:rPr>
        <w:t xml:space="preserve"> [</w:t>
      </w:r>
      <w:r w:rsidR="00467243" w:rsidRPr="0057005C">
        <w:rPr>
          <w:i/>
          <w:sz w:val="24"/>
          <w:szCs w:val="24"/>
        </w:rPr>
        <w:t>20</w:t>
      </w:r>
      <w:r w:rsidRPr="0057005C">
        <w:rPr>
          <w:i/>
          <w:sz w:val="24"/>
          <w:szCs w:val="24"/>
        </w:rPr>
        <w:t>3</w:t>
      </w:r>
      <w:r w:rsidR="0057005C" w:rsidRPr="0057005C">
        <w:rPr>
          <w:i/>
          <w:sz w:val="24"/>
          <w:szCs w:val="24"/>
        </w:rPr>
        <w:t>0</w:t>
      </w:r>
      <w:r w:rsidR="00467243" w:rsidRPr="0057005C">
        <w:rPr>
          <w:sz w:val="24"/>
          <w:szCs w:val="24"/>
        </w:rPr>
        <w:t>]</w:t>
      </w:r>
    </w:p>
    <w:p w14:paraId="53A10C48" w14:textId="63FA4473" w:rsidR="002B48DC" w:rsidRPr="0057005C" w:rsidRDefault="00A3308F" w:rsidP="009066A2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>Establish</w:t>
      </w:r>
      <w:r w:rsidR="0057005C" w:rsidRPr="0057005C">
        <w:rPr>
          <w:sz w:val="24"/>
          <w:szCs w:val="24"/>
        </w:rPr>
        <w:t>ment of</w:t>
      </w:r>
      <w:r w:rsidRPr="0057005C">
        <w:rPr>
          <w:sz w:val="24"/>
          <w:szCs w:val="24"/>
        </w:rPr>
        <w:t xml:space="preserve"> a Welfare Fund constituted from gas export revenues by [</w:t>
      </w:r>
      <w:r w:rsidRPr="0057005C">
        <w:rPr>
          <w:i/>
          <w:sz w:val="24"/>
          <w:szCs w:val="24"/>
        </w:rPr>
        <w:t>20</w:t>
      </w:r>
      <w:r w:rsidR="00A3527D">
        <w:rPr>
          <w:i/>
          <w:sz w:val="24"/>
          <w:szCs w:val="24"/>
        </w:rPr>
        <w:t>3</w:t>
      </w:r>
      <w:r w:rsidRPr="0057005C">
        <w:rPr>
          <w:i/>
          <w:sz w:val="24"/>
          <w:szCs w:val="24"/>
        </w:rPr>
        <w:t>0</w:t>
      </w:r>
      <w:r w:rsidRPr="0057005C">
        <w:rPr>
          <w:sz w:val="24"/>
          <w:szCs w:val="24"/>
        </w:rPr>
        <w:t xml:space="preserve">] </w:t>
      </w:r>
    </w:p>
    <w:p w14:paraId="6460F8A7" w14:textId="5101A769" w:rsidR="00B517B2" w:rsidRPr="0057005C" w:rsidRDefault="00A3308F" w:rsidP="009066A2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 xml:space="preserve">Revenue management to be in accordance with </w:t>
      </w:r>
      <w:r w:rsidR="008A6C0D" w:rsidRPr="008A6C0D">
        <w:rPr>
          <w:sz w:val="24"/>
          <w:szCs w:val="24"/>
        </w:rPr>
        <w:t>Extractive Industries Transparency Initiative</w:t>
      </w:r>
      <w:r w:rsidR="008A6C0D" w:rsidRPr="008A6C0D" w:rsidDel="008A6C0D">
        <w:rPr>
          <w:sz w:val="24"/>
          <w:szCs w:val="24"/>
        </w:rPr>
        <w:t xml:space="preserve"> </w:t>
      </w:r>
      <w:r w:rsidR="008A6C0D">
        <w:rPr>
          <w:sz w:val="24"/>
          <w:szCs w:val="24"/>
        </w:rPr>
        <w:t xml:space="preserve">(EITI) </w:t>
      </w:r>
      <w:r w:rsidRPr="0057005C">
        <w:rPr>
          <w:sz w:val="24"/>
          <w:szCs w:val="24"/>
        </w:rPr>
        <w:t>principles</w:t>
      </w:r>
      <w:r w:rsidR="008A6C0D">
        <w:rPr>
          <w:sz w:val="24"/>
          <w:szCs w:val="24"/>
        </w:rPr>
        <w:t>.</w:t>
      </w:r>
    </w:p>
    <w:p w14:paraId="772FF7FB" w14:textId="5A643752" w:rsidR="00927E2C" w:rsidRPr="0057005C" w:rsidRDefault="00A3308F" w:rsidP="009066A2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lastRenderedPageBreak/>
        <w:t>In order to increase revenues in the Welfare Fund, there is a need to double gas exports by 20</w:t>
      </w:r>
      <w:r w:rsidR="00A3527D">
        <w:rPr>
          <w:sz w:val="24"/>
          <w:szCs w:val="24"/>
        </w:rPr>
        <w:t>4</w:t>
      </w:r>
      <w:r w:rsidRPr="0057005C">
        <w:rPr>
          <w:sz w:val="24"/>
          <w:szCs w:val="24"/>
        </w:rPr>
        <w:t>0</w:t>
      </w:r>
      <w:r w:rsidR="008A6C0D">
        <w:rPr>
          <w:sz w:val="24"/>
          <w:szCs w:val="24"/>
        </w:rPr>
        <w:t>.</w:t>
      </w:r>
    </w:p>
    <w:p w14:paraId="064945CF" w14:textId="77777777" w:rsidR="001706B2" w:rsidRPr="0057005C" w:rsidRDefault="001706B2" w:rsidP="009066A2">
      <w:pPr>
        <w:pStyle w:val="ListParagraph"/>
        <w:ind w:left="709" w:hanging="709"/>
        <w:jc w:val="both"/>
        <w:rPr>
          <w:sz w:val="24"/>
          <w:szCs w:val="24"/>
        </w:rPr>
      </w:pPr>
    </w:p>
    <w:p w14:paraId="4407BFC9" w14:textId="77777777" w:rsidR="0057005C" w:rsidRPr="0057005C" w:rsidRDefault="0057005C" w:rsidP="009066A2">
      <w:pPr>
        <w:pStyle w:val="ListParagraph"/>
        <w:ind w:left="709" w:hanging="709"/>
        <w:jc w:val="both"/>
        <w:rPr>
          <w:sz w:val="24"/>
          <w:szCs w:val="24"/>
        </w:rPr>
      </w:pPr>
    </w:p>
    <w:p w14:paraId="7656A688" w14:textId="77777777" w:rsidR="001E6273" w:rsidRPr="0057005C" w:rsidRDefault="001E6273" w:rsidP="001E6273">
      <w:pPr>
        <w:pStyle w:val="ListParagraph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57005C">
        <w:rPr>
          <w:sz w:val="24"/>
          <w:szCs w:val="24"/>
        </w:rPr>
        <w:t xml:space="preserve">Specific targets for the electricity sector </w:t>
      </w:r>
    </w:p>
    <w:p w14:paraId="753F9C3D" w14:textId="77777777" w:rsidR="001E6273" w:rsidRPr="0057005C" w:rsidRDefault="001E6273" w:rsidP="001E6273">
      <w:pPr>
        <w:jc w:val="both"/>
        <w:rPr>
          <w:sz w:val="24"/>
          <w:szCs w:val="24"/>
        </w:rPr>
      </w:pPr>
    </w:p>
    <w:p w14:paraId="2459B6E4" w14:textId="38BEB382" w:rsidR="001E6273" w:rsidRPr="0057005C" w:rsidRDefault="001E6273" w:rsidP="001E6273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>Restructuring of the electricity sector by 20</w:t>
      </w:r>
      <w:r>
        <w:rPr>
          <w:sz w:val="24"/>
          <w:szCs w:val="24"/>
        </w:rPr>
        <w:t>3</w:t>
      </w:r>
      <w:r w:rsidRPr="0057005C">
        <w:rPr>
          <w:sz w:val="24"/>
          <w:szCs w:val="24"/>
        </w:rPr>
        <w:t>0</w:t>
      </w:r>
      <w:r w:rsidR="008A6C0D">
        <w:rPr>
          <w:sz w:val="24"/>
          <w:szCs w:val="24"/>
        </w:rPr>
        <w:t>.</w:t>
      </w:r>
    </w:p>
    <w:p w14:paraId="20C9FD81" w14:textId="4DA48633" w:rsidR="001E6273" w:rsidRPr="0057005C" w:rsidRDefault="001E6273" w:rsidP="001E6273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>Transition from coal generation power plants to cleaner sources</w:t>
      </w:r>
      <w:r w:rsidR="008A6C0D">
        <w:rPr>
          <w:sz w:val="24"/>
          <w:szCs w:val="24"/>
        </w:rPr>
        <w:t>.</w:t>
      </w:r>
    </w:p>
    <w:p w14:paraId="000F0BF1" w14:textId="7F2DC9F9" w:rsidR="001E6273" w:rsidRPr="0057005C" w:rsidRDefault="001E6273" w:rsidP="001E6273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>GHG emission</w:t>
      </w:r>
      <w:r>
        <w:rPr>
          <w:sz w:val="24"/>
          <w:szCs w:val="24"/>
        </w:rPr>
        <w:t>s</w:t>
      </w:r>
      <w:r w:rsidRPr="0057005C">
        <w:rPr>
          <w:sz w:val="24"/>
          <w:szCs w:val="24"/>
        </w:rPr>
        <w:t xml:space="preserve"> reduction by [</w:t>
      </w:r>
      <w:r w:rsidRPr="0057005C">
        <w:rPr>
          <w:i/>
          <w:sz w:val="24"/>
          <w:szCs w:val="24"/>
        </w:rPr>
        <w:t>30%</w:t>
      </w:r>
      <w:r w:rsidRPr="0057005C">
        <w:rPr>
          <w:sz w:val="24"/>
          <w:szCs w:val="24"/>
        </w:rPr>
        <w:t>] in [</w:t>
      </w:r>
      <w:r w:rsidRPr="0057005C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4</w:t>
      </w:r>
      <w:r w:rsidRPr="0057005C">
        <w:rPr>
          <w:i/>
          <w:sz w:val="24"/>
          <w:szCs w:val="24"/>
        </w:rPr>
        <w:t>0</w:t>
      </w:r>
      <w:r w:rsidRPr="0057005C">
        <w:rPr>
          <w:sz w:val="24"/>
          <w:szCs w:val="24"/>
        </w:rPr>
        <w:t>] and [</w:t>
      </w:r>
      <w:r w:rsidRPr="0057005C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5</w:t>
      </w:r>
      <w:r w:rsidRPr="0057005C">
        <w:rPr>
          <w:i/>
          <w:sz w:val="24"/>
          <w:szCs w:val="24"/>
        </w:rPr>
        <w:t>%</w:t>
      </w:r>
      <w:r w:rsidRPr="0057005C">
        <w:rPr>
          <w:sz w:val="24"/>
          <w:szCs w:val="24"/>
        </w:rPr>
        <w:t>] in [</w:t>
      </w:r>
      <w:r w:rsidRPr="0057005C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5</w:t>
      </w:r>
      <w:r w:rsidRPr="0057005C">
        <w:rPr>
          <w:i/>
          <w:sz w:val="24"/>
          <w:szCs w:val="24"/>
        </w:rPr>
        <w:t>0</w:t>
      </w:r>
      <w:r w:rsidRPr="0057005C">
        <w:rPr>
          <w:sz w:val="24"/>
          <w:szCs w:val="24"/>
        </w:rPr>
        <w:t>] compared to the level of 201</w:t>
      </w:r>
      <w:r>
        <w:rPr>
          <w:sz w:val="24"/>
          <w:szCs w:val="24"/>
        </w:rPr>
        <w:t>0</w:t>
      </w:r>
      <w:r w:rsidR="008A6C0D">
        <w:rPr>
          <w:sz w:val="24"/>
          <w:szCs w:val="24"/>
        </w:rPr>
        <w:t>.</w:t>
      </w:r>
    </w:p>
    <w:p w14:paraId="78555496" w14:textId="77777777" w:rsidR="0057005C" w:rsidRPr="0057005C" w:rsidRDefault="0057005C" w:rsidP="009066A2">
      <w:pPr>
        <w:pStyle w:val="ListParagraph"/>
        <w:ind w:left="709" w:hanging="709"/>
        <w:jc w:val="both"/>
        <w:rPr>
          <w:sz w:val="24"/>
          <w:szCs w:val="24"/>
        </w:rPr>
      </w:pPr>
    </w:p>
    <w:p w14:paraId="7C9B0523" w14:textId="77777777" w:rsidR="0057005C" w:rsidRPr="0057005C" w:rsidRDefault="0057005C" w:rsidP="009066A2">
      <w:pPr>
        <w:pStyle w:val="ListParagraph"/>
        <w:ind w:left="709" w:hanging="709"/>
        <w:jc w:val="both"/>
        <w:rPr>
          <w:sz w:val="24"/>
          <w:szCs w:val="24"/>
        </w:rPr>
      </w:pPr>
    </w:p>
    <w:p w14:paraId="6220F949" w14:textId="0E3FFD0B" w:rsidR="002B48DC" w:rsidRPr="001E6273" w:rsidRDefault="001E6273" w:rsidP="001E6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4,a </w:t>
      </w:r>
      <w:r w:rsidR="00787F5D" w:rsidRPr="001E6273">
        <w:rPr>
          <w:sz w:val="24"/>
          <w:szCs w:val="24"/>
        </w:rPr>
        <w:t>Specific targets for RES</w:t>
      </w:r>
    </w:p>
    <w:p w14:paraId="2608632D" w14:textId="77777777" w:rsidR="0057005C" w:rsidRPr="0057005C" w:rsidRDefault="0057005C" w:rsidP="0057005C">
      <w:pPr>
        <w:pStyle w:val="ListParagraph"/>
        <w:ind w:left="709"/>
        <w:jc w:val="both"/>
        <w:rPr>
          <w:sz w:val="24"/>
          <w:szCs w:val="24"/>
        </w:rPr>
      </w:pPr>
    </w:p>
    <w:p w14:paraId="2AD18047" w14:textId="47803838" w:rsidR="002B48DC" w:rsidRPr="0057005C" w:rsidRDefault="0057005C" w:rsidP="009066A2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 xml:space="preserve">The </w:t>
      </w:r>
      <w:r w:rsidR="00787F5D" w:rsidRPr="0057005C">
        <w:rPr>
          <w:sz w:val="24"/>
          <w:szCs w:val="24"/>
        </w:rPr>
        <w:t>Government sets a binding target to increase RES-based electricity generation by</w:t>
      </w:r>
      <w:r w:rsidR="00607009" w:rsidRPr="0057005C">
        <w:rPr>
          <w:sz w:val="24"/>
          <w:szCs w:val="24"/>
        </w:rPr>
        <w:t xml:space="preserve"> </w:t>
      </w:r>
      <w:r w:rsidR="00EB456A" w:rsidRPr="0057005C">
        <w:rPr>
          <w:sz w:val="24"/>
          <w:szCs w:val="24"/>
        </w:rPr>
        <w:t>[</w:t>
      </w:r>
      <w:r w:rsidR="00A3527D">
        <w:rPr>
          <w:i/>
          <w:sz w:val="24"/>
          <w:szCs w:val="24"/>
        </w:rPr>
        <w:t>4</w:t>
      </w:r>
      <w:r w:rsidR="00607009" w:rsidRPr="0057005C">
        <w:rPr>
          <w:i/>
          <w:sz w:val="24"/>
          <w:szCs w:val="24"/>
        </w:rPr>
        <w:t>0%</w:t>
      </w:r>
      <w:r w:rsidR="00EB456A" w:rsidRPr="0057005C">
        <w:rPr>
          <w:sz w:val="24"/>
          <w:szCs w:val="24"/>
        </w:rPr>
        <w:t>]</w:t>
      </w:r>
      <w:r w:rsidR="00607009" w:rsidRPr="0057005C">
        <w:rPr>
          <w:sz w:val="24"/>
          <w:szCs w:val="24"/>
        </w:rPr>
        <w:t xml:space="preserve"> </w:t>
      </w:r>
      <w:r w:rsidR="00787F5D" w:rsidRPr="0057005C">
        <w:rPr>
          <w:sz w:val="24"/>
          <w:szCs w:val="24"/>
        </w:rPr>
        <w:t xml:space="preserve">by </w:t>
      </w:r>
      <w:r w:rsidR="00570E33" w:rsidRPr="0057005C">
        <w:rPr>
          <w:sz w:val="24"/>
          <w:szCs w:val="24"/>
        </w:rPr>
        <w:t>[</w:t>
      </w:r>
      <w:r w:rsidR="00570E33" w:rsidRPr="0057005C">
        <w:rPr>
          <w:i/>
          <w:sz w:val="24"/>
          <w:szCs w:val="24"/>
        </w:rPr>
        <w:t>20</w:t>
      </w:r>
      <w:r w:rsidR="00A3527D">
        <w:rPr>
          <w:i/>
          <w:sz w:val="24"/>
          <w:szCs w:val="24"/>
        </w:rPr>
        <w:t>5</w:t>
      </w:r>
      <w:r w:rsidR="00570E33" w:rsidRPr="0057005C">
        <w:rPr>
          <w:i/>
          <w:sz w:val="24"/>
          <w:szCs w:val="24"/>
        </w:rPr>
        <w:t>0</w:t>
      </w:r>
      <w:r w:rsidR="00570E33" w:rsidRPr="0057005C">
        <w:rPr>
          <w:sz w:val="24"/>
          <w:szCs w:val="24"/>
        </w:rPr>
        <w:t>]</w:t>
      </w:r>
      <w:r w:rsidR="00CC2CEC">
        <w:rPr>
          <w:sz w:val="24"/>
          <w:szCs w:val="24"/>
        </w:rPr>
        <w:t>.</w:t>
      </w:r>
    </w:p>
    <w:p w14:paraId="4232EFD8" w14:textId="57593E13" w:rsidR="00607009" w:rsidRPr="0057005C" w:rsidRDefault="00787F5D" w:rsidP="009066A2">
      <w:pPr>
        <w:pStyle w:val="ListParagraph"/>
        <w:numPr>
          <w:ilvl w:val="1"/>
          <w:numId w:val="7"/>
        </w:numPr>
        <w:ind w:left="709" w:hanging="709"/>
        <w:jc w:val="both"/>
        <w:rPr>
          <w:sz w:val="24"/>
          <w:szCs w:val="24"/>
        </w:rPr>
      </w:pPr>
      <w:r w:rsidRPr="0057005C">
        <w:rPr>
          <w:sz w:val="24"/>
          <w:szCs w:val="24"/>
        </w:rPr>
        <w:t>To achieve these targets, [</w:t>
      </w:r>
      <w:r w:rsidRPr="0057005C">
        <w:rPr>
          <w:i/>
          <w:sz w:val="24"/>
          <w:szCs w:val="24"/>
        </w:rPr>
        <w:t>new market mechanisms to be set</w:t>
      </w:r>
      <w:r w:rsidRPr="0057005C">
        <w:rPr>
          <w:sz w:val="24"/>
          <w:szCs w:val="24"/>
        </w:rPr>
        <w:t>]</w:t>
      </w:r>
      <w:r w:rsidR="00CC2CEC">
        <w:rPr>
          <w:sz w:val="24"/>
          <w:szCs w:val="24"/>
        </w:rPr>
        <w:t>.</w:t>
      </w:r>
    </w:p>
    <w:p w14:paraId="37281952" w14:textId="77777777" w:rsidR="0057005C" w:rsidRPr="0057005C" w:rsidRDefault="0057005C" w:rsidP="0057005C">
      <w:pPr>
        <w:jc w:val="both"/>
        <w:rPr>
          <w:sz w:val="24"/>
          <w:szCs w:val="24"/>
        </w:rPr>
      </w:pPr>
    </w:p>
    <w:p w14:paraId="541FAFD8" w14:textId="77777777" w:rsidR="00672798" w:rsidRPr="0057005C" w:rsidRDefault="00672798" w:rsidP="009066A2">
      <w:pPr>
        <w:jc w:val="both"/>
        <w:rPr>
          <w:sz w:val="24"/>
          <w:szCs w:val="24"/>
        </w:rPr>
      </w:pPr>
    </w:p>
    <w:p w14:paraId="5EA9CC81" w14:textId="663814D4" w:rsidR="00763295" w:rsidRPr="0057005C" w:rsidRDefault="00763295" w:rsidP="0057005C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>Energy outlook according to the Strategy 20</w:t>
      </w:r>
      <w:r w:rsidR="00A3527D">
        <w:rPr>
          <w:sz w:val="24"/>
          <w:szCs w:val="24"/>
        </w:rPr>
        <w:t>5</w:t>
      </w:r>
      <w:r w:rsidRPr="0057005C">
        <w:rPr>
          <w:sz w:val="24"/>
          <w:szCs w:val="24"/>
        </w:rPr>
        <w:t>0 objectives</w:t>
      </w:r>
    </w:p>
    <w:p w14:paraId="3317654E" w14:textId="77777777" w:rsidR="00763295" w:rsidRPr="0057005C" w:rsidRDefault="00763295" w:rsidP="009066A2">
      <w:pPr>
        <w:jc w:val="both"/>
        <w:rPr>
          <w:sz w:val="24"/>
          <w:szCs w:val="24"/>
        </w:rPr>
      </w:pPr>
    </w:p>
    <w:p w14:paraId="23961F27" w14:textId="77777777" w:rsidR="00763295" w:rsidRPr="0057005C" w:rsidRDefault="00763295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 xml:space="preserve">There is a need to respond to </w:t>
      </w:r>
      <w:r w:rsidR="0057005C" w:rsidRPr="0057005C">
        <w:rPr>
          <w:sz w:val="24"/>
          <w:szCs w:val="24"/>
        </w:rPr>
        <w:t xml:space="preserve">the </w:t>
      </w:r>
      <w:r w:rsidRPr="0057005C">
        <w:rPr>
          <w:sz w:val="24"/>
          <w:szCs w:val="24"/>
        </w:rPr>
        <w:t xml:space="preserve">main challenges for both domestic sustainability and external competitiveness. On these grounds, the Energy Strategy plans to correct the Baseline scenario. In particular, </w:t>
      </w:r>
      <w:r w:rsidR="0057005C" w:rsidRPr="0057005C">
        <w:rPr>
          <w:sz w:val="24"/>
          <w:szCs w:val="24"/>
        </w:rPr>
        <w:t xml:space="preserve">the </w:t>
      </w:r>
      <w:r w:rsidRPr="0057005C">
        <w:rPr>
          <w:sz w:val="24"/>
          <w:szCs w:val="24"/>
        </w:rPr>
        <w:t>Strategy sets an objective to increase gas export potential by decreasing domestic gas demand growth rates. In addition, the Strategy sets various options for RES support mechanisms.</w:t>
      </w:r>
    </w:p>
    <w:p w14:paraId="5135EF63" w14:textId="77777777" w:rsidR="00763295" w:rsidRPr="0057005C" w:rsidRDefault="00763295" w:rsidP="009066A2">
      <w:pPr>
        <w:jc w:val="both"/>
        <w:rPr>
          <w:sz w:val="24"/>
          <w:szCs w:val="24"/>
        </w:rPr>
      </w:pPr>
    </w:p>
    <w:p w14:paraId="1D2D891A" w14:textId="77777777" w:rsidR="00763295" w:rsidRPr="0057005C" w:rsidRDefault="00763295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>[</w:t>
      </w:r>
      <w:r w:rsidR="00B01E44" w:rsidRPr="0057005C">
        <w:rPr>
          <w:i/>
          <w:sz w:val="24"/>
          <w:szCs w:val="24"/>
        </w:rPr>
        <w:t>Table</w:t>
      </w:r>
      <w:r w:rsidRPr="0057005C">
        <w:rPr>
          <w:sz w:val="24"/>
          <w:szCs w:val="24"/>
        </w:rPr>
        <w:t>]</w:t>
      </w:r>
    </w:p>
    <w:p w14:paraId="76F15FA4" w14:textId="77777777" w:rsidR="00763295" w:rsidRPr="0057005C" w:rsidRDefault="00763295" w:rsidP="009066A2">
      <w:pPr>
        <w:jc w:val="both"/>
        <w:rPr>
          <w:sz w:val="24"/>
          <w:szCs w:val="24"/>
        </w:rPr>
      </w:pPr>
    </w:p>
    <w:tbl>
      <w:tblPr>
        <w:tblW w:w="38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4575B9" w:rsidRPr="0057005C" w14:paraId="02ADA28C" w14:textId="77777777" w:rsidTr="004575B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EF156F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160ABC" w14:textId="40419CC3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  <w:r w:rsidR="001E6273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A685BE" w14:textId="7D3E683D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  <w:r w:rsidR="001E6273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65B3C0" w14:textId="38AAC71F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  <w:r w:rsidR="001E6273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4575B9" w:rsidRPr="0057005C" w14:paraId="68F6F248" w14:textId="77777777" w:rsidTr="004575B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418782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Coal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F87E57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[50]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E13A09A" w14:textId="55EF24B1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[</w:t>
            </w:r>
            <w:r w:rsidR="00FD071D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30</w:t>
            </w: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]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051B59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[20]</w:t>
            </w:r>
          </w:p>
        </w:tc>
      </w:tr>
      <w:tr w:rsidR="004575B9" w:rsidRPr="0057005C" w14:paraId="649D8CD4" w14:textId="77777777" w:rsidTr="004575B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B9A2E6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Gas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AB3D3A" w14:textId="457CC1D2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[</w:t>
            </w:r>
            <w:r w:rsidR="00FD071D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4</w:t>
            </w:r>
            <w:r w:rsidR="000323E8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0</w:t>
            </w: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]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58B496" w14:textId="435AA415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[</w:t>
            </w:r>
            <w:r w:rsidR="000323E8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4</w:t>
            </w: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5]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14A227" w14:textId="5E246A08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[</w:t>
            </w:r>
            <w:r w:rsidR="000323E8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5</w:t>
            </w: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0]</w:t>
            </w:r>
          </w:p>
        </w:tc>
      </w:tr>
      <w:tr w:rsidR="004575B9" w:rsidRPr="0057005C" w14:paraId="7DC8EAD3" w14:textId="77777777" w:rsidTr="004575B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3098FB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RES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69813D" w14:textId="463A4495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[</w:t>
            </w:r>
            <w:r w:rsidR="001E6273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10</w:t>
            </w: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]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8FF9E0" w14:textId="12D74190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[</w:t>
            </w:r>
            <w:r w:rsidR="001E6273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2</w:t>
            </w: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5]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71AB64" w14:textId="0BC29855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[</w:t>
            </w:r>
            <w:r w:rsidR="00FD071D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30</w:t>
            </w:r>
            <w:r w:rsidRPr="0057005C">
              <w:rPr>
                <w:rFonts w:eastAsia="Times New Roman" w:cs="Times New Roman"/>
                <w:i/>
                <w:color w:val="000000"/>
                <w:sz w:val="24"/>
                <w:szCs w:val="24"/>
                <w:lang w:eastAsia="et-EE"/>
              </w:rPr>
              <w:t>]</w:t>
            </w:r>
          </w:p>
        </w:tc>
      </w:tr>
    </w:tbl>
    <w:p w14:paraId="1FE59624" w14:textId="77777777" w:rsidR="00763295" w:rsidRPr="0057005C" w:rsidRDefault="00763295" w:rsidP="009066A2">
      <w:pPr>
        <w:jc w:val="both"/>
        <w:rPr>
          <w:sz w:val="24"/>
          <w:szCs w:val="24"/>
        </w:rPr>
      </w:pPr>
    </w:p>
    <w:p w14:paraId="45BDB5B9" w14:textId="77777777" w:rsidR="00763295" w:rsidRPr="0057005C" w:rsidRDefault="00763295" w:rsidP="009066A2">
      <w:pPr>
        <w:jc w:val="both"/>
        <w:rPr>
          <w:sz w:val="24"/>
          <w:szCs w:val="24"/>
        </w:rPr>
      </w:pPr>
    </w:p>
    <w:p w14:paraId="5C34AAE1" w14:textId="3AF9D207" w:rsidR="00763295" w:rsidRPr="0057005C" w:rsidRDefault="0057005C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>The g</w:t>
      </w:r>
      <w:r w:rsidR="00763295" w:rsidRPr="0057005C">
        <w:rPr>
          <w:sz w:val="24"/>
          <w:szCs w:val="24"/>
        </w:rPr>
        <w:t xml:space="preserve">as </w:t>
      </w:r>
      <w:r w:rsidRPr="0057005C">
        <w:rPr>
          <w:sz w:val="24"/>
          <w:szCs w:val="24"/>
        </w:rPr>
        <w:t>s</w:t>
      </w:r>
      <w:r w:rsidR="00763295" w:rsidRPr="0057005C">
        <w:rPr>
          <w:sz w:val="24"/>
          <w:szCs w:val="24"/>
        </w:rPr>
        <w:t xml:space="preserve">ector </w:t>
      </w:r>
      <w:r w:rsidRPr="0057005C">
        <w:rPr>
          <w:sz w:val="24"/>
          <w:szCs w:val="24"/>
        </w:rPr>
        <w:t>o</w:t>
      </w:r>
      <w:r w:rsidR="00763295" w:rsidRPr="0057005C">
        <w:rPr>
          <w:sz w:val="24"/>
          <w:szCs w:val="24"/>
        </w:rPr>
        <w:t>utlook according to the Strategy would look as follow</w:t>
      </w:r>
      <w:r w:rsidRPr="0057005C">
        <w:rPr>
          <w:sz w:val="24"/>
          <w:szCs w:val="24"/>
        </w:rPr>
        <w:t>s</w:t>
      </w:r>
      <w:r w:rsidR="00763295" w:rsidRPr="0057005C">
        <w:rPr>
          <w:sz w:val="24"/>
          <w:szCs w:val="24"/>
        </w:rPr>
        <w:t xml:space="preserve">: </w:t>
      </w:r>
    </w:p>
    <w:p w14:paraId="6B8C70B9" w14:textId="77777777" w:rsidR="00763295" w:rsidRPr="0057005C" w:rsidRDefault="00B01E44" w:rsidP="009066A2">
      <w:pPr>
        <w:jc w:val="both"/>
        <w:rPr>
          <w:sz w:val="24"/>
          <w:szCs w:val="24"/>
        </w:rPr>
      </w:pPr>
      <w:r w:rsidRPr="0057005C">
        <w:rPr>
          <w:sz w:val="24"/>
          <w:szCs w:val="24"/>
        </w:rPr>
        <w:t>[</w:t>
      </w:r>
      <w:r w:rsidR="00CA493E" w:rsidRPr="0057005C">
        <w:rPr>
          <w:i/>
          <w:sz w:val="24"/>
          <w:szCs w:val="24"/>
        </w:rPr>
        <w:t>Table</w:t>
      </w:r>
      <w:r w:rsidRPr="0057005C">
        <w:rPr>
          <w:sz w:val="24"/>
          <w:szCs w:val="24"/>
        </w:rPr>
        <w:t>]</w:t>
      </w:r>
    </w:p>
    <w:p w14:paraId="05CD5422" w14:textId="77777777" w:rsidR="00B01E44" w:rsidRPr="0057005C" w:rsidRDefault="00B01E44" w:rsidP="009066A2">
      <w:pPr>
        <w:jc w:val="both"/>
        <w:rPr>
          <w:sz w:val="24"/>
          <w:szCs w:val="24"/>
        </w:rPr>
      </w:pPr>
    </w:p>
    <w:tbl>
      <w:tblPr>
        <w:tblW w:w="4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960"/>
        <w:gridCol w:w="960"/>
        <w:gridCol w:w="960"/>
      </w:tblGrid>
      <w:tr w:rsidR="004575B9" w:rsidRPr="0057005C" w14:paraId="197C4528" w14:textId="77777777" w:rsidTr="004575B9">
        <w:trPr>
          <w:trHeight w:val="300"/>
        </w:trPr>
        <w:tc>
          <w:tcPr>
            <w:tcW w:w="2100" w:type="dxa"/>
            <w:shd w:val="clear" w:color="auto" w:fill="auto"/>
            <w:noWrap/>
            <w:vAlign w:val="bottom"/>
          </w:tcPr>
          <w:p w14:paraId="3121579F" w14:textId="77777777" w:rsidR="004575B9" w:rsidRPr="0057005C" w:rsidRDefault="0057005C" w:rsidP="009066A2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B</w:t>
            </w:r>
            <w:r w:rsidR="004575B9"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cm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2B3C3C" w14:textId="550681F6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  <w:r w:rsidR="001E6273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B2C2F6" w14:textId="2ADD4FFB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  <w:r w:rsidR="001E6273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EDFFD4" w14:textId="734E9A70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  <w:r w:rsidR="001E6273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  <w:r w:rsidRPr="0057005C">
              <w:rPr>
                <w:rFonts w:eastAsia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4575B9" w:rsidRPr="0057005C" w14:paraId="7B52D808" w14:textId="77777777" w:rsidTr="004575B9">
        <w:trPr>
          <w:trHeight w:val="300"/>
        </w:trPr>
        <w:tc>
          <w:tcPr>
            <w:tcW w:w="2100" w:type="dxa"/>
            <w:shd w:val="clear" w:color="auto" w:fill="auto"/>
            <w:noWrap/>
            <w:vAlign w:val="bottom"/>
          </w:tcPr>
          <w:p w14:paraId="4F75C601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Export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39F039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C1AF11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6622D3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15</w:t>
            </w:r>
          </w:p>
        </w:tc>
      </w:tr>
      <w:tr w:rsidR="004575B9" w:rsidRPr="0057005C" w14:paraId="58D0B2BA" w14:textId="77777777" w:rsidTr="004575B9">
        <w:trPr>
          <w:trHeight w:val="300"/>
        </w:trPr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3436B3E0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Domestic market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9F73B7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26F711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E11ADE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30</w:t>
            </w:r>
          </w:p>
        </w:tc>
      </w:tr>
      <w:tr w:rsidR="004575B9" w:rsidRPr="0057005C" w14:paraId="7110F4F8" w14:textId="77777777" w:rsidTr="004575B9">
        <w:trPr>
          <w:trHeight w:val="300"/>
        </w:trPr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596581FB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Total production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38500E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63E2B4" w14:textId="77777777" w:rsidR="004575B9" w:rsidRPr="0057005C" w:rsidRDefault="004575B9" w:rsidP="009066A2">
            <w:pPr>
              <w:spacing w:line="240" w:lineRule="auto"/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FD0761" w14:textId="77777777" w:rsidR="004575B9" w:rsidRPr="0057005C" w:rsidRDefault="004575B9" w:rsidP="00E20E71">
            <w:pPr>
              <w:spacing w:line="240" w:lineRule="auto"/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</w:pPr>
            <w:r w:rsidRPr="0057005C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4</w:t>
            </w:r>
            <w:r w:rsidR="00E20E71">
              <w:rPr>
                <w:rFonts w:eastAsia="Times New Roman" w:cs="Calibri"/>
                <w:i/>
                <w:color w:val="000000"/>
                <w:sz w:val="24"/>
                <w:szCs w:val="24"/>
                <w:lang w:eastAsia="et-EE"/>
              </w:rPr>
              <w:t>5</w:t>
            </w:r>
          </w:p>
        </w:tc>
      </w:tr>
    </w:tbl>
    <w:p w14:paraId="3292BB0A" w14:textId="77777777" w:rsidR="00672798" w:rsidRPr="0057005C" w:rsidRDefault="00672798" w:rsidP="009066A2">
      <w:pPr>
        <w:jc w:val="both"/>
        <w:rPr>
          <w:sz w:val="24"/>
        </w:rPr>
      </w:pPr>
    </w:p>
    <w:sectPr w:rsidR="00672798" w:rsidRPr="0057005C" w:rsidSect="00672798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8C14" w14:textId="77777777" w:rsidR="00065A5B" w:rsidRDefault="00065A5B" w:rsidP="00672798">
      <w:pPr>
        <w:spacing w:line="240" w:lineRule="auto"/>
      </w:pPr>
      <w:r>
        <w:separator/>
      </w:r>
    </w:p>
  </w:endnote>
  <w:endnote w:type="continuationSeparator" w:id="0">
    <w:p w14:paraId="31972D6D" w14:textId="77777777" w:rsidR="00065A5B" w:rsidRDefault="00065A5B" w:rsidP="00672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4957" w14:textId="77777777" w:rsidR="00065A5B" w:rsidRDefault="00065A5B" w:rsidP="00672798">
      <w:pPr>
        <w:spacing w:line="240" w:lineRule="auto"/>
      </w:pPr>
      <w:r>
        <w:separator/>
      </w:r>
    </w:p>
  </w:footnote>
  <w:footnote w:type="continuationSeparator" w:id="0">
    <w:p w14:paraId="64CC9F82" w14:textId="77777777" w:rsidR="00065A5B" w:rsidRDefault="00065A5B" w:rsidP="00672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B533" w14:textId="77777777" w:rsidR="00787F5D" w:rsidRDefault="00787F5D" w:rsidP="0067279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57CF" w14:textId="2B2EBEAD" w:rsidR="00787F5D" w:rsidRPr="002F0DFE" w:rsidRDefault="002F0DFE" w:rsidP="002F0DFE">
    <w:pPr>
      <w:pStyle w:val="Header"/>
      <w:jc w:val="center"/>
      <w:rPr>
        <w:i/>
        <w:iCs/>
        <w:noProof/>
        <w:sz w:val="28"/>
        <w:szCs w:val="28"/>
        <w:lang w:val="en-US"/>
      </w:rPr>
    </w:pPr>
    <w:r w:rsidRPr="002F0DFE">
      <w:rPr>
        <w:i/>
        <w:iCs/>
        <w:noProof/>
        <w:sz w:val="28"/>
        <w:szCs w:val="28"/>
        <w:lang w:val="en-US"/>
      </w:rPr>
      <w:t xml:space="preserve">State of Burabarra                               </w:t>
    </w:r>
    <w:r>
      <w:rPr>
        <w:i/>
        <w:iCs/>
        <w:noProof/>
        <w:sz w:val="28"/>
        <w:szCs w:val="28"/>
        <w:lang w:val="en-US"/>
      </w:rPr>
      <w:t xml:space="preserve">              </w:t>
    </w:r>
    <w:r w:rsidRPr="002F0DFE">
      <w:rPr>
        <w:i/>
        <w:iCs/>
        <w:noProof/>
        <w:sz w:val="28"/>
        <w:szCs w:val="28"/>
        <w:lang w:val="en-US"/>
      </w:rPr>
      <w:t xml:space="preserve">              Office of the Governement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57A"/>
    <w:multiLevelType w:val="multilevel"/>
    <w:tmpl w:val="4228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142426"/>
    <w:multiLevelType w:val="multilevel"/>
    <w:tmpl w:val="E0908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7D56206"/>
    <w:multiLevelType w:val="multilevel"/>
    <w:tmpl w:val="785A8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E85446"/>
    <w:multiLevelType w:val="hybridMultilevel"/>
    <w:tmpl w:val="456A7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37F6"/>
    <w:multiLevelType w:val="multilevel"/>
    <w:tmpl w:val="1818B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4C967E7"/>
    <w:multiLevelType w:val="multilevel"/>
    <w:tmpl w:val="01103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743200"/>
    <w:multiLevelType w:val="multilevel"/>
    <w:tmpl w:val="C4D24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32730708">
    <w:abstractNumId w:val="3"/>
  </w:num>
  <w:num w:numId="2" w16cid:durableId="2056850906">
    <w:abstractNumId w:val="5"/>
  </w:num>
  <w:num w:numId="3" w16cid:durableId="1037003499">
    <w:abstractNumId w:val="6"/>
  </w:num>
  <w:num w:numId="4" w16cid:durableId="36862312">
    <w:abstractNumId w:val="4"/>
  </w:num>
  <w:num w:numId="5" w16cid:durableId="1492981903">
    <w:abstractNumId w:val="0"/>
  </w:num>
  <w:num w:numId="6" w16cid:durableId="1295062004">
    <w:abstractNumId w:val="1"/>
  </w:num>
  <w:num w:numId="7" w16cid:durableId="1146777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B2"/>
    <w:rsid w:val="00005A7F"/>
    <w:rsid w:val="000107EB"/>
    <w:rsid w:val="000323E8"/>
    <w:rsid w:val="00061113"/>
    <w:rsid w:val="00065A5B"/>
    <w:rsid w:val="00074633"/>
    <w:rsid w:val="00080E8D"/>
    <w:rsid w:val="00081F79"/>
    <w:rsid w:val="00083403"/>
    <w:rsid w:val="000844D0"/>
    <w:rsid w:val="000B250B"/>
    <w:rsid w:val="000C0794"/>
    <w:rsid w:val="000D1FE8"/>
    <w:rsid w:val="000D570B"/>
    <w:rsid w:val="00116F15"/>
    <w:rsid w:val="0012537F"/>
    <w:rsid w:val="00135FCF"/>
    <w:rsid w:val="00143EEF"/>
    <w:rsid w:val="00145482"/>
    <w:rsid w:val="00167954"/>
    <w:rsid w:val="001706B2"/>
    <w:rsid w:val="00181746"/>
    <w:rsid w:val="00183707"/>
    <w:rsid w:val="00186088"/>
    <w:rsid w:val="001959F5"/>
    <w:rsid w:val="001A65FA"/>
    <w:rsid w:val="001B5176"/>
    <w:rsid w:val="001C2049"/>
    <w:rsid w:val="001E0205"/>
    <w:rsid w:val="001E3375"/>
    <w:rsid w:val="001E6273"/>
    <w:rsid w:val="00230232"/>
    <w:rsid w:val="00242AB2"/>
    <w:rsid w:val="0027053A"/>
    <w:rsid w:val="00270EDF"/>
    <w:rsid w:val="002735C0"/>
    <w:rsid w:val="0027520F"/>
    <w:rsid w:val="002826C1"/>
    <w:rsid w:val="002B3F67"/>
    <w:rsid w:val="002B48DC"/>
    <w:rsid w:val="002B496D"/>
    <w:rsid w:val="002D6E34"/>
    <w:rsid w:val="002E2763"/>
    <w:rsid w:val="002E4B67"/>
    <w:rsid w:val="002F0DFE"/>
    <w:rsid w:val="00302A21"/>
    <w:rsid w:val="00324721"/>
    <w:rsid w:val="00330069"/>
    <w:rsid w:val="00371AD0"/>
    <w:rsid w:val="00372319"/>
    <w:rsid w:val="00375FE6"/>
    <w:rsid w:val="003803F8"/>
    <w:rsid w:val="003903E8"/>
    <w:rsid w:val="00390759"/>
    <w:rsid w:val="003A779B"/>
    <w:rsid w:val="003B5ED9"/>
    <w:rsid w:val="003C0279"/>
    <w:rsid w:val="003C2769"/>
    <w:rsid w:val="003E65A5"/>
    <w:rsid w:val="0041626E"/>
    <w:rsid w:val="0045030F"/>
    <w:rsid w:val="004575B9"/>
    <w:rsid w:val="004628B4"/>
    <w:rsid w:val="00467243"/>
    <w:rsid w:val="004C0FFE"/>
    <w:rsid w:val="004C28D0"/>
    <w:rsid w:val="004C7012"/>
    <w:rsid w:val="005001B2"/>
    <w:rsid w:val="00502356"/>
    <w:rsid w:val="00504D7F"/>
    <w:rsid w:val="0051698D"/>
    <w:rsid w:val="0052131C"/>
    <w:rsid w:val="00525C42"/>
    <w:rsid w:val="0053449C"/>
    <w:rsid w:val="00540477"/>
    <w:rsid w:val="0054582B"/>
    <w:rsid w:val="00551742"/>
    <w:rsid w:val="00553999"/>
    <w:rsid w:val="00561BF8"/>
    <w:rsid w:val="0057005C"/>
    <w:rsid w:val="00570E33"/>
    <w:rsid w:val="00591306"/>
    <w:rsid w:val="00596C34"/>
    <w:rsid w:val="005A1991"/>
    <w:rsid w:val="005E4A17"/>
    <w:rsid w:val="005E6366"/>
    <w:rsid w:val="0060667C"/>
    <w:rsid w:val="00607009"/>
    <w:rsid w:val="00613747"/>
    <w:rsid w:val="00617951"/>
    <w:rsid w:val="006303CD"/>
    <w:rsid w:val="00632655"/>
    <w:rsid w:val="00651301"/>
    <w:rsid w:val="006644B6"/>
    <w:rsid w:val="00670175"/>
    <w:rsid w:val="00672798"/>
    <w:rsid w:val="00676D7C"/>
    <w:rsid w:val="006837DC"/>
    <w:rsid w:val="006A6220"/>
    <w:rsid w:val="00705843"/>
    <w:rsid w:val="007269F6"/>
    <w:rsid w:val="007353A6"/>
    <w:rsid w:val="007547D0"/>
    <w:rsid w:val="00763295"/>
    <w:rsid w:val="00774585"/>
    <w:rsid w:val="00774829"/>
    <w:rsid w:val="007761CD"/>
    <w:rsid w:val="00787F5D"/>
    <w:rsid w:val="00791B41"/>
    <w:rsid w:val="0079223E"/>
    <w:rsid w:val="007A06B9"/>
    <w:rsid w:val="007A42FC"/>
    <w:rsid w:val="007E3A5A"/>
    <w:rsid w:val="007F38C0"/>
    <w:rsid w:val="00802835"/>
    <w:rsid w:val="008400E9"/>
    <w:rsid w:val="00870AE3"/>
    <w:rsid w:val="008723D1"/>
    <w:rsid w:val="00874B78"/>
    <w:rsid w:val="00880C7C"/>
    <w:rsid w:val="00897559"/>
    <w:rsid w:val="008A0FE8"/>
    <w:rsid w:val="008A5F83"/>
    <w:rsid w:val="008A6C0D"/>
    <w:rsid w:val="008B28FD"/>
    <w:rsid w:val="008B68CD"/>
    <w:rsid w:val="008C22EB"/>
    <w:rsid w:val="008C5DA7"/>
    <w:rsid w:val="008E3596"/>
    <w:rsid w:val="008F0692"/>
    <w:rsid w:val="009066A2"/>
    <w:rsid w:val="0091151C"/>
    <w:rsid w:val="00921F6E"/>
    <w:rsid w:val="00922363"/>
    <w:rsid w:val="00925916"/>
    <w:rsid w:val="00926146"/>
    <w:rsid w:val="00927E2C"/>
    <w:rsid w:val="0095070C"/>
    <w:rsid w:val="00960538"/>
    <w:rsid w:val="00973948"/>
    <w:rsid w:val="009C197E"/>
    <w:rsid w:val="009C769C"/>
    <w:rsid w:val="009F0E74"/>
    <w:rsid w:val="00A067F4"/>
    <w:rsid w:val="00A0788C"/>
    <w:rsid w:val="00A1524F"/>
    <w:rsid w:val="00A2190F"/>
    <w:rsid w:val="00A31B9B"/>
    <w:rsid w:val="00A3308F"/>
    <w:rsid w:val="00A3527D"/>
    <w:rsid w:val="00A44CEC"/>
    <w:rsid w:val="00A82D08"/>
    <w:rsid w:val="00A932C9"/>
    <w:rsid w:val="00A96164"/>
    <w:rsid w:val="00AB0D56"/>
    <w:rsid w:val="00AB7469"/>
    <w:rsid w:val="00AC0C95"/>
    <w:rsid w:val="00AE1915"/>
    <w:rsid w:val="00AE46BF"/>
    <w:rsid w:val="00AF6B91"/>
    <w:rsid w:val="00AF73BD"/>
    <w:rsid w:val="00AF7447"/>
    <w:rsid w:val="00B01E44"/>
    <w:rsid w:val="00B23D59"/>
    <w:rsid w:val="00B33F77"/>
    <w:rsid w:val="00B37FA7"/>
    <w:rsid w:val="00B4232D"/>
    <w:rsid w:val="00B517B2"/>
    <w:rsid w:val="00B61966"/>
    <w:rsid w:val="00B625E0"/>
    <w:rsid w:val="00B67278"/>
    <w:rsid w:val="00B67CF4"/>
    <w:rsid w:val="00B84972"/>
    <w:rsid w:val="00B87423"/>
    <w:rsid w:val="00B90C8A"/>
    <w:rsid w:val="00B925D1"/>
    <w:rsid w:val="00BD1130"/>
    <w:rsid w:val="00BD2F26"/>
    <w:rsid w:val="00BD78B7"/>
    <w:rsid w:val="00C31477"/>
    <w:rsid w:val="00C3272A"/>
    <w:rsid w:val="00C32DB8"/>
    <w:rsid w:val="00C478A6"/>
    <w:rsid w:val="00C6436B"/>
    <w:rsid w:val="00C96264"/>
    <w:rsid w:val="00CA493E"/>
    <w:rsid w:val="00CC12BC"/>
    <w:rsid w:val="00CC2CEC"/>
    <w:rsid w:val="00CD5AB3"/>
    <w:rsid w:val="00D04C4E"/>
    <w:rsid w:val="00D12BFE"/>
    <w:rsid w:val="00D130AD"/>
    <w:rsid w:val="00D15D09"/>
    <w:rsid w:val="00D1617C"/>
    <w:rsid w:val="00D258BD"/>
    <w:rsid w:val="00D36414"/>
    <w:rsid w:val="00D55D18"/>
    <w:rsid w:val="00D677C4"/>
    <w:rsid w:val="00DA66ED"/>
    <w:rsid w:val="00DC09C8"/>
    <w:rsid w:val="00DC5D2A"/>
    <w:rsid w:val="00DD5F52"/>
    <w:rsid w:val="00DF798E"/>
    <w:rsid w:val="00E03911"/>
    <w:rsid w:val="00E10186"/>
    <w:rsid w:val="00E1438B"/>
    <w:rsid w:val="00E20E71"/>
    <w:rsid w:val="00E40319"/>
    <w:rsid w:val="00E455A8"/>
    <w:rsid w:val="00E56FD8"/>
    <w:rsid w:val="00E636B2"/>
    <w:rsid w:val="00E73BC7"/>
    <w:rsid w:val="00E7686E"/>
    <w:rsid w:val="00E77CB0"/>
    <w:rsid w:val="00EB0850"/>
    <w:rsid w:val="00EB456A"/>
    <w:rsid w:val="00EC1CFC"/>
    <w:rsid w:val="00ED453F"/>
    <w:rsid w:val="00ED55A9"/>
    <w:rsid w:val="00ED7493"/>
    <w:rsid w:val="00ED7C68"/>
    <w:rsid w:val="00EF1B37"/>
    <w:rsid w:val="00EF1F6F"/>
    <w:rsid w:val="00F073B2"/>
    <w:rsid w:val="00F20277"/>
    <w:rsid w:val="00F24616"/>
    <w:rsid w:val="00F27407"/>
    <w:rsid w:val="00F417FF"/>
    <w:rsid w:val="00F52FEF"/>
    <w:rsid w:val="00F553F1"/>
    <w:rsid w:val="00F578D7"/>
    <w:rsid w:val="00F6281D"/>
    <w:rsid w:val="00F659DA"/>
    <w:rsid w:val="00F714DC"/>
    <w:rsid w:val="00F77FB6"/>
    <w:rsid w:val="00FA2512"/>
    <w:rsid w:val="00FB2614"/>
    <w:rsid w:val="00FC0AA1"/>
    <w:rsid w:val="00FC2BF6"/>
    <w:rsid w:val="00FC2F35"/>
    <w:rsid w:val="00FC5E29"/>
    <w:rsid w:val="00FD071D"/>
    <w:rsid w:val="00FD2942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8DAF"/>
  <w15:docId w15:val="{C418F1D6-375B-4884-972C-8F8B0074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306"/>
    <w:pPr>
      <w:spacing w:after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6B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27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9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27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98"/>
    <w:rPr>
      <w:lang w:val="en-GB"/>
    </w:rPr>
  </w:style>
  <w:style w:type="paragraph" w:styleId="ListParagraph">
    <w:name w:val="List Paragraph"/>
    <w:basedOn w:val="Normal"/>
    <w:uiPriority w:val="34"/>
    <w:qFormat/>
    <w:rsid w:val="00553999"/>
    <w:pPr>
      <w:ind w:left="720"/>
      <w:contextualSpacing/>
    </w:pPr>
  </w:style>
  <w:style w:type="paragraph" w:styleId="Revision">
    <w:name w:val="Revision"/>
    <w:hidden/>
    <w:uiPriority w:val="99"/>
    <w:semiHidden/>
    <w:rsid w:val="003C2769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6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C0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C0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SystematCloud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MCPHERSON</dc:creator>
  <cp:lastModifiedBy>Martin Švec</cp:lastModifiedBy>
  <cp:revision>7</cp:revision>
  <cp:lastPrinted>2014-06-02T07:19:00Z</cp:lastPrinted>
  <dcterms:created xsi:type="dcterms:W3CDTF">2023-03-01T08:48:00Z</dcterms:created>
  <dcterms:modified xsi:type="dcterms:W3CDTF">2023-03-06T11:17:00Z</dcterms:modified>
</cp:coreProperties>
</file>