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E3E7" w14:textId="6EE74FEB" w:rsidR="00526C32" w:rsidRPr="00E32EC0" w:rsidRDefault="00526C32" w:rsidP="00526C32">
      <w:pPr>
        <w:pStyle w:val="Heading1"/>
        <w:rPr>
          <w:rFonts w:asciiTheme="minorHAnsi" w:hAnsiTheme="minorHAnsi" w:cstheme="minorHAnsi"/>
        </w:rPr>
      </w:pPr>
      <w:r w:rsidRPr="00E32EC0">
        <w:rPr>
          <w:rFonts w:asciiTheme="minorHAnsi" w:hAnsiTheme="minorHAnsi" w:cstheme="minorHAnsi"/>
        </w:rPr>
        <w:t>Návrh předmětu</w:t>
      </w:r>
      <w:r w:rsidR="00CA34EA" w:rsidRPr="00E32EC0">
        <w:rPr>
          <w:rFonts w:asciiTheme="minorHAnsi" w:hAnsiTheme="minorHAnsi" w:cstheme="minorHAnsi"/>
        </w:rPr>
        <w:t>:</w:t>
      </w:r>
      <w:r w:rsidRPr="00E32EC0">
        <w:rPr>
          <w:rFonts w:asciiTheme="minorHAnsi" w:hAnsiTheme="minorHAnsi" w:cstheme="minorHAnsi"/>
        </w:rPr>
        <w:t xml:space="preserve"> </w:t>
      </w:r>
      <w:r w:rsidR="00CA34EA" w:rsidRPr="00E32EC0">
        <w:rPr>
          <w:rFonts w:asciiTheme="minorHAnsi" w:hAnsiTheme="minorHAnsi" w:cstheme="minorHAnsi"/>
          <w:lang w:val="en-GB"/>
        </w:rPr>
        <w:t>Procedural Law of the European Union</w:t>
      </w:r>
    </w:p>
    <w:p w14:paraId="3F991E43" w14:textId="77777777" w:rsidR="00526C32" w:rsidRPr="00E32EC0" w:rsidRDefault="00526C32" w:rsidP="00526C32">
      <w:pPr>
        <w:rPr>
          <w:rFonts w:cstheme="minorHAnsi"/>
        </w:rPr>
      </w:pPr>
    </w:p>
    <w:p w14:paraId="702AC83A" w14:textId="158ACCCF" w:rsidR="00526C32" w:rsidRPr="00E32EC0" w:rsidRDefault="00526C32" w:rsidP="00526C32">
      <w:pPr>
        <w:rPr>
          <w:rFonts w:cstheme="minorHAnsi"/>
        </w:rPr>
      </w:pPr>
      <w:r w:rsidRPr="00E32EC0">
        <w:rPr>
          <w:rStyle w:val="Heading2Char"/>
          <w:rFonts w:asciiTheme="minorHAnsi" w:hAnsiTheme="minorHAnsi" w:cstheme="minorHAnsi"/>
        </w:rPr>
        <w:t>Garant:</w:t>
      </w:r>
      <w:r w:rsidRPr="00E32EC0">
        <w:rPr>
          <w:rFonts w:cstheme="minorHAnsi"/>
        </w:rPr>
        <w:t xml:space="preserve"> </w:t>
      </w:r>
      <w:r w:rsidR="00CA34EA" w:rsidRPr="00E32EC0">
        <w:rPr>
          <w:rFonts w:cstheme="minorHAnsi"/>
        </w:rPr>
        <w:t>JUDr. Zuzana Vikarská, MJur, MPhil, Ph.D.</w:t>
      </w:r>
    </w:p>
    <w:p w14:paraId="34505BBF" w14:textId="0B2D85B9" w:rsidR="00526C32" w:rsidRPr="00E32EC0" w:rsidRDefault="00526C32" w:rsidP="00526C32">
      <w:pPr>
        <w:rPr>
          <w:rFonts w:cstheme="minorHAnsi"/>
        </w:rPr>
      </w:pPr>
      <w:r w:rsidRPr="00E32EC0">
        <w:rPr>
          <w:rStyle w:val="Heading2Char"/>
          <w:rFonts w:asciiTheme="minorHAnsi" w:hAnsiTheme="minorHAnsi" w:cstheme="minorHAnsi"/>
        </w:rPr>
        <w:t>Garanční oddělení:</w:t>
      </w:r>
      <w:r w:rsidRPr="00E32EC0">
        <w:rPr>
          <w:rFonts w:cstheme="minorHAnsi"/>
        </w:rPr>
        <w:t xml:space="preserve"> </w:t>
      </w:r>
      <w:r w:rsidR="00CA34EA" w:rsidRPr="00E32EC0">
        <w:rPr>
          <w:rFonts w:cstheme="minorHAnsi"/>
        </w:rPr>
        <w:t>Katedra ústavního práva a politologie</w:t>
      </w:r>
    </w:p>
    <w:p w14:paraId="09DC7FD6" w14:textId="77777777" w:rsidR="00526C32" w:rsidRPr="00E32EC0" w:rsidRDefault="00526C32" w:rsidP="00526C32">
      <w:pPr>
        <w:rPr>
          <w:rFonts w:cstheme="minorHAnsi"/>
        </w:rPr>
      </w:pPr>
      <w:r w:rsidRPr="00E32EC0">
        <w:rPr>
          <w:rStyle w:val="Heading2Char"/>
          <w:rFonts w:asciiTheme="minorHAnsi" w:hAnsiTheme="minorHAnsi" w:cstheme="minorHAnsi"/>
        </w:rPr>
        <w:t>Vyučovací jazyk:</w:t>
      </w:r>
      <w:r w:rsidRPr="00E32EC0">
        <w:rPr>
          <w:rFonts w:cstheme="minorHAnsi"/>
        </w:rPr>
        <w:t xml:space="preserve"> </w:t>
      </w:r>
      <w:bookmarkStart w:id="0" w:name="_Hlk121905534"/>
      <w:r w:rsidRPr="00E32EC0">
        <w:rPr>
          <w:rFonts w:cstheme="minorHAnsi"/>
        </w:rPr>
        <w:t>angličtina</w:t>
      </w:r>
      <w:bookmarkEnd w:id="0"/>
    </w:p>
    <w:p w14:paraId="6B20F939" w14:textId="0B8ABA10" w:rsidR="00526C32" w:rsidRPr="00E32EC0" w:rsidRDefault="00526C32" w:rsidP="00526C32">
      <w:pPr>
        <w:rPr>
          <w:rFonts w:cstheme="minorHAnsi"/>
        </w:rPr>
      </w:pPr>
      <w:r w:rsidRPr="00E32EC0">
        <w:rPr>
          <w:rStyle w:val="Heading2Char"/>
          <w:rFonts w:asciiTheme="minorHAnsi" w:hAnsiTheme="minorHAnsi" w:cstheme="minorHAnsi"/>
        </w:rPr>
        <w:t>Cílová skupina:</w:t>
      </w:r>
      <w:r w:rsidRPr="00E32EC0">
        <w:rPr>
          <w:rFonts w:cstheme="minorHAnsi"/>
        </w:rPr>
        <w:t xml:space="preserve"> </w:t>
      </w:r>
      <w:r w:rsidR="00CA34EA" w:rsidRPr="00E32EC0">
        <w:rPr>
          <w:rFonts w:cstheme="minorHAnsi"/>
        </w:rPr>
        <w:t>Mgr. studenti, Ph.D. studenti, zahraniční studenti (včetně Erasmus)</w:t>
      </w:r>
    </w:p>
    <w:p w14:paraId="03C5147A" w14:textId="5D7FD9E2" w:rsidR="00F178F1" w:rsidRPr="00E32EC0" w:rsidRDefault="00526C32" w:rsidP="00F178F1">
      <w:pPr>
        <w:pStyle w:val="Heading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32EC0">
        <w:rPr>
          <w:rFonts w:asciiTheme="minorHAnsi" w:hAnsiTheme="minorHAnsi" w:cstheme="minorHAnsi"/>
        </w:rPr>
        <w:t xml:space="preserve">Cíle předmětu: </w:t>
      </w:r>
      <w:r w:rsidR="00CA34EA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seznámit studující </w:t>
      </w:r>
      <w:r w:rsidR="00F178F1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s průběhem řízení před Soudním dvorem EU</w:t>
      </w:r>
      <w:r w:rsidR="005A609C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a s vnitrostátními soudními řízeními, které mají evropskou dimenzi.</w:t>
      </w:r>
    </w:p>
    <w:p w14:paraId="60541E19" w14:textId="739D1B86" w:rsidR="00526C32" w:rsidRPr="00E32EC0" w:rsidRDefault="00F178F1" w:rsidP="0051548D">
      <w:pPr>
        <w:pStyle w:val="Heading2"/>
        <w:jc w:val="both"/>
        <w:rPr>
          <w:rFonts w:asciiTheme="minorHAnsi" w:hAnsiTheme="minorHAnsi" w:cstheme="minorHAnsi"/>
        </w:rPr>
      </w:pPr>
      <w:r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Kurz nabídne prostor </w:t>
      </w:r>
      <w:r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studujícím</w:t>
      </w:r>
      <w:r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 zájmem o ústavní a evropské právo, aby se podrobněji věnovali různým formám řízení před Soudním dvorem EU. Primárně se kurz zaměří na řízení o předběžné otázce, neboť toto je rozprostřeno mezi národní soudy (které jsou předmětem studia ústavního práva) a Soudní dvůr EU (který se studuje přede</w:t>
      </w:r>
      <w:r w:rsidR="003C4D88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v</w:t>
      </w:r>
      <w:r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ším v evropském právu). Velký důraz bude ale položen na samostatné studium a analýzu judikatury, výuka bude "</w:t>
      </w:r>
      <w:proofErr w:type="spellStart"/>
      <w:r w:rsidRPr="00E32EC0">
        <w:rPr>
          <w:rFonts w:asciiTheme="minorHAnsi" w:eastAsiaTheme="minorHAnsi" w:hAnsiTheme="minorHAnsi" w:cstheme="minorHAnsi"/>
          <w:i/>
          <w:iCs/>
          <w:color w:val="auto"/>
          <w:sz w:val="22"/>
          <w:szCs w:val="22"/>
        </w:rPr>
        <w:t>blended</w:t>
      </w:r>
      <w:proofErr w:type="spellEnd"/>
      <w:r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" a bude kombinovat toto samostudium s osobními setkáními určenými k diskusi, analýze a zobecňování poznatků získaných studiem judikatury. Kurz bude otevřen rovněž pro studenty programu Erasmus a pro doktorské studenty.</w:t>
      </w:r>
    </w:p>
    <w:p w14:paraId="0588AEF2" w14:textId="6321F622" w:rsidR="00526C32" w:rsidRPr="008A2A81" w:rsidRDefault="00526C32" w:rsidP="008A2A81">
      <w:pPr>
        <w:pStyle w:val="Heading2"/>
        <w:jc w:val="both"/>
        <w:rPr>
          <w:rFonts w:asciiTheme="minorHAnsi" w:hAnsiTheme="minorHAnsi" w:cstheme="minorHAnsi"/>
        </w:rPr>
      </w:pPr>
      <w:r w:rsidRPr="00E32EC0">
        <w:rPr>
          <w:rFonts w:asciiTheme="minorHAnsi" w:hAnsiTheme="minorHAnsi" w:cstheme="minorHAnsi"/>
        </w:rPr>
        <w:t>Výstupy z učení:</w:t>
      </w:r>
      <w:r w:rsidR="004C5670" w:rsidRPr="00E32EC0">
        <w:rPr>
          <w:rFonts w:asciiTheme="minorHAnsi" w:hAnsiTheme="minorHAnsi" w:cstheme="minorHAnsi"/>
        </w:rPr>
        <w:t xml:space="preserve"> </w:t>
      </w:r>
      <w:r w:rsidR="004C5670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schopnost číst judikaturu Soudního dvora EU</w:t>
      </w:r>
      <w:r w:rsidR="00E32EC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(ESD i Tribunálu)</w:t>
      </w:r>
      <w:r w:rsidR="004C5670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, jakož i judikaturu vnitrostátních soudů s evropským prvkem; schopnost zorientovat se v</w:t>
      </w:r>
      <w:r w:rsidR="0051548D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 evropské i vnitrostátní </w:t>
      </w:r>
      <w:r w:rsidR="004C5670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judikatuře, </w:t>
      </w:r>
      <w:r w:rsidR="0051548D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schopnost </w:t>
      </w:r>
      <w:r w:rsidR="004C5670" w:rsidRPr="00E32EC0">
        <w:rPr>
          <w:rFonts w:asciiTheme="minorHAnsi" w:eastAsiaTheme="minorHAnsi" w:hAnsiTheme="minorHAnsi" w:cstheme="minorHAnsi"/>
          <w:color w:val="auto"/>
          <w:sz w:val="22"/>
          <w:szCs w:val="22"/>
        </w:rPr>
        <w:t>dohledat relevantní rozhodnutí a porozumět jim</w:t>
      </w:r>
      <w:r w:rsidR="0051548D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(včetně schopnosti je anotovat a připravovat z nich shrnutí)</w:t>
      </w:r>
      <w:r w:rsidR="003A0B1D">
        <w:rPr>
          <w:rFonts w:asciiTheme="minorHAnsi" w:eastAsiaTheme="minorHAnsi" w:hAnsiTheme="minorHAnsi" w:cstheme="minorHAnsi"/>
          <w:color w:val="auto"/>
          <w:sz w:val="22"/>
          <w:szCs w:val="22"/>
        </w:rPr>
        <w:t>; schopnost argumentovat v různých typech řízení a sepsat podání stran k SDEU, schopnost sepsat předběžnou otázku k ESD v roli vnitrostátního soudce; schopnost sepsat koncept stanoviska generálního advokáta či koncept rozsudku ESD.</w:t>
      </w:r>
    </w:p>
    <w:p w14:paraId="67AC1EB4" w14:textId="77777777" w:rsidR="00526C32" w:rsidRPr="00E32EC0" w:rsidRDefault="00526C32" w:rsidP="00526C32">
      <w:pPr>
        <w:pStyle w:val="Heading2"/>
        <w:rPr>
          <w:rFonts w:asciiTheme="minorHAnsi" w:eastAsia="Times New Roman" w:hAnsiTheme="minorHAnsi" w:cstheme="minorHAnsi"/>
          <w:lang w:eastAsia="cs-CZ"/>
        </w:rPr>
      </w:pPr>
      <w:r w:rsidRPr="00E32EC0">
        <w:rPr>
          <w:rFonts w:asciiTheme="minorHAnsi" w:eastAsia="Times New Roman" w:hAnsiTheme="minorHAnsi" w:cstheme="minorHAnsi"/>
          <w:lang w:eastAsia="cs-CZ"/>
        </w:rPr>
        <w:t>Osnova:</w:t>
      </w:r>
    </w:p>
    <w:p w14:paraId="5122C059" w14:textId="3747AC5D" w:rsidR="00526C32" w:rsidRPr="003B6926" w:rsidRDefault="003B6926" w:rsidP="00AD5197">
      <w:pPr>
        <w:jc w:val="both"/>
        <w:rPr>
          <w:rFonts w:cstheme="minorHAnsi"/>
          <w:lang w:eastAsia="cs-CZ"/>
        </w:rPr>
      </w:pPr>
      <w:r w:rsidRPr="003B6926">
        <w:rPr>
          <w:rFonts w:cstheme="minorHAnsi"/>
          <w:lang w:eastAsia="cs-CZ"/>
        </w:rPr>
        <w:t>Výuka v</w:t>
      </w:r>
      <w:r>
        <w:rPr>
          <w:rFonts w:cstheme="minorHAnsi"/>
          <w:lang w:eastAsia="cs-CZ"/>
        </w:rPr>
        <w:t> </w:t>
      </w:r>
      <w:r w:rsidRPr="003B6926">
        <w:rPr>
          <w:rFonts w:cstheme="minorHAnsi"/>
          <w:lang w:eastAsia="cs-CZ"/>
        </w:rPr>
        <w:t>kurzu</w:t>
      </w:r>
      <w:r>
        <w:rPr>
          <w:rFonts w:cstheme="minorHAnsi"/>
          <w:lang w:eastAsia="cs-CZ"/>
        </w:rPr>
        <w:t xml:space="preserve"> bude probíhat „</w:t>
      </w:r>
      <w:proofErr w:type="spellStart"/>
      <w:r>
        <w:rPr>
          <w:rFonts w:cstheme="minorHAnsi"/>
          <w:lang w:eastAsia="cs-CZ"/>
        </w:rPr>
        <w:t>blended</w:t>
      </w:r>
      <w:proofErr w:type="spellEnd"/>
      <w:r>
        <w:rPr>
          <w:rFonts w:cstheme="minorHAnsi"/>
          <w:lang w:eastAsia="cs-CZ"/>
        </w:rPr>
        <w:t xml:space="preserve">“ formou, tj. </w:t>
      </w:r>
      <w:r w:rsidR="00D93207">
        <w:rPr>
          <w:rFonts w:cstheme="minorHAnsi"/>
          <w:lang w:eastAsia="cs-CZ"/>
        </w:rPr>
        <w:t xml:space="preserve">liché </w:t>
      </w:r>
      <w:r>
        <w:rPr>
          <w:rFonts w:cstheme="minorHAnsi"/>
          <w:lang w:eastAsia="cs-CZ"/>
        </w:rPr>
        <w:t>hodiny</w:t>
      </w:r>
      <w:r w:rsidR="00D93207">
        <w:rPr>
          <w:rFonts w:cstheme="minorHAnsi"/>
          <w:lang w:eastAsia="cs-CZ"/>
        </w:rPr>
        <w:t xml:space="preserve"> (níže zvýrazněné tučným písmem)</w:t>
      </w:r>
      <w:r>
        <w:rPr>
          <w:rFonts w:cstheme="minorHAnsi"/>
          <w:lang w:eastAsia="cs-CZ"/>
        </w:rPr>
        <w:t xml:space="preserve"> proběhnou formou osobního setkání, přičemž </w:t>
      </w:r>
      <w:r w:rsidR="00D93207">
        <w:rPr>
          <w:rFonts w:cstheme="minorHAnsi"/>
          <w:lang w:eastAsia="cs-CZ"/>
        </w:rPr>
        <w:t xml:space="preserve">sudé </w:t>
      </w:r>
      <w:r>
        <w:rPr>
          <w:rFonts w:cstheme="minorHAnsi"/>
          <w:lang w:eastAsia="cs-CZ"/>
        </w:rPr>
        <w:t>hodiny obnáší samostudium, včetně písemných výstupů</w:t>
      </w:r>
      <w:r w:rsidR="003A0B1D">
        <w:rPr>
          <w:rFonts w:cstheme="minorHAnsi"/>
          <w:lang w:eastAsia="cs-CZ"/>
        </w:rPr>
        <w:t>, které jsou</w:t>
      </w:r>
      <w:r w:rsidR="009339BC">
        <w:rPr>
          <w:rFonts w:cstheme="minorHAnsi"/>
          <w:lang w:eastAsia="cs-CZ"/>
        </w:rPr>
        <w:t xml:space="preserve"> (včetně zpětné vazby na ně)</w:t>
      </w:r>
      <w:r w:rsidR="003A0B1D">
        <w:rPr>
          <w:rFonts w:cstheme="minorHAnsi"/>
          <w:lang w:eastAsia="cs-CZ"/>
        </w:rPr>
        <w:t xml:space="preserve"> těžištěm celého kurzu.</w:t>
      </w:r>
    </w:p>
    <w:p w14:paraId="18585CE5" w14:textId="27767F93" w:rsidR="004C5670" w:rsidRPr="00D93207" w:rsidRDefault="00E32EC0" w:rsidP="004C5670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="004C5670" w:rsidRPr="00D93207">
        <w:rPr>
          <w:rFonts w:cstheme="minorHAnsi"/>
          <w:b/>
          <w:bCs/>
          <w:lang w:val="en-GB" w:eastAsia="cs-CZ"/>
        </w:rPr>
        <w:t xml:space="preserve"> </w:t>
      </w:r>
      <w:r w:rsidR="000A3359" w:rsidRPr="00D93207">
        <w:rPr>
          <w:rFonts w:cstheme="minorHAnsi"/>
          <w:b/>
          <w:bCs/>
          <w:lang w:val="en-GB" w:eastAsia="cs-CZ"/>
        </w:rPr>
        <w:t>Judiciary of the EU</w:t>
      </w:r>
      <w:r w:rsidR="004C5670" w:rsidRPr="00D93207">
        <w:rPr>
          <w:rFonts w:cstheme="minorHAnsi"/>
          <w:b/>
          <w:bCs/>
          <w:lang w:val="en-GB" w:eastAsia="cs-CZ"/>
        </w:rPr>
        <w:t xml:space="preserve"> = Court of Justice + General Court + national courts.</w:t>
      </w:r>
      <w:r w:rsidR="00A82201" w:rsidRPr="00D93207">
        <w:rPr>
          <w:rFonts w:cstheme="minorHAnsi"/>
          <w:b/>
          <w:bCs/>
          <w:lang w:val="en-GB" w:eastAsia="cs-CZ"/>
        </w:rPr>
        <w:t xml:space="preserve"> The importance of understanding the multi-level system of judicial protection in the EU</w:t>
      </w:r>
      <w:r w:rsidR="00D93207" w:rsidRPr="00D93207">
        <w:rPr>
          <w:rFonts w:cstheme="minorHAnsi"/>
          <w:b/>
          <w:bCs/>
          <w:lang w:val="en-GB" w:eastAsia="cs-CZ"/>
        </w:rPr>
        <w:t>.</w:t>
      </w:r>
    </w:p>
    <w:p w14:paraId="0808FC14" w14:textId="570F808E" w:rsidR="00D93207" w:rsidRPr="00BF1EAB" w:rsidRDefault="00D93207" w:rsidP="00AD5197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BF1EAB">
        <w:rPr>
          <w:rFonts w:cstheme="minorHAnsi"/>
          <w:lang w:val="en-GB" w:eastAsia="cs-CZ"/>
        </w:rPr>
        <w:t xml:space="preserve">How to read EU case law? Assigned reading of two cases of the Court of Justice, one case of </w:t>
      </w:r>
      <w:r w:rsidR="0062154F">
        <w:rPr>
          <w:rFonts w:cstheme="minorHAnsi"/>
          <w:lang w:val="en-GB" w:eastAsia="cs-CZ"/>
        </w:rPr>
        <w:t>the General Court and one case of a national court dealing with an issue of EU law.</w:t>
      </w:r>
      <w:r w:rsidR="00626904">
        <w:rPr>
          <w:rFonts w:cstheme="minorHAnsi"/>
          <w:lang w:val="en-GB" w:eastAsia="cs-CZ"/>
        </w:rPr>
        <w:t xml:space="preserve"> Assignment: prepare case briefs for all cases read and find your own method of annotating case-law.</w:t>
      </w:r>
    </w:p>
    <w:p w14:paraId="6AE3230D" w14:textId="77777777" w:rsidR="00520E1D" w:rsidRPr="00D93207" w:rsidRDefault="00520E1D" w:rsidP="00520E1D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References for a preliminary ruling: a dialogue of courts or a monologue of the Court of Justice?</w:t>
      </w:r>
    </w:p>
    <w:p w14:paraId="4B527A47" w14:textId="58434B80" w:rsidR="00D93207" w:rsidRPr="00E32EC0" w:rsidRDefault="00D93207" w:rsidP="00AD5197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F940B2">
        <w:rPr>
          <w:rFonts w:cstheme="minorHAnsi"/>
          <w:lang w:val="en-GB" w:eastAsia="cs-CZ"/>
        </w:rPr>
        <w:t>Identify three “stories” of preliminary ruling procedure in any given field. In each story, read: (A) national court’s reference to the ECJ, (B) the ECJ’s ruling, (C) national court’s follow-up decision. Think about the procedure as a whole and make observations. Assignment: a short position paper summarising your observations after having read 3x3 judicial decisions.</w:t>
      </w:r>
    </w:p>
    <w:p w14:paraId="26C4983E" w14:textId="1DF3E84E" w:rsidR="00520E1D" w:rsidRPr="00AD5197" w:rsidRDefault="00520E1D" w:rsidP="00520E1D">
      <w:pPr>
        <w:rPr>
          <w:rFonts w:cstheme="minorHAnsi"/>
          <w:b/>
          <w:bCs/>
          <w:lang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References for a preliminary ruling: </w:t>
      </w:r>
      <w:r w:rsidRPr="00D93207">
        <w:rPr>
          <w:rFonts w:cstheme="minorHAnsi"/>
          <w:b/>
          <w:bCs/>
          <w:lang w:val="en-GB" w:eastAsia="cs-CZ"/>
        </w:rPr>
        <w:t>stakeholders, strategies, methods, and the ECJ’s monopoly on the interpretation of EU law.</w:t>
      </w:r>
      <w:r w:rsidR="00AD5197">
        <w:rPr>
          <w:rFonts w:cstheme="minorHAnsi"/>
          <w:b/>
          <w:bCs/>
          <w:lang w:val="en-GB" w:eastAsia="cs-CZ"/>
        </w:rPr>
        <w:t xml:space="preserve"> </w:t>
      </w:r>
    </w:p>
    <w:p w14:paraId="1A117570" w14:textId="53A44BDD" w:rsidR="00D93207" w:rsidRPr="00E32EC0" w:rsidRDefault="00D93207" w:rsidP="00AD5197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434D01">
        <w:rPr>
          <w:rFonts w:cstheme="minorHAnsi"/>
          <w:lang w:val="en-GB" w:eastAsia="cs-CZ"/>
        </w:rPr>
        <w:t>Pick an area of EU law (citizenship, free movement, competition, consumer, criminal, environment, employment, non-discrimination, anything). Identify 3 most important cases of the past decade</w:t>
      </w:r>
      <w:r w:rsidR="00AD5197">
        <w:rPr>
          <w:rFonts w:cstheme="minorHAnsi"/>
          <w:lang w:val="en-GB" w:eastAsia="cs-CZ"/>
        </w:rPr>
        <w:t xml:space="preserve">, </w:t>
      </w:r>
      <w:r w:rsidR="00434D01">
        <w:rPr>
          <w:rFonts w:cstheme="minorHAnsi"/>
          <w:lang w:val="en-GB" w:eastAsia="cs-CZ"/>
        </w:rPr>
        <w:t xml:space="preserve">read </w:t>
      </w:r>
      <w:r w:rsidR="00434D01">
        <w:rPr>
          <w:rFonts w:cstheme="minorHAnsi"/>
          <w:lang w:val="en-GB" w:eastAsia="cs-CZ"/>
        </w:rPr>
        <w:lastRenderedPageBreak/>
        <w:t>them</w:t>
      </w:r>
      <w:r w:rsidR="00AD5197">
        <w:rPr>
          <w:rFonts w:cstheme="minorHAnsi"/>
          <w:lang w:val="en-GB" w:eastAsia="cs-CZ"/>
        </w:rPr>
        <w:t xml:space="preserve"> and annotate them (incl. case briefs)</w:t>
      </w:r>
      <w:r w:rsidR="00434D01">
        <w:rPr>
          <w:rFonts w:cstheme="minorHAnsi"/>
          <w:lang w:val="en-GB" w:eastAsia="cs-CZ"/>
        </w:rPr>
        <w:t>. Then, try to find out whether national courts apply these cases</w:t>
      </w:r>
      <w:r w:rsidR="00AD5197">
        <w:rPr>
          <w:rFonts w:cstheme="minorHAnsi"/>
          <w:lang w:val="en-GB" w:eastAsia="cs-CZ"/>
        </w:rPr>
        <w:t xml:space="preserve"> in their decision-making. Assignment: prepare a written submission to a national court</w:t>
      </w:r>
      <w:r w:rsidR="00ED5ADD">
        <w:rPr>
          <w:rFonts w:cstheme="minorHAnsi"/>
          <w:lang w:val="en-GB" w:eastAsia="cs-CZ"/>
        </w:rPr>
        <w:t xml:space="preserve"> of your choice</w:t>
      </w:r>
      <w:r w:rsidR="00AD5197">
        <w:rPr>
          <w:rFonts w:cstheme="minorHAnsi"/>
          <w:lang w:val="en-GB" w:eastAsia="cs-CZ"/>
        </w:rPr>
        <w:t xml:space="preserve">, using EU law (and </w:t>
      </w:r>
      <w:r w:rsidR="00A71C18">
        <w:rPr>
          <w:rFonts w:cstheme="minorHAnsi"/>
          <w:lang w:val="en-GB" w:eastAsia="cs-CZ"/>
        </w:rPr>
        <w:t>CJEU</w:t>
      </w:r>
      <w:r w:rsidR="00AD5197">
        <w:rPr>
          <w:rFonts w:cstheme="minorHAnsi"/>
          <w:lang w:val="en-GB" w:eastAsia="cs-CZ"/>
        </w:rPr>
        <w:t xml:space="preserve"> case-law) in your argumentation. Persuade the national court that EU law is highly relevant in the case at hand and that it should either be applied directly, or a preliminary reference should be made</w:t>
      </w:r>
      <w:r w:rsidR="000F3713">
        <w:rPr>
          <w:rFonts w:cstheme="minorHAnsi"/>
          <w:lang w:val="en-GB" w:eastAsia="cs-CZ"/>
        </w:rPr>
        <w:t xml:space="preserve"> to the ECJ.</w:t>
      </w:r>
    </w:p>
    <w:p w14:paraId="40A01558" w14:textId="75F622EF" w:rsidR="00520E1D" w:rsidRPr="00D93207" w:rsidRDefault="00520E1D" w:rsidP="00520E1D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Who can help me with this?</w:t>
      </w:r>
      <w:r w:rsidRPr="00D93207">
        <w:rPr>
          <w:rFonts w:cstheme="minorHAnsi"/>
          <w:b/>
          <w:bCs/>
          <w:lang w:val="en-GB" w:eastAsia="cs-CZ"/>
        </w:rPr>
        <w:t xml:space="preserve"> </w:t>
      </w:r>
      <w:r w:rsidRPr="00D93207">
        <w:rPr>
          <w:rFonts w:cstheme="minorHAnsi"/>
          <w:b/>
          <w:bCs/>
          <w:lang w:val="en-GB" w:eastAsia="cs-CZ"/>
        </w:rPr>
        <w:t>National courts and two different (yet, similar) mechanisms: preliminary references to the ECJ vs. constitutionality review to the national constitutional court.</w:t>
      </w:r>
    </w:p>
    <w:p w14:paraId="2AD2FD9D" w14:textId="46C0294C" w:rsidR="00D93207" w:rsidRPr="00E32EC0" w:rsidRDefault="00D93207" w:rsidP="000D6E37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EE5794">
        <w:rPr>
          <w:rFonts w:cstheme="minorHAnsi"/>
          <w:lang w:val="en-GB" w:eastAsia="cs-CZ"/>
        </w:rPr>
        <w:t>Read a couple of cases in a chosen area where constitutional law meets EU law (asylum, non-discrimination, labour…). This time you are a national court</w:t>
      </w:r>
      <w:r w:rsidR="00551CB6">
        <w:rPr>
          <w:rFonts w:cstheme="minorHAnsi"/>
          <w:lang w:val="en-GB" w:eastAsia="cs-CZ"/>
        </w:rPr>
        <w:t xml:space="preserve">, facing parallel issues of constitutionality and EU conformity. </w:t>
      </w:r>
      <w:r w:rsidR="000D6E37">
        <w:rPr>
          <w:rFonts w:cstheme="minorHAnsi"/>
          <w:lang w:val="en-GB" w:eastAsia="cs-CZ"/>
        </w:rPr>
        <w:t>Assignment: draft a reference, either to your constitutional court, or to the ECJ, explain the conformity issue and ask for help.</w:t>
      </w:r>
    </w:p>
    <w:p w14:paraId="1B84BB48" w14:textId="2B7449CD" w:rsidR="00520E1D" w:rsidRPr="00D93207" w:rsidRDefault="00520E1D" w:rsidP="00520E1D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</w:t>
      </w:r>
      <w:r w:rsidRPr="00D93207">
        <w:rPr>
          <w:rFonts w:cstheme="minorHAnsi"/>
          <w:b/>
          <w:bCs/>
          <w:lang w:val="en-GB" w:eastAsia="cs-CZ"/>
        </w:rPr>
        <w:t xml:space="preserve">Direct actions to the CJEU: action for annulment, action for failure to act, infringement action, </w:t>
      </w:r>
    </w:p>
    <w:p w14:paraId="7B584527" w14:textId="29CD2C2B" w:rsidR="00D93207" w:rsidRPr="00E32EC0" w:rsidRDefault="00D93207" w:rsidP="00F07E6F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0D6E37">
        <w:rPr>
          <w:rFonts w:cstheme="minorHAnsi"/>
          <w:lang w:val="en-GB" w:eastAsia="cs-CZ"/>
        </w:rPr>
        <w:t xml:space="preserve">Pick one of the other types of proceedings and study the relevant academic literature. </w:t>
      </w:r>
      <w:r w:rsidR="00F07E6F">
        <w:rPr>
          <w:rFonts w:cstheme="minorHAnsi"/>
          <w:lang w:val="en-GB" w:eastAsia="cs-CZ"/>
        </w:rPr>
        <w:t>Depending on your own preference, draft either a submission of a non-privileged party to the General Court (AA, AFA), a submission of the Commission or another MS to the Court of justice (IA), or draft an AG opinion or a judgment in any case that is currently pending before the CJEU.</w:t>
      </w:r>
    </w:p>
    <w:p w14:paraId="2307BA0F" w14:textId="10B56C67" w:rsidR="003A0B1D" w:rsidRPr="00D93207" w:rsidRDefault="003A0B1D" w:rsidP="003A0B1D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</w:t>
      </w:r>
      <w:r w:rsidR="00BF1EAB">
        <w:rPr>
          <w:rFonts w:cstheme="minorHAnsi"/>
          <w:b/>
          <w:bCs/>
          <w:lang w:val="en-GB" w:eastAsia="cs-CZ"/>
        </w:rPr>
        <w:t xml:space="preserve">The constitutional dimension of EU judicial proceedings. The EU and the MS constitutional courts. </w:t>
      </w:r>
      <w:r w:rsidRPr="00D93207">
        <w:rPr>
          <w:rFonts w:cstheme="minorHAnsi"/>
          <w:b/>
          <w:bCs/>
          <w:lang w:val="en-GB" w:eastAsia="cs-CZ"/>
        </w:rPr>
        <w:t>The EU and the European Court of Human Rights. Cooperation, rivalry, accession.</w:t>
      </w:r>
    </w:p>
    <w:p w14:paraId="0461D033" w14:textId="5ECF95AE" w:rsidR="00D93207" w:rsidRPr="00E32EC0" w:rsidRDefault="00D93207" w:rsidP="001D58EE">
      <w:pPr>
        <w:jc w:val="both"/>
        <w:rPr>
          <w:rFonts w:cstheme="minorHAnsi"/>
          <w:lang w:val="en-GB" w:eastAsia="cs-CZ"/>
        </w:rPr>
      </w:pPr>
      <w:r w:rsidRPr="00E32EC0">
        <w:rPr>
          <w:rFonts w:cstheme="minorHAnsi"/>
          <w:lang w:val="en-GB" w:eastAsia="cs-CZ"/>
        </w:rPr>
        <w:fldChar w:fldCharType="begin"/>
      </w:r>
      <w:r w:rsidRPr="00E32EC0">
        <w:rPr>
          <w:rFonts w:cstheme="minorHAnsi"/>
          <w:lang w:val="en-GB" w:eastAsia="cs-CZ"/>
        </w:rPr>
        <w:instrText xml:space="preserve"> AUTONUM  \* Arabic </w:instrText>
      </w:r>
      <w:r w:rsidRPr="00E32EC0">
        <w:rPr>
          <w:rFonts w:cstheme="minorHAnsi"/>
          <w:lang w:val="en-GB" w:eastAsia="cs-CZ"/>
        </w:rPr>
        <w:fldChar w:fldCharType="end"/>
      </w:r>
      <w:r w:rsidRPr="00E32EC0">
        <w:rPr>
          <w:rFonts w:cstheme="minorHAnsi"/>
          <w:lang w:val="en-GB" w:eastAsia="cs-CZ"/>
        </w:rPr>
        <w:t xml:space="preserve"> </w:t>
      </w:r>
      <w:r w:rsidR="001D58EE">
        <w:rPr>
          <w:rFonts w:cstheme="minorHAnsi"/>
          <w:lang w:val="en-GB" w:eastAsia="cs-CZ"/>
        </w:rPr>
        <w:t>On the basis of detailed feedback on you previous assignment, please incorporate all the comments and re-draft your submission as a final submission for this course.</w:t>
      </w:r>
    </w:p>
    <w:p w14:paraId="1486272C" w14:textId="41A0734C" w:rsidR="00E32EC0" w:rsidRPr="00D93207" w:rsidRDefault="00E32EC0" w:rsidP="004C5670">
      <w:pPr>
        <w:rPr>
          <w:rFonts w:cstheme="minorHAnsi"/>
          <w:b/>
          <w:bCs/>
          <w:lang w:val="en-GB" w:eastAsia="cs-CZ"/>
        </w:rPr>
      </w:pPr>
      <w:r w:rsidRPr="00D93207">
        <w:rPr>
          <w:rFonts w:cstheme="minorHAnsi"/>
          <w:b/>
          <w:bCs/>
          <w:lang w:val="en-GB" w:eastAsia="cs-CZ"/>
        </w:rPr>
        <w:fldChar w:fldCharType="begin"/>
      </w:r>
      <w:r w:rsidRPr="00D93207">
        <w:rPr>
          <w:rFonts w:cstheme="minorHAnsi"/>
          <w:b/>
          <w:bCs/>
          <w:lang w:val="en-GB" w:eastAsia="cs-CZ"/>
        </w:rPr>
        <w:instrText xml:space="preserve"> AUTONUM  \* Arabic </w:instrText>
      </w:r>
      <w:r w:rsidRPr="00D93207">
        <w:rPr>
          <w:rFonts w:cstheme="minorHAnsi"/>
          <w:b/>
          <w:bCs/>
          <w:lang w:val="en-GB" w:eastAsia="cs-CZ"/>
        </w:rPr>
        <w:fldChar w:fldCharType="end"/>
      </w:r>
      <w:r w:rsidRPr="00D93207">
        <w:rPr>
          <w:rFonts w:cstheme="minorHAnsi"/>
          <w:b/>
          <w:bCs/>
          <w:lang w:val="en-GB" w:eastAsia="cs-CZ"/>
        </w:rPr>
        <w:t xml:space="preserve"> Feedback session on </w:t>
      </w:r>
      <w:r w:rsidR="00547B7B" w:rsidRPr="00D93207">
        <w:rPr>
          <w:rFonts w:cstheme="minorHAnsi"/>
          <w:b/>
          <w:bCs/>
          <w:lang w:val="en-GB" w:eastAsia="cs-CZ"/>
        </w:rPr>
        <w:t>the final written assignment, revision, wrap-up, Q&amp;A.</w:t>
      </w:r>
    </w:p>
    <w:p w14:paraId="2F74A254" w14:textId="77777777" w:rsidR="00526C32" w:rsidRPr="00E32EC0" w:rsidRDefault="00526C32" w:rsidP="00526C32">
      <w:pPr>
        <w:pStyle w:val="Heading2"/>
        <w:rPr>
          <w:rFonts w:asciiTheme="minorHAnsi" w:hAnsiTheme="minorHAnsi" w:cstheme="minorHAnsi"/>
        </w:rPr>
      </w:pPr>
    </w:p>
    <w:p w14:paraId="2884493C" w14:textId="44414B53" w:rsidR="00526C32" w:rsidRPr="00E32EC0" w:rsidRDefault="00526C32" w:rsidP="001D58EE">
      <w:pPr>
        <w:pStyle w:val="Heading2"/>
        <w:jc w:val="both"/>
        <w:rPr>
          <w:rFonts w:asciiTheme="minorHAnsi" w:hAnsiTheme="minorHAnsi" w:cstheme="minorHAnsi"/>
        </w:rPr>
      </w:pPr>
      <w:r w:rsidRPr="00E32EC0">
        <w:rPr>
          <w:rFonts w:asciiTheme="minorHAnsi" w:hAnsiTheme="minorHAnsi" w:cstheme="minorHAnsi"/>
        </w:rPr>
        <w:t xml:space="preserve">Výukové metody: </w:t>
      </w:r>
      <w:r w:rsidR="001D58EE" w:rsidRPr="001D58EE">
        <w:rPr>
          <w:rFonts w:asciiTheme="minorHAnsi" w:eastAsiaTheme="minorHAnsi" w:hAnsiTheme="minorHAnsi" w:cstheme="minorHAnsi"/>
          <w:color w:val="auto"/>
          <w:sz w:val="22"/>
          <w:szCs w:val="22"/>
        </w:rPr>
        <w:t>minimum frontálního výkladu</w:t>
      </w:r>
      <w:r w:rsidR="001D58EE">
        <w:rPr>
          <w:rFonts w:asciiTheme="minorHAnsi" w:eastAsiaTheme="minorHAnsi" w:hAnsiTheme="minorHAnsi" w:cstheme="minorHAnsi"/>
          <w:color w:val="auto"/>
          <w:sz w:val="22"/>
          <w:szCs w:val="22"/>
        </w:rPr>
        <w:t>, samostudium relevantní akademické literatury, samostudium judikatury evropských i vnitrostátních soudů, interaktivní a dovednostní seminární výuka, série šesti písemných zadání, na které bude poskytnuta zpětná vazba. Kurz je výrazně dovednostní a vyžaduje průběžnou práci ze strany studujících.</w:t>
      </w:r>
    </w:p>
    <w:p w14:paraId="75FA38AB" w14:textId="4A406524" w:rsidR="00526C32" w:rsidRPr="00E32EC0" w:rsidRDefault="00526C32" w:rsidP="00526C32">
      <w:pPr>
        <w:pStyle w:val="Heading2"/>
        <w:rPr>
          <w:rFonts w:asciiTheme="minorHAnsi" w:hAnsiTheme="minorHAnsi" w:cstheme="minorHAnsi"/>
        </w:rPr>
      </w:pPr>
      <w:r w:rsidRPr="00E32EC0">
        <w:rPr>
          <w:rFonts w:asciiTheme="minorHAnsi" w:hAnsiTheme="minorHAnsi" w:cstheme="minorHAnsi"/>
        </w:rPr>
        <w:t xml:space="preserve">Metody hodnocení: </w:t>
      </w:r>
      <w:r w:rsidR="001D58EE">
        <w:rPr>
          <w:rFonts w:asciiTheme="minorHAnsi" w:eastAsiaTheme="minorHAnsi" w:hAnsiTheme="minorHAnsi" w:cstheme="minorHAnsi"/>
          <w:color w:val="auto"/>
          <w:sz w:val="22"/>
          <w:szCs w:val="22"/>
        </w:rPr>
        <w:t>60 % průběžné písemné úkoly, 40 % zapojení do interaktivní seminární výuky.</w:t>
      </w:r>
    </w:p>
    <w:p w14:paraId="1B5CE8F7" w14:textId="77777777" w:rsidR="00526C32" w:rsidRPr="00E32EC0" w:rsidRDefault="00526C32" w:rsidP="00526C32">
      <w:pPr>
        <w:pStyle w:val="Heading2"/>
        <w:rPr>
          <w:rFonts w:asciiTheme="minorHAnsi" w:hAnsiTheme="minorHAnsi" w:cstheme="minorHAnsi"/>
          <w:shd w:val="clear" w:color="auto" w:fill="FDFDFE"/>
        </w:rPr>
      </w:pPr>
      <w:r w:rsidRPr="00E32EC0">
        <w:rPr>
          <w:rFonts w:asciiTheme="minorHAnsi" w:hAnsiTheme="minorHAnsi" w:cstheme="minorHAnsi"/>
          <w:shd w:val="clear" w:color="auto" w:fill="FDFDFE"/>
        </w:rPr>
        <w:t>Literatura:</w:t>
      </w:r>
    </w:p>
    <w:p w14:paraId="5662147C" w14:textId="6C003944" w:rsidR="00526C32" w:rsidRDefault="00547B7B" w:rsidP="00526C32">
      <w:pPr>
        <w:rPr>
          <w:rFonts w:ascii="Arial Unicode MS" w:hAnsi="Arial Unicode MS"/>
          <w:color w:val="212063"/>
          <w:shd w:val="clear" w:color="auto" w:fill="FEFEFE"/>
        </w:rPr>
      </w:pPr>
      <w:proofErr w:type="spellStart"/>
      <w:r>
        <w:rPr>
          <w:rFonts w:ascii="Arial Unicode MS" w:hAnsi="Arial Unicode MS"/>
          <w:color w:val="212063"/>
          <w:shd w:val="clear" w:color="auto" w:fill="FEFEFE"/>
        </w:rPr>
        <w:t>Remedies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and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procedures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before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the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EU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courts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/ René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Barents</w:t>
      </w:r>
      <w:proofErr w:type="spellEnd"/>
      <w:r>
        <w:rPr>
          <w:rFonts w:ascii="Arial Unicode MS" w:hAnsi="Arial Unicode MS"/>
          <w:color w:val="212063"/>
        </w:rPr>
        <w:br/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Alphen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aan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den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Rijn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: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Kluwer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Law International, 2020</w:t>
      </w:r>
    </w:p>
    <w:p w14:paraId="19637C87" w14:textId="5FA1DE90" w:rsidR="00547B7B" w:rsidRDefault="00547B7B" w:rsidP="00526C32">
      <w:pPr>
        <w:rPr>
          <w:rFonts w:ascii="Arial Unicode MS" w:hAnsi="Arial Unicode MS"/>
          <w:color w:val="212063"/>
          <w:shd w:val="clear" w:color="auto" w:fill="FEFEFE"/>
        </w:rPr>
      </w:pPr>
      <w:r>
        <w:rPr>
          <w:rFonts w:ascii="Arial Unicode MS" w:hAnsi="Arial Unicode MS"/>
          <w:color w:val="212063"/>
          <w:shd w:val="clear" w:color="auto" w:fill="FEFEFE"/>
        </w:rPr>
        <w:t xml:space="preserve">EU law : text,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cases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, and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materials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/ Paul Craig and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Gráinne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de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Búrca</w:t>
      </w:r>
      <w:proofErr w:type="spellEnd"/>
      <w:r>
        <w:rPr>
          <w:rFonts w:ascii="Arial Unicode MS" w:hAnsi="Arial Unicode MS"/>
          <w:color w:val="212063"/>
        </w:rPr>
        <w:br/>
      </w:r>
      <w:r>
        <w:rPr>
          <w:rFonts w:ascii="Arial Unicode MS" w:hAnsi="Arial Unicode MS"/>
          <w:color w:val="212063"/>
          <w:shd w:val="clear" w:color="auto" w:fill="FEFEFE"/>
        </w:rPr>
        <w:t xml:space="preserve">Oxford : Oxford university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press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>, [2020]</w:t>
      </w:r>
    </w:p>
    <w:p w14:paraId="406C8278" w14:textId="5FE413B3" w:rsidR="00547B7B" w:rsidRDefault="00547B7B" w:rsidP="00526C32">
      <w:pPr>
        <w:rPr>
          <w:rFonts w:ascii="Arial Unicode MS" w:hAnsi="Arial Unicode MS"/>
          <w:color w:val="212063"/>
          <w:shd w:val="clear" w:color="auto" w:fill="FEFEFE"/>
        </w:rPr>
      </w:pPr>
      <w:proofErr w:type="spellStart"/>
      <w:r>
        <w:rPr>
          <w:rFonts w:ascii="Arial Unicode MS" w:hAnsi="Arial Unicode MS"/>
          <w:color w:val="212063"/>
          <w:shd w:val="clear" w:color="auto" w:fill="FEFEFE"/>
        </w:rPr>
        <w:t>Lasok's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European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Court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practice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and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procedure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/ K.P.E.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Lasok</w:t>
      </w:r>
      <w:proofErr w:type="spellEnd"/>
      <w:r>
        <w:rPr>
          <w:rFonts w:ascii="Arial Unicode MS" w:hAnsi="Arial Unicode MS"/>
          <w:color w:val="212063"/>
        </w:rPr>
        <w:br/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Haywards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Heath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: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Bloomsbury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Professional, 2017</w:t>
      </w:r>
    </w:p>
    <w:p w14:paraId="7DCEA352" w14:textId="028FE685" w:rsidR="00547B7B" w:rsidRDefault="00547B7B" w:rsidP="00547B7B">
      <w:pPr>
        <w:rPr>
          <w:rFonts w:ascii="Arial Unicode MS" w:hAnsi="Arial Unicode MS"/>
          <w:color w:val="212063"/>
          <w:shd w:val="clear" w:color="auto" w:fill="FEFEFE"/>
        </w:rPr>
      </w:pPr>
      <w:r w:rsidRPr="00547B7B">
        <w:rPr>
          <w:rFonts w:ascii="Arial Unicode MS" w:hAnsi="Arial Unicode MS"/>
          <w:color w:val="212063"/>
          <w:shd w:val="clear" w:color="auto" w:fill="FEFEFE"/>
        </w:rPr>
        <w:t xml:space="preserve">EU </w:t>
      </w:r>
      <w:proofErr w:type="spellStart"/>
      <w:r w:rsidRPr="00547B7B">
        <w:rPr>
          <w:rFonts w:ascii="Arial Unicode MS" w:hAnsi="Arial Unicode MS"/>
          <w:color w:val="212063"/>
          <w:shd w:val="clear" w:color="auto" w:fill="FEFEFE"/>
        </w:rPr>
        <w:t>procedural</w:t>
      </w:r>
      <w:proofErr w:type="spellEnd"/>
      <w:r w:rsidRPr="00547B7B">
        <w:rPr>
          <w:rFonts w:ascii="Arial Unicode MS" w:hAnsi="Arial Unicode MS"/>
          <w:color w:val="212063"/>
          <w:shd w:val="clear" w:color="auto" w:fill="FEFEFE"/>
        </w:rPr>
        <w:t xml:space="preserve"> law / -- 1st </w:t>
      </w:r>
      <w:proofErr w:type="spellStart"/>
      <w:r w:rsidRPr="00547B7B">
        <w:rPr>
          <w:rFonts w:ascii="Arial Unicode MS" w:hAnsi="Arial Unicode MS"/>
          <w:color w:val="212063"/>
          <w:shd w:val="clear" w:color="auto" w:fill="FEFEFE"/>
        </w:rPr>
        <w:t>ed</w:t>
      </w:r>
      <w:proofErr w:type="spellEnd"/>
      <w:r w:rsidRPr="00547B7B">
        <w:rPr>
          <w:rFonts w:ascii="Arial Unicode MS" w:hAnsi="Arial Unicode MS"/>
          <w:color w:val="212063"/>
          <w:shd w:val="clear" w:color="auto" w:fill="FEFEFE"/>
        </w:rPr>
        <w:t xml:space="preserve">.. -- </w:t>
      </w:r>
      <w:r>
        <w:rPr>
          <w:rFonts w:ascii="Arial Unicode MS" w:hAnsi="Arial Unicode MS"/>
          <w:color w:val="212063"/>
          <w:shd w:val="clear" w:color="auto" w:fill="FEFEFE"/>
        </w:rPr>
        <w:t xml:space="preserve">/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Koen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Lenaerts</w:t>
      </w:r>
      <w:r w:rsidR="008A2A81">
        <w:rPr>
          <w:rFonts w:ascii="Arial Unicode MS" w:hAnsi="Arial Unicode MS"/>
          <w:color w:val="212063"/>
          <w:shd w:val="clear" w:color="auto" w:fill="FEFEFE"/>
        </w:rPr>
        <w:t>,</w:t>
      </w:r>
      <w:r w:rsidR="008A2A81" w:rsidRPr="008A2A81">
        <w:rPr>
          <w:rFonts w:ascii="Arial Unicode MS" w:hAnsi="Arial Unicode MS"/>
          <w:color w:val="212063"/>
          <w:shd w:val="clear" w:color="auto" w:fill="FEFEFE"/>
        </w:rPr>
        <w:t xml:space="preserve"> </w:t>
      </w:r>
      <w:r w:rsidR="008A2A81" w:rsidRPr="00547B7B">
        <w:rPr>
          <w:rFonts w:ascii="Arial Unicode MS" w:hAnsi="Arial Unicode MS"/>
          <w:color w:val="212063"/>
          <w:shd w:val="clear" w:color="auto" w:fill="FEFEFE"/>
        </w:rPr>
        <w:t xml:space="preserve">Ignace </w:t>
      </w:r>
      <w:proofErr w:type="spellStart"/>
      <w:r w:rsidR="008A2A81" w:rsidRPr="00547B7B">
        <w:rPr>
          <w:rFonts w:ascii="Arial Unicode MS" w:hAnsi="Arial Unicode MS"/>
          <w:color w:val="212063"/>
          <w:shd w:val="clear" w:color="auto" w:fill="FEFEFE"/>
        </w:rPr>
        <w:t>Maselis</w:t>
      </w:r>
      <w:proofErr w:type="spellEnd"/>
      <w:r w:rsidR="008A2A81" w:rsidRPr="00547B7B">
        <w:rPr>
          <w:rFonts w:ascii="Arial Unicode MS" w:hAnsi="Arial Unicode MS"/>
          <w:color w:val="212063"/>
          <w:shd w:val="clear" w:color="auto" w:fill="FEFEFE"/>
        </w:rPr>
        <w:t xml:space="preserve">, </w:t>
      </w:r>
      <w:proofErr w:type="spellStart"/>
      <w:r w:rsidR="008A2A81" w:rsidRPr="00547B7B">
        <w:rPr>
          <w:rFonts w:ascii="Arial Unicode MS" w:hAnsi="Arial Unicode MS"/>
          <w:color w:val="212063"/>
          <w:shd w:val="clear" w:color="auto" w:fill="FEFEFE"/>
        </w:rPr>
        <w:t>Kathleen</w:t>
      </w:r>
      <w:proofErr w:type="spellEnd"/>
      <w:r w:rsidR="008A2A81" w:rsidRPr="00547B7B"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 w:rsidR="008A2A81" w:rsidRPr="00547B7B">
        <w:rPr>
          <w:rFonts w:ascii="Arial Unicode MS" w:hAnsi="Arial Unicode MS"/>
          <w:color w:val="212063"/>
          <w:shd w:val="clear" w:color="auto" w:fill="FEFEFE"/>
        </w:rPr>
        <w:t>Gutman</w:t>
      </w:r>
      <w:proofErr w:type="spellEnd"/>
      <w:r w:rsidR="008A2A81" w:rsidRPr="00547B7B">
        <w:rPr>
          <w:rFonts w:ascii="Arial Unicode MS" w:hAnsi="Arial Unicode MS"/>
          <w:color w:val="212063"/>
          <w:shd w:val="clear" w:color="auto" w:fill="FEFEFE"/>
        </w:rPr>
        <w:t xml:space="preserve"> ; </w:t>
      </w:r>
      <w:proofErr w:type="spellStart"/>
      <w:r w:rsidR="008A2A81" w:rsidRPr="00547B7B">
        <w:rPr>
          <w:rFonts w:ascii="Arial Unicode MS" w:hAnsi="Arial Unicode MS"/>
          <w:color w:val="212063"/>
          <w:shd w:val="clear" w:color="auto" w:fill="FEFEFE"/>
        </w:rPr>
        <w:t>edited</w:t>
      </w:r>
      <w:proofErr w:type="spellEnd"/>
      <w:r w:rsidR="008A2A81" w:rsidRPr="00547B7B">
        <w:rPr>
          <w:rFonts w:ascii="Arial Unicode MS" w:hAnsi="Arial Unicode MS"/>
          <w:color w:val="212063"/>
          <w:shd w:val="clear" w:color="auto" w:fill="FEFEFE"/>
        </w:rPr>
        <w:t xml:space="preserve"> by Janek Tomasz Nowak</w:t>
      </w:r>
      <w:r w:rsidR="008A2A81">
        <w:rPr>
          <w:rFonts w:ascii="Arial Unicode MS" w:hAnsi="Arial Unicode MS"/>
          <w:color w:val="212063"/>
          <w:shd w:val="clear" w:color="auto" w:fill="FEFEFE"/>
        </w:rPr>
        <w:t xml:space="preserve">. </w:t>
      </w:r>
      <w:r w:rsidRPr="00547B7B">
        <w:rPr>
          <w:rFonts w:ascii="Arial Unicode MS" w:hAnsi="Arial Unicode MS"/>
          <w:color w:val="212063"/>
          <w:shd w:val="clear" w:color="auto" w:fill="FEFEFE"/>
        </w:rPr>
        <w:t xml:space="preserve">Oxford : Oxford university </w:t>
      </w:r>
      <w:proofErr w:type="spellStart"/>
      <w:r w:rsidRPr="00547B7B">
        <w:rPr>
          <w:rFonts w:ascii="Arial Unicode MS" w:hAnsi="Arial Unicode MS"/>
          <w:color w:val="212063"/>
          <w:shd w:val="clear" w:color="auto" w:fill="FEFEFE"/>
        </w:rPr>
        <w:t>press</w:t>
      </w:r>
      <w:proofErr w:type="spellEnd"/>
      <w:r w:rsidRPr="00547B7B">
        <w:rPr>
          <w:rFonts w:ascii="Arial Unicode MS" w:hAnsi="Arial Unicode MS"/>
          <w:color w:val="212063"/>
          <w:shd w:val="clear" w:color="auto" w:fill="FEFEFE"/>
        </w:rPr>
        <w:t xml:space="preserve">, 2014. -- </w:t>
      </w:r>
      <w:proofErr w:type="spellStart"/>
      <w:r w:rsidRPr="00547B7B">
        <w:rPr>
          <w:rFonts w:ascii="Arial Unicode MS" w:hAnsi="Arial Unicode MS"/>
          <w:color w:val="212063"/>
          <w:shd w:val="clear" w:color="auto" w:fill="FEFEFE"/>
        </w:rPr>
        <w:t>clix</w:t>
      </w:r>
      <w:proofErr w:type="spellEnd"/>
      <w:r w:rsidRPr="00547B7B">
        <w:rPr>
          <w:rFonts w:ascii="Arial Unicode MS" w:hAnsi="Arial Unicode MS"/>
          <w:color w:val="212063"/>
          <w:shd w:val="clear" w:color="auto" w:fill="FEFEFE"/>
        </w:rPr>
        <w:t>, 890 s.</w:t>
      </w:r>
    </w:p>
    <w:p w14:paraId="5F6C117F" w14:textId="3AC762DF" w:rsidR="00547B7B" w:rsidRDefault="00547B7B" w:rsidP="00526C32">
      <w:pPr>
        <w:rPr>
          <w:rFonts w:ascii="Arial Unicode MS" w:hAnsi="Arial Unicode MS"/>
          <w:color w:val="212063"/>
          <w:shd w:val="clear" w:color="auto" w:fill="FEFEFE"/>
        </w:rPr>
      </w:pPr>
      <w:r>
        <w:rPr>
          <w:rFonts w:ascii="Arial Unicode MS" w:hAnsi="Arial Unicode MS"/>
          <w:color w:val="212063"/>
          <w:shd w:val="clear" w:color="auto" w:fill="FEFEFE"/>
        </w:rPr>
        <w:t xml:space="preserve">Oxford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principles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of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European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Union law.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Volume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I,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The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European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Union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legal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order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/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editors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Robert Schütze,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Takis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Tridimas</w:t>
      </w:r>
      <w:proofErr w:type="spellEnd"/>
      <w:r w:rsidR="008A2A81">
        <w:rPr>
          <w:rFonts w:ascii="Arial Unicode MS" w:hAnsi="Arial Unicode MS"/>
          <w:color w:val="212063"/>
          <w:shd w:val="clear" w:color="auto" w:fill="FEFEFE"/>
        </w:rPr>
        <w:t xml:space="preserve">. </w:t>
      </w:r>
      <w:r>
        <w:rPr>
          <w:rFonts w:ascii="Arial Unicode MS" w:hAnsi="Arial Unicode MS"/>
          <w:color w:val="212063"/>
          <w:shd w:val="clear" w:color="auto" w:fill="FEFEFE"/>
        </w:rPr>
        <w:t xml:space="preserve">Oxford : Oxford University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Press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>, 2018</w:t>
      </w:r>
    </w:p>
    <w:p w14:paraId="1527ACCE" w14:textId="0E28E42D" w:rsidR="00547B7B" w:rsidRPr="00E32EC0" w:rsidRDefault="00547B7B" w:rsidP="008A2A81">
      <w:pPr>
        <w:rPr>
          <w:rFonts w:cstheme="minorHAnsi"/>
        </w:rPr>
      </w:pPr>
      <w:r>
        <w:rPr>
          <w:rFonts w:ascii="Arial Unicode MS" w:hAnsi="Arial Unicode MS"/>
          <w:color w:val="212063"/>
          <w:shd w:val="clear" w:color="auto" w:fill="FEFEFE"/>
        </w:rPr>
        <w:t xml:space="preserve">Law and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values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in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the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European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 xml:space="preserve"> Union / Stephen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Weatherill</w:t>
      </w:r>
      <w:proofErr w:type="spellEnd"/>
      <w:r>
        <w:rPr>
          <w:rFonts w:ascii="Arial Unicode MS" w:hAnsi="Arial Unicode MS"/>
          <w:color w:val="212063"/>
        </w:rPr>
        <w:br/>
      </w:r>
      <w:r>
        <w:rPr>
          <w:rFonts w:ascii="Arial Unicode MS" w:hAnsi="Arial Unicode MS"/>
          <w:color w:val="212063"/>
          <w:shd w:val="clear" w:color="auto" w:fill="FEFEFE"/>
        </w:rPr>
        <w:t xml:space="preserve">Oxford : Oxford University </w:t>
      </w:r>
      <w:proofErr w:type="spellStart"/>
      <w:r>
        <w:rPr>
          <w:rFonts w:ascii="Arial Unicode MS" w:hAnsi="Arial Unicode MS"/>
          <w:color w:val="212063"/>
          <w:shd w:val="clear" w:color="auto" w:fill="FEFEFE"/>
        </w:rPr>
        <w:t>Press</w:t>
      </w:r>
      <w:proofErr w:type="spellEnd"/>
      <w:r>
        <w:rPr>
          <w:rFonts w:ascii="Arial Unicode MS" w:hAnsi="Arial Unicode MS"/>
          <w:color w:val="212063"/>
          <w:shd w:val="clear" w:color="auto" w:fill="FEFEFE"/>
        </w:rPr>
        <w:t>, 2016</w:t>
      </w:r>
    </w:p>
    <w:sectPr w:rsidR="00547B7B" w:rsidRPr="00E3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32"/>
    <w:rsid w:val="00082DBD"/>
    <w:rsid w:val="000A3359"/>
    <w:rsid w:val="000D6E37"/>
    <w:rsid w:val="000F3713"/>
    <w:rsid w:val="001D58EE"/>
    <w:rsid w:val="003A0B1D"/>
    <w:rsid w:val="003B6926"/>
    <w:rsid w:val="003C4D88"/>
    <w:rsid w:val="003F7CD3"/>
    <w:rsid w:val="00434D01"/>
    <w:rsid w:val="004C5670"/>
    <w:rsid w:val="0051548D"/>
    <w:rsid w:val="00520E1D"/>
    <w:rsid w:val="00526C32"/>
    <w:rsid w:val="00547B7B"/>
    <w:rsid w:val="00551CB6"/>
    <w:rsid w:val="005A609C"/>
    <w:rsid w:val="0062154F"/>
    <w:rsid w:val="00626904"/>
    <w:rsid w:val="008A2A81"/>
    <w:rsid w:val="009339BC"/>
    <w:rsid w:val="00A71C18"/>
    <w:rsid w:val="00A82201"/>
    <w:rsid w:val="00AD5197"/>
    <w:rsid w:val="00B4793F"/>
    <w:rsid w:val="00BF1EAB"/>
    <w:rsid w:val="00CA34EA"/>
    <w:rsid w:val="00D93207"/>
    <w:rsid w:val="00E32EC0"/>
    <w:rsid w:val="00ED5ADD"/>
    <w:rsid w:val="00EE5794"/>
    <w:rsid w:val="00F07E6F"/>
    <w:rsid w:val="00F178F1"/>
    <w:rsid w:val="00F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2FBC"/>
  <w15:chartTrackingRefBased/>
  <w15:docId w15:val="{53DBBE97-0368-4264-8A70-EC699732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07"/>
  </w:style>
  <w:style w:type="paragraph" w:styleId="Heading1">
    <w:name w:val="heading 1"/>
    <w:basedOn w:val="Normal"/>
    <w:next w:val="Normal"/>
    <w:link w:val="Heading1Char"/>
    <w:uiPriority w:val="9"/>
    <w:qFormat/>
    <w:rsid w:val="0052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C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Redrupová</dc:creator>
  <cp:keywords/>
  <dc:description/>
  <cp:lastModifiedBy>Zuzana Vikarská</cp:lastModifiedBy>
  <cp:revision>31</cp:revision>
  <dcterms:created xsi:type="dcterms:W3CDTF">2022-06-28T14:57:00Z</dcterms:created>
  <dcterms:modified xsi:type="dcterms:W3CDTF">2022-12-14T10:11:00Z</dcterms:modified>
</cp:coreProperties>
</file>