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BCC" w14:textId="00EC0338" w:rsidR="00C15417" w:rsidRPr="0072140B" w:rsidRDefault="0072140B" w:rsidP="0072140B">
      <w:pPr>
        <w:jc w:val="center"/>
        <w:rPr>
          <w:rFonts w:cstheme="minorHAnsi"/>
          <w:b/>
          <w:bCs/>
          <w:i/>
          <w:iCs/>
          <w:sz w:val="20"/>
          <w:szCs w:val="20"/>
          <w:highlight w:val="cyan"/>
        </w:rPr>
      </w:pPr>
      <w:r w:rsidRPr="0072140B">
        <w:rPr>
          <w:rFonts w:cstheme="minorHAnsi"/>
          <w:b/>
          <w:bCs/>
          <w:i/>
          <w:iCs/>
          <w:sz w:val="24"/>
          <w:szCs w:val="24"/>
        </w:rPr>
        <w:t>Westmoreland Mining Holdings LLC v. Government of Canada</w:t>
      </w:r>
    </w:p>
    <w:p w14:paraId="48D8F38C" w14:textId="77777777" w:rsidR="0072140B" w:rsidRDefault="0072140B" w:rsidP="009D5820">
      <w:pPr>
        <w:spacing w:line="276" w:lineRule="auto"/>
        <w:rPr>
          <w:rFonts w:cstheme="minorHAnsi"/>
          <w:b/>
          <w:bCs/>
          <w:sz w:val="20"/>
          <w:szCs w:val="20"/>
          <w:highlight w:val="cyan"/>
        </w:rPr>
      </w:pPr>
    </w:p>
    <w:p w14:paraId="5BE5B2C9" w14:textId="79443602" w:rsidR="003B16B7" w:rsidRPr="009D5820" w:rsidRDefault="003B16B7" w:rsidP="009D5820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9D5820">
        <w:rPr>
          <w:rFonts w:cstheme="minorHAnsi"/>
          <w:b/>
          <w:bCs/>
          <w:sz w:val="20"/>
          <w:szCs w:val="20"/>
          <w:highlight w:val="cyan"/>
        </w:rPr>
        <w:t>Overview:</w:t>
      </w:r>
    </w:p>
    <w:p w14:paraId="23980FED" w14:textId="77777777" w:rsidR="003B16B7" w:rsidRPr="009D5820" w:rsidRDefault="003B16B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Westmoreland Mining Holdings LLC v. Government of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Canada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is a case filed under Chapter 11 of the North American Free Trade Agreement (NAFTA) by a US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-based company which owned and operated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coal mines in Alberta. </w:t>
      </w:r>
    </w:p>
    <w:p w14:paraId="4DAED3F3" w14:textId="3994D1D9" w:rsidR="003B16B7" w:rsidRPr="009D5820" w:rsidRDefault="003B16B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alleged that the Province of Alberta’s 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Climate Leadership Plan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(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CLP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), </w:t>
      </w:r>
      <w:r w:rsidRPr="009D5820">
        <w:rPr>
          <w:rFonts w:eastAsia="Times New Roman" w:cstheme="minorHAnsi"/>
          <w:kern w:val="0"/>
          <w:sz w:val="18"/>
          <w:szCs w:val="18"/>
          <w:u w:val="single"/>
          <w:lang w:eastAsia="en-CA"/>
          <w14:ligatures w14:val="none"/>
        </w:rPr>
        <w:t>which sought to phase out all electricity generated from coal by 2030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reduced the lifespan of 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’s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mines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and 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treated it unfairly and in a discriminatory manner. </w:t>
      </w:r>
      <w:hyperlink r:id="rId7" w:tgtFrame="_blank" w:history="1"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The </w:t>
        </w:r>
        <w:r w:rsid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>Claimant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 sought damages of at least $470 million CAD</w:t>
        </w:r>
      </w:hyperlink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757A5A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"/>
      </w:r>
    </w:p>
    <w:p w14:paraId="0B69ADD9" w14:textId="08763A65" w:rsidR="003B16B7" w:rsidRPr="009D5820" w:rsidRDefault="003B16B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dismissed the claim in its entirety on January 31, 2022, finding that 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it lacked jurisdiction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over the dispute. 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held that 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did not own or control the investment at the time of the alleged breach, as required by Articles 1116 and 1117 of NAFTA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hyperlink r:id="rId8" w:tgtFrame="_blank" w:history="1">
        <w:r w:rsidR="00757A5A">
          <w:rPr>
            <w:rStyle w:val="FootnoteReference"/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footnoteReference w:id="2"/>
        </w:r>
      </w:hyperlink>
      <w:r w:rsidR="00757A5A">
        <w:rPr>
          <w:rFonts w:eastAsia="Times New Roman" w:cstheme="minorHAnsi"/>
          <w:kern w:val="0"/>
          <w:sz w:val="18"/>
          <w:szCs w:val="18"/>
          <w:vertAlign w:val="superscript"/>
          <w:lang w:eastAsia="en-CA"/>
          <w14:ligatures w14:val="none"/>
        </w:rPr>
        <w:t>,</w:t>
      </w:r>
      <w:r w:rsidR="00757A5A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3"/>
      </w:r>
    </w:p>
    <w:p w14:paraId="7F15FE83" w14:textId="1A818A8A" w:rsidR="003B16B7" w:rsidRPr="009D5820" w:rsidRDefault="00C15417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b/>
          <w:bCs/>
          <w:kern w:val="0"/>
          <w:sz w:val="20"/>
          <w:szCs w:val="20"/>
          <w:highlight w:val="green"/>
          <w:lang w:eastAsia="en-CA"/>
          <w14:ligatures w14:val="none"/>
        </w:rPr>
        <w:t>Background:</w:t>
      </w:r>
    </w:p>
    <w:p w14:paraId="77E51B62" w14:textId="76BE5089" w:rsidR="009D5820" w:rsidRPr="009D5820" w:rsidRDefault="00C1541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hyperlink r:id="rId9" w:tgtFrame="_blank" w:history="1"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>This case is connected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 to </w:t>
        </w:r>
        <w:r w:rsidRPr="009D5820">
          <w:rPr>
            <w:rFonts w:eastAsia="Times New Roman" w:cstheme="minorHAnsi"/>
            <w:b/>
            <w:bCs/>
            <w:kern w:val="0"/>
            <w:sz w:val="18"/>
            <w:szCs w:val="18"/>
            <w:lang w:eastAsia="en-CA"/>
            <w14:ligatures w14:val="none"/>
          </w:rPr>
          <w:t>Canada’s energy plan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, which aims to achieve </w:t>
        </w:r>
        <w:r w:rsidRPr="009D5820">
          <w:rPr>
            <w:rFonts w:eastAsia="Times New Roman" w:cstheme="minorHAnsi"/>
            <w:b/>
            <w:bCs/>
            <w:kern w:val="0"/>
            <w:sz w:val="18"/>
            <w:szCs w:val="18"/>
            <w:lang w:eastAsia="en-CA"/>
            <w14:ligatures w14:val="none"/>
          </w:rPr>
          <w:t xml:space="preserve">net-zero emissions by 2050 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>and transition to a low-carbon economy</w:t>
        </w:r>
      </w:hyperlink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72140B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4"/>
      </w:r>
      <w:r w:rsidR="0072140B"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1398EB67" w14:textId="385C558F" w:rsidR="00C15417" w:rsidRPr="009D5820" w:rsidRDefault="00C1541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hyperlink r:id="rId10" w:tgtFrame="_blank" w:history="1"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One of the 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main 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components 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of Canada’s plan 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is the clean electricity investment tax credit, which applies to non-emitting electricity generation systems, 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such as wind, solar, hydro, tidal and nuclear</w:t>
        </w:r>
      </w:hyperlink>
      <w:r w:rsidRPr="009D5820">
        <w:rPr>
          <w:rFonts w:eastAsia="Times New Roman" w:cstheme="minorHAnsi"/>
          <w:kern w:val="0"/>
          <w:sz w:val="18"/>
          <w:szCs w:val="18"/>
          <w:u w:val="single"/>
          <w:lang w:eastAsia="en-CA"/>
          <w14:ligatures w14:val="none"/>
        </w:rPr>
        <w:t>.</w:t>
      </w:r>
      <w:r w:rsidR="0072140B" w:rsidRPr="0072140B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5"/>
      </w:r>
      <w:r w:rsidR="0072140B" w:rsidRPr="0072140B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  <w:hyperlink r:id="rId11" w:tgtFrame="_blank" w:history="1"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Another component is the carbon pollution pricing system, which 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imposes a price on greenhouse gas emissions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 from various sources, including 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electricity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 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generation</w:t>
        </w:r>
      </w:hyperlink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72140B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6"/>
      </w:r>
      <w:r w:rsidR="0072140B"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22CDE63E" w14:textId="77777777" w:rsidR="009D5820" w:rsidRDefault="00C1541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In 2015, 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Alberta announced its CLP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which sought to phase out all electricity generated from coal </w:t>
      </w:r>
      <w:r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 xml:space="preserve">by </w:t>
      </w:r>
      <w:r w:rsidR="009D5820" w:rsidRPr="009D5820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2030</w:t>
      </w:r>
      <w:r w:rsidR="009D5820"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and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replace it with renewable energy sources and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/or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natural gas. </w:t>
      </w:r>
    </w:p>
    <w:p w14:paraId="7E0ACC1A" w14:textId="637CBE5A" w:rsidR="00C15417" w:rsidRPr="009D5820" w:rsidRDefault="00C1541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hyperlink r:id="rId12" w:tgtFrame="_blank" w:history="1"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The CLP also provided</w:t>
        </w:r>
        <w:r w:rsidRPr="009D5820">
          <w:rPr>
            <w:rFonts w:eastAsia="Times New Roman" w:cstheme="minorHAnsi"/>
            <w:b/>
            <w:bCs/>
            <w:kern w:val="0"/>
            <w:sz w:val="18"/>
            <w:szCs w:val="18"/>
            <w:u w:val="single"/>
            <w:lang w:eastAsia="en-CA"/>
            <w14:ligatures w14:val="none"/>
          </w:rPr>
          <w:t xml:space="preserve"> transition payments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 xml:space="preserve"> to three coal-fired generating unit owners</w:t>
        </w:r>
        <w:r w:rsidRPr="009D5820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 impacted by the policy, but </w:t>
        </w:r>
        <w:r w:rsidRP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 xml:space="preserve">not to coal mine owners such as the </w:t>
        </w:r>
        <w:r w:rsidR="009D5820">
          <w:rPr>
            <w:rFonts w:eastAsia="Times New Roman" w:cstheme="minorHAnsi"/>
            <w:kern w:val="0"/>
            <w:sz w:val="18"/>
            <w:szCs w:val="18"/>
            <w:u w:val="single"/>
            <w:lang w:eastAsia="en-CA"/>
            <w14:ligatures w14:val="none"/>
          </w:rPr>
          <w:t>Claimant</w:t>
        </w:r>
      </w:hyperlink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72140B"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6C8B783A" w14:textId="5545F313" w:rsidR="00C15417" w:rsidRPr="009D5820" w:rsidRDefault="00C15417" w:rsidP="009D5820">
      <w:pPr>
        <w:spacing w:line="276" w:lineRule="auto"/>
        <w:ind w:firstLine="72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The </w:t>
      </w:r>
      <w:r w:rsid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argued that this policy </w:t>
      </w:r>
      <w:r w:rsidRPr="009D5820">
        <w:rPr>
          <w:rFonts w:eastAsia="Times New Roman" w:cstheme="minorHAnsi"/>
          <w:kern w:val="0"/>
          <w:sz w:val="18"/>
          <w:szCs w:val="18"/>
          <w:u w:val="single"/>
          <w:lang w:eastAsia="en-CA"/>
          <w14:ligatures w14:val="none"/>
        </w:rPr>
        <w:t>reduced the value and lifespan of its mines and breached its rights under NAFTA</w:t>
      </w:r>
      <w:r w:rsidRPr="009D5820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72140B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7"/>
      </w:r>
    </w:p>
    <w:p w14:paraId="51FE87CA" w14:textId="2438ABB1" w:rsidR="003B16B7" w:rsidRPr="009D5820" w:rsidRDefault="009D5820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>Claimant</w:t>
      </w:r>
      <w:r w:rsidR="003B16B7" w:rsidRPr="009D5820"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>’s Submissions:</w:t>
      </w:r>
    </w:p>
    <w:p w14:paraId="630354FC" w14:textId="54828262" w:rsidR="003B16B7" w:rsidRPr="009D5820" w:rsidRDefault="003B16B7" w:rsidP="009D5820">
      <w:p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According to the </w:t>
      </w:r>
      <w:r w:rsidRPr="009D5820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Notice of Arbitration 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and</w:t>
      </w:r>
      <w:r w:rsidRPr="009D5820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Statement of Claim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, 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’s main submissions were:</w:t>
      </w:r>
      <w:r w:rsidR="00155AF3">
        <w:rPr>
          <w:rStyle w:val="FootnoteReference"/>
          <w:rFonts w:eastAsia="Times New Roman" w:cstheme="minorHAnsi"/>
          <w:kern w:val="0"/>
          <w:sz w:val="20"/>
          <w:szCs w:val="20"/>
          <w:lang w:eastAsia="en-CA"/>
          <w14:ligatures w14:val="none"/>
        </w:rPr>
        <w:footnoteReference w:id="8"/>
      </w:r>
    </w:p>
    <w:p w14:paraId="270C5BD2" w14:textId="717211A0" w:rsidR="003B16B7" w:rsidRPr="009D5820" w:rsidRDefault="003B16B7" w:rsidP="009D5820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CLP violated NAFTA Article 1102 by discriminating against 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and its investment in favour of domestic coal producers and electricity generators.</w:t>
      </w:r>
    </w:p>
    <w:p w14:paraId="484B83E1" w14:textId="682BC806" w:rsidR="003B16B7" w:rsidRPr="009D5820" w:rsidRDefault="003B16B7" w:rsidP="009D5820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CLP violated NAFTA Article 1105 by failing to accord fair and equitable treatment and full protection and security to 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and its investment.</w:t>
      </w:r>
    </w:p>
    <w:p w14:paraId="207C4622" w14:textId="54513767" w:rsidR="003B16B7" w:rsidRPr="009D5820" w:rsidRDefault="003B16B7" w:rsidP="009D5820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CLP violated NAFTA Article 1110 by expropriating 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’s investment without compensation.</w:t>
      </w:r>
    </w:p>
    <w:p w14:paraId="12B7FE7F" w14:textId="77777777" w:rsidR="00155AF3" w:rsidRDefault="00155AF3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</w:pPr>
    </w:p>
    <w:p w14:paraId="35FF5A7E" w14:textId="77777777" w:rsidR="00155AF3" w:rsidRDefault="00155AF3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</w:pPr>
    </w:p>
    <w:p w14:paraId="3C26542A" w14:textId="77777777" w:rsidR="00155AF3" w:rsidRDefault="00155AF3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</w:pPr>
    </w:p>
    <w:p w14:paraId="5A9B4A63" w14:textId="203F6C31" w:rsidR="003B16B7" w:rsidRDefault="00C15417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>Canada’s</w:t>
      </w:r>
      <w:r w:rsidR="003B16B7" w:rsidRPr="009D5820"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 xml:space="preserve"> </w:t>
      </w:r>
      <w:r w:rsidRPr="009D5820"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>S</w:t>
      </w:r>
      <w:r w:rsidR="003B16B7" w:rsidRPr="009D5820">
        <w:rPr>
          <w:rFonts w:eastAsia="Times New Roman" w:cstheme="minorHAnsi"/>
          <w:b/>
          <w:bCs/>
          <w:kern w:val="0"/>
          <w:sz w:val="20"/>
          <w:szCs w:val="20"/>
          <w:highlight w:val="yellow"/>
          <w:lang w:eastAsia="en-CA"/>
          <w14:ligatures w14:val="none"/>
        </w:rPr>
        <w:t>ubmissions:</w:t>
      </w:r>
    </w:p>
    <w:p w14:paraId="2495CAD2" w14:textId="2577AA39" w:rsidR="00155AF3" w:rsidRPr="009D5820" w:rsidRDefault="00155AF3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155AF3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According to the</w:t>
      </w:r>
      <w:r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Statement of Defence</w:t>
      </w:r>
      <w:r w:rsidRPr="00155AF3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, </w:t>
      </w:r>
      <w:r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Canada’s main submissions were:</w:t>
      </w:r>
      <w:r>
        <w:rPr>
          <w:rStyle w:val="FootnoteReference"/>
          <w:rFonts w:eastAsia="Times New Roman" w:cstheme="minorHAnsi"/>
          <w:kern w:val="0"/>
          <w:sz w:val="20"/>
          <w:szCs w:val="20"/>
          <w:lang w:eastAsia="en-CA"/>
          <w14:ligatures w14:val="none"/>
        </w:rPr>
        <w:footnoteReference w:id="9"/>
      </w:r>
    </w:p>
    <w:p w14:paraId="4A06477C" w14:textId="4EB105A3" w:rsidR="00C15417" w:rsidRPr="009D5820" w:rsidRDefault="003B16B7" w:rsidP="009D5820">
      <w:pPr>
        <w:pStyle w:val="ListParagraph"/>
        <w:numPr>
          <w:ilvl w:val="0"/>
          <w:numId w:val="6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Tribunal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lacked jurisdiction over the dispute because 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did not own or control the investment at the time of the alleged breach, as required by Articles 1116 and 1117 of NAFTA.</w:t>
      </w:r>
    </w:p>
    <w:p w14:paraId="27D9EA62" w14:textId="78B2CB06" w:rsidR="00C15417" w:rsidRPr="009D5820" w:rsidRDefault="003B16B7" w:rsidP="009D5820">
      <w:pPr>
        <w:pStyle w:val="ListParagraph"/>
        <w:numPr>
          <w:ilvl w:val="0"/>
          <w:numId w:val="6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The </w:t>
      </w:r>
      <w:r w:rsid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Claimant</w:t>
      </w: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’s allegations were unfounded and unsupported by evidence or legal authority.</w:t>
      </w:r>
    </w:p>
    <w:p w14:paraId="4E154515" w14:textId="158883AD" w:rsidR="00F01CEF" w:rsidRPr="009D5820" w:rsidRDefault="003B16B7" w:rsidP="009D5820">
      <w:pPr>
        <w:pStyle w:val="ListParagraph"/>
        <w:numPr>
          <w:ilvl w:val="0"/>
          <w:numId w:val="6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The CLP was a legitimate and non-discriminatory measure taken by Alberta to address climate change and protect public health and the environment.</w:t>
      </w:r>
    </w:p>
    <w:p w14:paraId="22951496" w14:textId="640B61A7" w:rsidR="00F01CEF" w:rsidRPr="009D5820" w:rsidRDefault="00F01CEF" w:rsidP="003B16B7">
      <w:pPr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</w:p>
    <w:p w14:paraId="42E2A24E" w14:textId="459B903D" w:rsidR="00F01CEF" w:rsidRPr="009D5820" w:rsidRDefault="00F01CEF" w:rsidP="009D5820">
      <w:pPr>
        <w:spacing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EE17EF">
        <w:rPr>
          <w:rFonts w:eastAsia="Times New Roman" w:cstheme="minorHAnsi"/>
          <w:b/>
          <w:bCs/>
          <w:kern w:val="0"/>
          <w:sz w:val="20"/>
          <w:szCs w:val="20"/>
          <w:highlight w:val="lightGray"/>
          <w:lang w:eastAsia="en-CA"/>
          <w14:ligatures w14:val="none"/>
        </w:rPr>
        <w:t>The CLP</w:t>
      </w:r>
      <w:r w:rsidR="00EE17EF" w:rsidRPr="00EE17EF">
        <w:rPr>
          <w:rFonts w:eastAsia="Times New Roman" w:cstheme="minorHAnsi"/>
          <w:b/>
          <w:bCs/>
          <w:kern w:val="0"/>
          <w:sz w:val="20"/>
          <w:szCs w:val="20"/>
          <w:highlight w:val="lightGray"/>
          <w:lang w:eastAsia="en-CA"/>
          <w14:ligatures w14:val="none"/>
        </w:rPr>
        <w:t xml:space="preserve"> / “Phase-Out” Strategy Components:</w:t>
      </w:r>
    </w:p>
    <w:p w14:paraId="10F5B645" w14:textId="65EB878E" w:rsidR="003B16B7" w:rsidRPr="009D5820" w:rsidRDefault="003B16B7" w:rsidP="009D5820">
      <w:p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Alberta’s CLP was announced in November 2015 and consisted of </w:t>
      </w:r>
      <w:r w:rsidRPr="00022D8C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four main policy pillars</w:t>
      </w:r>
      <w:r w:rsidR="00F01CEF"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:</w:t>
      </w:r>
      <w:r w:rsidR="002339E6">
        <w:rPr>
          <w:rStyle w:val="FootnoteReference"/>
          <w:rFonts w:eastAsia="Times New Roman" w:cstheme="minorHAnsi"/>
          <w:kern w:val="0"/>
          <w:sz w:val="20"/>
          <w:szCs w:val="20"/>
          <w:lang w:eastAsia="en-CA"/>
          <w14:ligatures w14:val="none"/>
        </w:rPr>
        <w:footnoteReference w:id="10"/>
      </w:r>
      <w:r w:rsidR="00022D8C"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</w:t>
      </w:r>
    </w:p>
    <w:p w14:paraId="46B32FAC" w14:textId="77777777" w:rsidR="00F01CEF" w:rsidRPr="009D5820" w:rsidRDefault="003B16B7" w:rsidP="009D5820">
      <w:pPr>
        <w:pStyle w:val="ListParagraph"/>
        <w:numPr>
          <w:ilvl w:val="0"/>
          <w:numId w:val="7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Implementing a new price on greenhouse gas </w:t>
      </w:r>
      <w:proofErr w:type="gramStart"/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emissions;</w:t>
      </w:r>
      <w:proofErr w:type="gramEnd"/>
    </w:p>
    <w:p w14:paraId="63EB334B" w14:textId="77777777" w:rsidR="00F01CEF" w:rsidRPr="009D5820" w:rsidRDefault="003B16B7" w:rsidP="009D5820">
      <w:pPr>
        <w:pStyle w:val="ListParagraph"/>
        <w:numPr>
          <w:ilvl w:val="0"/>
          <w:numId w:val="7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Phasing out coal-generated electricity by 2030 and generating 30% of electricity from renewables by </w:t>
      </w:r>
      <w:proofErr w:type="gramStart"/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2030;</w:t>
      </w:r>
      <w:proofErr w:type="gramEnd"/>
    </w:p>
    <w:p w14:paraId="7D468D1E" w14:textId="77777777" w:rsidR="00F01CEF" w:rsidRPr="009D5820" w:rsidRDefault="003B16B7" w:rsidP="009D5820">
      <w:pPr>
        <w:pStyle w:val="ListParagraph"/>
        <w:numPr>
          <w:ilvl w:val="0"/>
          <w:numId w:val="7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Introducing a cap on oil sands emissions at 100 megatons per year</w:t>
      </w:r>
    </w:p>
    <w:p w14:paraId="2F9E055D" w14:textId="71652207" w:rsidR="00F01CEF" w:rsidRDefault="003B16B7" w:rsidP="009D5820">
      <w:pPr>
        <w:pStyle w:val="ListParagraph"/>
        <w:numPr>
          <w:ilvl w:val="0"/>
          <w:numId w:val="7"/>
        </w:numPr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9D5820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Reducing methane emissions from upstream oil and gas production by 45% by 2025 (from 2014 levels).</w:t>
      </w:r>
    </w:p>
    <w:p w14:paraId="04DA6396" w14:textId="77777777" w:rsidR="00022D8C" w:rsidRPr="009D5820" w:rsidRDefault="00022D8C" w:rsidP="00022D8C">
      <w:pPr>
        <w:pStyle w:val="ListParagraph"/>
        <w:spacing w:line="276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</w:p>
    <w:p w14:paraId="3DEF1A19" w14:textId="74FCA181" w:rsidR="00F01CEF" w:rsidRPr="00022D8C" w:rsidRDefault="003B16B7" w:rsidP="009D5820">
      <w:pPr>
        <w:spacing w:line="276" w:lineRule="auto"/>
        <w:ind w:firstLine="36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hyperlink r:id="rId13" w:tgtFrame="_blank" w:history="1">
        <w:r w:rsidRPr="00022D8C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>The CLP was designed to diversify the province’s economy, create jobs, and reduce greenhouse gas emissions</w:t>
        </w:r>
      </w:hyperlink>
      <w:r w:rsidR="00F01CEF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, while also providing Albertan businesses and citizens various incentives and programs to make the impending transition more manageable.</w:t>
      </w:r>
      <w:r w:rsidR="002339E6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1"/>
      </w:r>
    </w:p>
    <w:p w14:paraId="7EBEDDC1" w14:textId="45303845" w:rsidR="003B16B7" w:rsidRPr="00022D8C" w:rsidRDefault="00F01CEF" w:rsidP="009D5820">
      <w:pPr>
        <w:spacing w:line="276" w:lineRule="auto"/>
        <w:ind w:firstLine="360"/>
        <w:rPr>
          <w:rFonts w:eastAsia="Times New Roman" w:cstheme="minorHAnsi"/>
          <w:kern w:val="0"/>
          <w:sz w:val="16"/>
          <w:szCs w:val="16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These include programs like the </w:t>
      </w:r>
      <w:r w:rsidR="003B16B7"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Climate Leadership Adjustment Rebate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, which provide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s 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financial assistance to </w:t>
      </w:r>
      <w:r w:rsidR="002339E6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low</w:t>
      </w:r>
      <w:r w:rsidR="002339E6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- and middle-income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households to help them adjust to the carbon lev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y, and the </w:t>
      </w:r>
      <w:r w:rsidR="003B16B7"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Renewable Electricity Program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, which supports the development of renewable energy projects through a competitive bidding process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2339E6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2"/>
      </w:r>
    </w:p>
    <w:p w14:paraId="000D30DF" w14:textId="2358AF18" w:rsidR="003B16B7" w:rsidRPr="00022D8C" w:rsidRDefault="00F01CEF" w:rsidP="009D5820">
      <w:pPr>
        <w:spacing w:line="276" w:lineRule="auto"/>
        <w:ind w:firstLine="360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Further, there are other grants and funds like the </w:t>
      </w:r>
      <w:r w:rsidR="003B16B7"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Oil Sands Innovation Challenge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which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supports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innovative technologies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focused on the reduction of</w:t>
      </w:r>
      <w:r w:rsidR="003B16B7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greenhouse gas emissions from oil sands operations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or t</w:t>
      </w:r>
      <w:hyperlink r:id="rId14" w:tgtFrame="_blank" w:history="1">
        <w:r w:rsidRPr="00022D8C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 xml:space="preserve">he </w:t>
        </w:r>
        <w:r w:rsidR="003B16B7" w:rsidRPr="00022D8C">
          <w:rPr>
            <w:rFonts w:eastAsia="Times New Roman" w:cstheme="minorHAnsi"/>
            <w:b/>
            <w:bCs/>
            <w:kern w:val="0"/>
            <w:sz w:val="18"/>
            <w:szCs w:val="18"/>
            <w:lang w:eastAsia="en-CA"/>
            <w14:ligatures w14:val="none"/>
          </w:rPr>
          <w:t>Methane Emission Reduction Program</w:t>
        </w:r>
        <w:r w:rsidR="003B16B7" w:rsidRPr="00022D8C">
          <w:rPr>
            <w:rFonts w:eastAsia="Times New Roman" w:cstheme="minorHAnsi"/>
            <w:kern w:val="0"/>
            <w:sz w:val="18"/>
            <w:szCs w:val="18"/>
            <w:lang w:eastAsia="en-CA"/>
            <w14:ligatures w14:val="none"/>
          </w:rPr>
          <w:t>, which provides grants to oil and gas producers to adopt emission-reducing technologies and practices</w:t>
        </w:r>
      </w:hyperlink>
      <w:r w:rsidR="002339E6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2339E6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3"/>
      </w:r>
      <w:r w:rsidR="002339E6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0930F39D" w14:textId="366CB044" w:rsidR="00F01CEF" w:rsidRPr="009D5820" w:rsidRDefault="009D5820" w:rsidP="003B16B7">
      <w:pPr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highlight w:val="darkGray"/>
          <w:lang w:eastAsia="en-CA"/>
          <w14:ligatures w14:val="none"/>
        </w:rPr>
        <w:t>Tribunal</w:t>
      </w:r>
      <w:r w:rsidR="00F01CEF" w:rsidRPr="009D5820">
        <w:rPr>
          <w:rFonts w:eastAsia="Times New Roman" w:cstheme="minorHAnsi"/>
          <w:b/>
          <w:bCs/>
          <w:kern w:val="0"/>
          <w:sz w:val="20"/>
          <w:szCs w:val="20"/>
          <w:highlight w:val="darkGray"/>
          <w:lang w:eastAsia="en-CA"/>
          <w14:ligatures w14:val="none"/>
        </w:rPr>
        <w:t>’s Findings:</w:t>
      </w:r>
    </w:p>
    <w:p w14:paraId="6EF8B8FC" w14:textId="3AAAEDCA" w:rsidR="009D5820" w:rsidRPr="00022D8C" w:rsidRDefault="009D5820" w:rsidP="00022D8C">
      <w:pPr>
        <w:spacing w:line="276" w:lineRule="auto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decided that it </w:t>
      </w:r>
      <w:r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lacked jurisdiction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over the dispute because the </w:t>
      </w:r>
      <w:r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b/>
          <w:bCs/>
          <w:kern w:val="0"/>
          <w:sz w:val="18"/>
          <w:szCs w:val="18"/>
          <w:lang w:eastAsia="en-CA"/>
          <w14:ligatures w14:val="none"/>
        </w:rPr>
        <w:t xml:space="preserve"> did not own or control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the investment at the time of the alleged breach, as required by Articles 1116 and 1117 of NAFTA.</w:t>
      </w:r>
      <w:r w:rsidR="002339E6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4"/>
      </w:r>
      <w:r w:rsidR="002339E6">
        <w:rPr>
          <w:rFonts w:eastAsia="Times New Roman" w:cstheme="minorHAnsi"/>
          <w:kern w:val="0"/>
          <w:sz w:val="18"/>
          <w:szCs w:val="18"/>
          <w:vertAlign w:val="superscript"/>
          <w:lang w:eastAsia="en-CA"/>
          <w14:ligatures w14:val="none"/>
        </w:rPr>
        <w:t>,</w:t>
      </w:r>
      <w:r w:rsidR="002339E6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5"/>
      </w:r>
    </w:p>
    <w:p w14:paraId="6E5633C8" w14:textId="6E574D20" w:rsidR="00022D8C" w:rsidRPr="00022D8C" w:rsidRDefault="009D5820" w:rsidP="009D5820">
      <w:pPr>
        <w:spacing w:line="276" w:lineRule="auto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lastRenderedPageBreak/>
        <w:t xml:space="preserve">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found that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acquired its interest (the coal mines) on December 31, 2013, but that the alleged breach occurred earlier, on November 22, 2015, when Alberta announced its CLP.</w:t>
      </w:r>
      <w:r w:rsidR="00D22061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6"/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7764762A" w14:textId="23343D52" w:rsidR="00022D8C" w:rsidRPr="00022D8C" w:rsidRDefault="009D5820" w:rsidP="009D5820">
      <w:pPr>
        <w:spacing w:line="276" w:lineRule="auto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rejected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's argument that the breach was a continu</w:t>
      </w:r>
      <w:r w:rsidR="00022D8C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ation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that extended beyond the date of acquisition.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also found that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did not control the investment at the time of the alleged breach, as it had delegated its management and operational authority to a </w:t>
      </w:r>
      <w:proofErr w:type="gramStart"/>
      <w:r w:rsidR="00D22061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wholly</w:t>
      </w:r>
      <w:r w:rsidR="00D22061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-</w:t>
      </w:r>
      <w:r w:rsidR="00D22061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owned</w:t>
      </w:r>
      <w:proofErr w:type="gramEnd"/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subsidiary, Westmoreland Coal Company (WCC), which was also a US company.</w:t>
      </w:r>
      <w:r w:rsidR="00D22061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7"/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</w:p>
    <w:p w14:paraId="38307435" w14:textId="610C8B2F" w:rsidR="00022D8C" w:rsidRPr="00022D8C" w:rsidRDefault="009D5820" w:rsidP="009D5820">
      <w:pPr>
        <w:spacing w:line="276" w:lineRule="auto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noted that WCC had initially filed a NAFTA claim against Canada in </w:t>
      </w:r>
      <w:proofErr w:type="gramStart"/>
      <w:r w:rsidR="00D22061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2018</w:t>
      </w:r>
      <w:r w:rsidR="00D22061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</w:t>
      </w:r>
      <w:r w:rsidR="00D22061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but</w:t>
      </w:r>
      <w:proofErr w:type="gramEnd"/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withdrew it in 2019 and assigned its rights to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.</w:t>
      </w:r>
      <w:r w:rsidR="00D22061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8"/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</w:t>
      </w:r>
      <w:r w:rsidR="00EE17EF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ab/>
      </w:r>
    </w:p>
    <w:p w14:paraId="752C2FB0" w14:textId="2303656B" w:rsidR="009D5820" w:rsidRPr="00022D8C" w:rsidRDefault="009D5820" w:rsidP="009D5820">
      <w:pPr>
        <w:spacing w:line="276" w:lineRule="auto"/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</w:pP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held that this assignment was ineffective and did not confer jurisdiction on 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Tribunal</w:t>
      </w:r>
      <w:r w:rsidR="00022D8C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, concluding that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the 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Claimant</w:t>
      </w:r>
      <w:r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 xml:space="preserve"> failed to meet the temporal and substantive requirements for bringing a claim under NAFTA </w:t>
      </w:r>
      <w:r w:rsidR="00022D8C" w:rsidRPr="00022D8C">
        <w:rPr>
          <w:rFonts w:eastAsia="Times New Roman" w:cstheme="minorHAnsi"/>
          <w:kern w:val="0"/>
          <w:sz w:val="18"/>
          <w:szCs w:val="18"/>
          <w:lang w:eastAsia="en-CA"/>
          <w14:ligatures w14:val="none"/>
        </w:rPr>
        <w:t>– dismissing the claim in its entirety.</w:t>
      </w:r>
      <w:r w:rsidR="00D22061">
        <w:rPr>
          <w:rStyle w:val="FootnoteReference"/>
          <w:rFonts w:eastAsia="Times New Roman" w:cstheme="minorHAnsi"/>
          <w:kern w:val="0"/>
          <w:sz w:val="18"/>
          <w:szCs w:val="18"/>
          <w:lang w:eastAsia="en-CA"/>
          <w14:ligatures w14:val="none"/>
        </w:rPr>
        <w:footnoteReference w:id="19"/>
      </w:r>
    </w:p>
    <w:p w14:paraId="798BC5F6" w14:textId="77777777" w:rsidR="003B16B7" w:rsidRPr="009D5820" w:rsidRDefault="003B16B7" w:rsidP="003B16B7">
      <w:pPr>
        <w:rPr>
          <w:rFonts w:cstheme="minorHAnsi"/>
          <w:sz w:val="20"/>
          <w:szCs w:val="20"/>
        </w:rPr>
      </w:pPr>
    </w:p>
    <w:sectPr w:rsidR="003B16B7" w:rsidRPr="009D5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6616" w14:textId="77777777" w:rsidR="00D45DF9" w:rsidRDefault="00D45DF9" w:rsidP="00F01CEF">
      <w:pPr>
        <w:spacing w:after="0" w:line="240" w:lineRule="auto"/>
      </w:pPr>
      <w:r>
        <w:separator/>
      </w:r>
    </w:p>
  </w:endnote>
  <w:endnote w:type="continuationSeparator" w:id="0">
    <w:p w14:paraId="00D7114D" w14:textId="77777777" w:rsidR="00D45DF9" w:rsidRDefault="00D45DF9" w:rsidP="00F0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41EE" w14:textId="77777777" w:rsidR="00D45DF9" w:rsidRDefault="00D45DF9" w:rsidP="00F01CEF">
      <w:pPr>
        <w:spacing w:after="0" w:line="240" w:lineRule="auto"/>
      </w:pPr>
      <w:r>
        <w:separator/>
      </w:r>
    </w:p>
  </w:footnote>
  <w:footnote w:type="continuationSeparator" w:id="0">
    <w:p w14:paraId="6D034825" w14:textId="77777777" w:rsidR="00D45DF9" w:rsidRDefault="00D45DF9" w:rsidP="00F01CEF">
      <w:pPr>
        <w:spacing w:after="0" w:line="240" w:lineRule="auto"/>
      </w:pPr>
      <w:r>
        <w:continuationSeparator/>
      </w:r>
    </w:p>
  </w:footnote>
  <w:footnote w:id="1">
    <w:p w14:paraId="1E99FF6B" w14:textId="42E785FA" w:rsidR="00757A5A" w:rsidRPr="0072140B" w:rsidRDefault="00757A5A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1" w:history="1">
        <w:r w:rsidRPr="0072140B">
          <w:rPr>
            <w:rStyle w:val="Hyperlink"/>
            <w:i/>
            <w:iCs/>
            <w:color w:val="auto"/>
            <w:sz w:val="16"/>
            <w:szCs w:val="16"/>
            <w:u w:val="none"/>
          </w:rPr>
          <w:t>Westmoreland Mining Holdings LLC v. Government of Canada</w:t>
        </w:r>
        <w:r w:rsidRPr="0072140B">
          <w:rPr>
            <w:rStyle w:val="Hyperlink"/>
            <w:sz w:val="16"/>
            <w:szCs w:val="16"/>
            <w:u w:val="none"/>
          </w:rPr>
          <w:t xml:space="preserve"> (international.gc.ca)</w:t>
        </w:r>
      </w:hyperlink>
    </w:p>
  </w:footnote>
  <w:footnote w:id="2">
    <w:p w14:paraId="0D76E5E8" w14:textId="4267A57A" w:rsidR="00757A5A" w:rsidRPr="0072140B" w:rsidRDefault="00757A5A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2" w:history="1">
        <w:r w:rsidRPr="0072140B">
          <w:rPr>
            <w:rStyle w:val="Hyperlink"/>
            <w:sz w:val="16"/>
            <w:szCs w:val="16"/>
            <w:u w:val="none"/>
          </w:rPr>
          <w:t>https://www.italaw.com/cases/7002</w:t>
        </w:r>
      </w:hyperlink>
      <w:r w:rsidRPr="0072140B">
        <w:rPr>
          <w:sz w:val="16"/>
          <w:szCs w:val="16"/>
        </w:rPr>
        <w:t xml:space="preserve"> </w:t>
      </w:r>
    </w:p>
  </w:footnote>
  <w:footnote w:id="3">
    <w:p w14:paraId="51804AD0" w14:textId="6630F7C7" w:rsidR="00757A5A" w:rsidRPr="0072140B" w:rsidRDefault="00757A5A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3" w:history="1">
        <w:r w:rsidRPr="0072140B">
          <w:rPr>
            <w:rStyle w:val="Hyperlink"/>
            <w:sz w:val="16"/>
            <w:szCs w:val="16"/>
            <w:u w:val="none"/>
          </w:rPr>
          <w:t>https://www.iisd.org/itn/en/2022/07/04/nafta-tribunal-in-westmoreland-v-canada-declines-jurisdiction-finding-that-the-claimant-did-not-own-or-control-the-investment-at-the-time-of-the-alleged-breach/</w:t>
        </w:r>
      </w:hyperlink>
      <w:r w:rsidRPr="0072140B">
        <w:rPr>
          <w:sz w:val="16"/>
          <w:szCs w:val="16"/>
        </w:rPr>
        <w:t xml:space="preserve"> </w:t>
      </w:r>
    </w:p>
  </w:footnote>
  <w:footnote w:id="4">
    <w:p w14:paraId="7E248FE0" w14:textId="57CD2E17" w:rsidR="0072140B" w:rsidRPr="0072140B" w:rsidRDefault="0072140B" w:rsidP="0072140B">
      <w:pPr>
        <w:spacing w:after="0" w:line="240" w:lineRule="auto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Canada’s Energy Plan: </w:t>
      </w:r>
      <w:hyperlink r:id="rId4" w:history="1">
        <w:r w:rsidRPr="0072140B">
          <w:rPr>
            <w:rStyle w:val="Hyperlink"/>
            <w:sz w:val="16"/>
            <w:szCs w:val="16"/>
            <w:u w:val="none"/>
          </w:rPr>
          <w:t>https://www.canada.ca/en/services/environment/weather/climatechange/climate-plan.html</w:t>
        </w:r>
      </w:hyperlink>
      <w:r w:rsidRPr="0072140B">
        <w:rPr>
          <w:sz w:val="16"/>
          <w:szCs w:val="16"/>
        </w:rPr>
        <w:t xml:space="preserve"> </w:t>
      </w:r>
    </w:p>
  </w:footnote>
  <w:footnote w:id="5">
    <w:p w14:paraId="1BC40ABF" w14:textId="4C477A2F" w:rsidR="0072140B" w:rsidRPr="0072140B" w:rsidRDefault="0072140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72140B">
          <w:rPr>
            <w:rStyle w:val="Hyperlink"/>
            <w:sz w:val="16"/>
            <w:szCs w:val="16"/>
            <w:u w:val="none"/>
          </w:rPr>
          <w:t>https://www.cbc.ca/news/politics/green-electricity-budget-2023-freeland-1.6793933</w:t>
        </w:r>
      </w:hyperlink>
      <w:r w:rsidRPr="0072140B">
        <w:rPr>
          <w:sz w:val="16"/>
          <w:szCs w:val="16"/>
        </w:rPr>
        <w:t xml:space="preserve"> </w:t>
      </w:r>
    </w:p>
  </w:footnote>
  <w:footnote w:id="6">
    <w:p w14:paraId="494B2830" w14:textId="29FEF8D6" w:rsidR="0072140B" w:rsidRDefault="007214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140B">
        <w:rPr>
          <w:sz w:val="16"/>
          <w:szCs w:val="16"/>
        </w:rPr>
        <w:t xml:space="preserve">Canada’s Energy Plan: </w:t>
      </w:r>
      <w:hyperlink r:id="rId6" w:history="1">
        <w:r w:rsidRPr="0072140B">
          <w:rPr>
            <w:rStyle w:val="Hyperlink"/>
            <w:sz w:val="16"/>
            <w:szCs w:val="16"/>
            <w:u w:val="none"/>
          </w:rPr>
          <w:t>https://www.canada.ca/en/services/environment/weather/climatechange/climate-plan.html</w:t>
        </w:r>
      </w:hyperlink>
    </w:p>
  </w:footnote>
  <w:footnote w:id="7">
    <w:p w14:paraId="778B15E9" w14:textId="3E8CA233" w:rsidR="0072140B" w:rsidRDefault="007214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140B">
        <w:rPr>
          <w:i/>
          <w:iCs/>
          <w:sz w:val="16"/>
          <w:szCs w:val="16"/>
        </w:rPr>
        <w:t>Westmoreland Mining Holdings LLC v. Government of Canada</w:t>
      </w:r>
    </w:p>
  </w:footnote>
  <w:footnote w:id="8">
    <w:p w14:paraId="2DD0CC82" w14:textId="0890A09D" w:rsidR="00155AF3" w:rsidRDefault="00155AF3" w:rsidP="0072140B">
      <w:pPr>
        <w:pStyle w:val="FootnoteText"/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r w:rsidR="00D22061" w:rsidRPr="0072140B">
        <w:rPr>
          <w:i/>
          <w:iCs/>
          <w:sz w:val="16"/>
          <w:szCs w:val="16"/>
        </w:rPr>
        <w:t>Westmoreland Mining Holdings LLC v. Government of Canada</w:t>
      </w:r>
      <w:r w:rsidR="00D22061" w:rsidRPr="0072140B">
        <w:rPr>
          <w:sz w:val="16"/>
          <w:szCs w:val="16"/>
        </w:rPr>
        <w:t xml:space="preserve">, </w:t>
      </w:r>
      <w:r w:rsidR="00D22061" w:rsidRPr="0072140B">
        <w:rPr>
          <w:sz w:val="16"/>
          <w:szCs w:val="16"/>
        </w:rPr>
        <w:t>Notice of Arbitration and Statement of Claim</w:t>
      </w:r>
      <w:r w:rsidR="00D22061" w:rsidRPr="0072140B">
        <w:rPr>
          <w:sz w:val="16"/>
          <w:szCs w:val="16"/>
        </w:rPr>
        <w:t xml:space="preserve"> (20</w:t>
      </w:r>
      <w:r w:rsidR="00D22061" w:rsidRPr="0072140B">
        <w:rPr>
          <w:sz w:val="16"/>
          <w:szCs w:val="16"/>
        </w:rPr>
        <w:t>19</w:t>
      </w:r>
      <w:r w:rsidR="00D22061" w:rsidRPr="0072140B">
        <w:rPr>
          <w:sz w:val="16"/>
          <w:szCs w:val="16"/>
        </w:rPr>
        <w:t>)</w:t>
      </w:r>
    </w:p>
  </w:footnote>
  <w:footnote w:id="9">
    <w:p w14:paraId="7ACA13D0" w14:textId="3CFC9D16" w:rsidR="00155AF3" w:rsidRPr="0072140B" w:rsidRDefault="00155AF3" w:rsidP="0072140B">
      <w:pPr>
        <w:spacing w:after="0" w:line="240" w:lineRule="auto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r w:rsidR="00D22061" w:rsidRPr="0072140B">
        <w:rPr>
          <w:i/>
          <w:iCs/>
          <w:sz w:val="16"/>
          <w:szCs w:val="16"/>
        </w:rPr>
        <w:t>Westmoreland Mining Holdings LLC v. Government of Canada</w:t>
      </w:r>
      <w:r w:rsidR="00D22061" w:rsidRPr="0072140B">
        <w:rPr>
          <w:sz w:val="16"/>
          <w:szCs w:val="16"/>
        </w:rPr>
        <w:t>, Canada’s Statement of Defense (2020)</w:t>
      </w:r>
    </w:p>
  </w:footnote>
  <w:footnote w:id="10">
    <w:p w14:paraId="17BC4049" w14:textId="252CDD5C" w:rsidR="002339E6" w:rsidRPr="0072140B" w:rsidRDefault="002339E6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7" w:history="1">
        <w:r w:rsidRPr="0072140B">
          <w:rPr>
            <w:rStyle w:val="Hyperlink"/>
            <w:sz w:val="16"/>
            <w:szCs w:val="16"/>
            <w:u w:val="none"/>
          </w:rPr>
          <w:t>https://www.iea.org/policies/8583-alberta-climate-leadership-plan</w:t>
        </w:r>
      </w:hyperlink>
      <w:r w:rsidRPr="0072140B">
        <w:rPr>
          <w:sz w:val="16"/>
          <w:szCs w:val="16"/>
        </w:rPr>
        <w:t xml:space="preserve"> </w:t>
      </w:r>
    </w:p>
  </w:footnote>
  <w:footnote w:id="11">
    <w:p w14:paraId="1ACCC2EF" w14:textId="034A62FF" w:rsidR="002339E6" w:rsidRPr="0072140B" w:rsidRDefault="002339E6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8" w:history="1">
        <w:r w:rsidRPr="0072140B">
          <w:rPr>
            <w:rStyle w:val="Hyperlink"/>
            <w:sz w:val="16"/>
            <w:szCs w:val="16"/>
            <w:u w:val="none"/>
          </w:rPr>
          <w:t>https://open.alberta.ca/publications/alberta-s-climate-leadership-plan-progressive-climate-policy</w:t>
        </w:r>
      </w:hyperlink>
      <w:r w:rsidRPr="0072140B">
        <w:rPr>
          <w:sz w:val="16"/>
          <w:szCs w:val="16"/>
        </w:rPr>
        <w:t xml:space="preserve"> </w:t>
      </w:r>
    </w:p>
  </w:footnote>
  <w:footnote w:id="12">
    <w:p w14:paraId="078F5F5B" w14:textId="420A3128" w:rsidR="002339E6" w:rsidRPr="0072140B" w:rsidRDefault="002339E6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9" w:history="1">
        <w:r w:rsidRPr="0072140B">
          <w:rPr>
            <w:rStyle w:val="Hyperlink"/>
            <w:sz w:val="16"/>
            <w:szCs w:val="16"/>
            <w:u w:val="none"/>
          </w:rPr>
          <w:t>https://open.alberta.ca/publications/climate-leadership-plan-program-and-policy-highlights</w:t>
        </w:r>
      </w:hyperlink>
      <w:r w:rsidRPr="0072140B">
        <w:rPr>
          <w:sz w:val="16"/>
          <w:szCs w:val="16"/>
        </w:rPr>
        <w:t xml:space="preserve"> </w:t>
      </w:r>
    </w:p>
  </w:footnote>
  <w:footnote w:id="13">
    <w:p w14:paraId="1C41E51E" w14:textId="3C046FFC" w:rsidR="002339E6" w:rsidRPr="0072140B" w:rsidRDefault="002339E6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10" w:history="1">
        <w:r w:rsidRPr="0072140B">
          <w:rPr>
            <w:rStyle w:val="Hyperlink"/>
            <w:sz w:val="16"/>
            <w:szCs w:val="16"/>
            <w:u w:val="none"/>
          </w:rPr>
          <w:t>https://open.alberta.ca/dataset/da6433da-69b7-4d15-9123-01f76004f574/resource/b42b1f43-7b9d-483d-aa2a-6f9b4290d81e/download/clp_implementation_plan-jun07.pdf</w:t>
        </w:r>
      </w:hyperlink>
      <w:r w:rsidRPr="0072140B">
        <w:rPr>
          <w:sz w:val="16"/>
          <w:szCs w:val="16"/>
        </w:rPr>
        <w:t xml:space="preserve"> </w:t>
      </w:r>
    </w:p>
  </w:footnote>
  <w:footnote w:id="14">
    <w:p w14:paraId="0D345CE7" w14:textId="3A1800D4" w:rsidR="002339E6" w:rsidRPr="0072140B" w:rsidRDefault="002339E6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11" w:history="1">
        <w:r w:rsidRPr="0072140B">
          <w:rPr>
            <w:rStyle w:val="Hyperlink"/>
            <w:sz w:val="16"/>
            <w:szCs w:val="16"/>
            <w:u w:val="none"/>
          </w:rPr>
          <w:t>https://academic.oup.com/icsidreview/article/38/1/140/6749027</w:t>
        </w:r>
      </w:hyperlink>
      <w:r w:rsidRPr="0072140B">
        <w:rPr>
          <w:sz w:val="16"/>
          <w:szCs w:val="16"/>
        </w:rPr>
        <w:t xml:space="preserve"> </w:t>
      </w:r>
    </w:p>
  </w:footnote>
  <w:footnote w:id="15">
    <w:p w14:paraId="08033140" w14:textId="08955330" w:rsidR="002339E6" w:rsidRPr="0072140B" w:rsidRDefault="002339E6" w:rsidP="0072140B">
      <w:pPr>
        <w:spacing w:after="0" w:line="240" w:lineRule="auto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r w:rsidR="00D22061" w:rsidRPr="0072140B">
        <w:rPr>
          <w:i/>
          <w:iCs/>
          <w:sz w:val="16"/>
          <w:szCs w:val="16"/>
        </w:rPr>
        <w:t>Westmoreland Mining Holdings LLC v. Government of Canad</w:t>
      </w:r>
      <w:r w:rsidR="00D22061" w:rsidRPr="0072140B">
        <w:rPr>
          <w:i/>
          <w:iCs/>
          <w:sz w:val="16"/>
          <w:szCs w:val="16"/>
        </w:rPr>
        <w:t>a</w:t>
      </w:r>
      <w:r w:rsidR="00D22061" w:rsidRPr="0072140B">
        <w:rPr>
          <w:sz w:val="16"/>
          <w:szCs w:val="16"/>
        </w:rPr>
        <w:t xml:space="preserve"> </w:t>
      </w:r>
    </w:p>
  </w:footnote>
  <w:footnote w:id="16">
    <w:p w14:paraId="2636BC70" w14:textId="4F5CD44A" w:rsidR="00D22061" w:rsidRPr="0072140B" w:rsidRDefault="00D22061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12" w:history="1">
        <w:r w:rsidRPr="0072140B">
          <w:rPr>
            <w:rStyle w:val="Hyperlink"/>
            <w:sz w:val="16"/>
            <w:szCs w:val="16"/>
            <w:u w:val="none"/>
          </w:rPr>
          <w:t>https://academic.oup.com/icsidreview/article/38/1/140/6749027</w:t>
        </w:r>
      </w:hyperlink>
      <w:r w:rsidRPr="0072140B">
        <w:rPr>
          <w:sz w:val="16"/>
          <w:szCs w:val="16"/>
        </w:rPr>
        <w:t xml:space="preserve"> </w:t>
      </w:r>
    </w:p>
  </w:footnote>
  <w:footnote w:id="17">
    <w:p w14:paraId="262139E6" w14:textId="013D2D66" w:rsidR="00D22061" w:rsidRPr="0072140B" w:rsidRDefault="00D22061" w:rsidP="0072140B">
      <w:pPr>
        <w:pStyle w:val="FootnoteText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hyperlink r:id="rId13" w:history="1">
        <w:r w:rsidRPr="0072140B">
          <w:rPr>
            <w:rStyle w:val="Hyperlink"/>
            <w:sz w:val="16"/>
            <w:szCs w:val="16"/>
            <w:u w:val="none"/>
          </w:rPr>
          <w:t>https://academic.oup.com/icsidreview/article/38/1/140/6749027</w:t>
        </w:r>
      </w:hyperlink>
      <w:r w:rsidRPr="0072140B">
        <w:rPr>
          <w:sz w:val="16"/>
          <w:szCs w:val="16"/>
        </w:rPr>
        <w:t xml:space="preserve"> </w:t>
      </w:r>
    </w:p>
  </w:footnote>
  <w:footnote w:id="18">
    <w:p w14:paraId="39448123" w14:textId="2D7F622D" w:rsidR="00D22061" w:rsidRPr="0072140B" w:rsidRDefault="00D22061" w:rsidP="0072140B">
      <w:pPr>
        <w:spacing w:after="0" w:line="240" w:lineRule="auto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r w:rsidRPr="0072140B">
        <w:rPr>
          <w:i/>
          <w:iCs/>
          <w:sz w:val="16"/>
          <w:szCs w:val="16"/>
        </w:rPr>
        <w:t>Westmoreland Mining Holdings LLC v. Government of Canada</w:t>
      </w:r>
      <w:r w:rsidRPr="0072140B">
        <w:rPr>
          <w:sz w:val="16"/>
          <w:szCs w:val="16"/>
        </w:rPr>
        <w:t xml:space="preserve"> </w:t>
      </w:r>
    </w:p>
  </w:footnote>
  <w:footnote w:id="19">
    <w:p w14:paraId="4AC6B825" w14:textId="74648D2E" w:rsidR="00D22061" w:rsidRPr="0072140B" w:rsidRDefault="00D22061" w:rsidP="0072140B">
      <w:pPr>
        <w:spacing w:after="0" w:line="240" w:lineRule="auto"/>
        <w:rPr>
          <w:sz w:val="16"/>
          <w:szCs w:val="16"/>
        </w:rPr>
      </w:pPr>
      <w:r w:rsidRPr="0072140B">
        <w:rPr>
          <w:rStyle w:val="FootnoteReference"/>
          <w:sz w:val="16"/>
          <w:szCs w:val="16"/>
        </w:rPr>
        <w:footnoteRef/>
      </w:r>
      <w:r w:rsidRPr="0072140B">
        <w:rPr>
          <w:sz w:val="16"/>
          <w:szCs w:val="16"/>
        </w:rPr>
        <w:t xml:space="preserve"> </w:t>
      </w:r>
      <w:r w:rsidRPr="0072140B">
        <w:rPr>
          <w:i/>
          <w:iCs/>
          <w:sz w:val="16"/>
          <w:szCs w:val="16"/>
        </w:rPr>
        <w:t>Westmoreland Mining Holdings LLC v. Government of Canada</w:t>
      </w:r>
      <w:r w:rsidRPr="0072140B">
        <w:rPr>
          <w:sz w:val="16"/>
          <w:szCs w:val="16"/>
        </w:rPr>
        <w:t xml:space="preserve"> </w:t>
      </w:r>
    </w:p>
    <w:p w14:paraId="545678A9" w14:textId="44934E84" w:rsidR="00D22061" w:rsidRDefault="00D2206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439"/>
    <w:multiLevelType w:val="multilevel"/>
    <w:tmpl w:val="695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F5F43"/>
    <w:multiLevelType w:val="hybridMultilevel"/>
    <w:tmpl w:val="6D6AFD72"/>
    <w:lvl w:ilvl="0" w:tplc="A92C93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ECE"/>
    <w:multiLevelType w:val="hybridMultilevel"/>
    <w:tmpl w:val="BC628A7A"/>
    <w:lvl w:ilvl="0" w:tplc="6FFA2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40D37"/>
    <w:multiLevelType w:val="multilevel"/>
    <w:tmpl w:val="5364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7746F"/>
    <w:multiLevelType w:val="multilevel"/>
    <w:tmpl w:val="2F8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B3565"/>
    <w:multiLevelType w:val="multilevel"/>
    <w:tmpl w:val="39E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4F95"/>
    <w:multiLevelType w:val="hybridMultilevel"/>
    <w:tmpl w:val="1F6EFFDA"/>
    <w:lvl w:ilvl="0" w:tplc="CA18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34668">
    <w:abstractNumId w:val="5"/>
  </w:num>
  <w:num w:numId="2" w16cid:durableId="1595822854">
    <w:abstractNumId w:val="4"/>
  </w:num>
  <w:num w:numId="3" w16cid:durableId="1610619084">
    <w:abstractNumId w:val="3"/>
  </w:num>
  <w:num w:numId="4" w16cid:durableId="186412008">
    <w:abstractNumId w:val="0"/>
  </w:num>
  <w:num w:numId="5" w16cid:durableId="1437557458">
    <w:abstractNumId w:val="6"/>
  </w:num>
  <w:num w:numId="6" w16cid:durableId="1426725166">
    <w:abstractNumId w:val="2"/>
  </w:num>
  <w:num w:numId="7" w16cid:durableId="68736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B7"/>
    <w:rsid w:val="00022D8C"/>
    <w:rsid w:val="00155AF3"/>
    <w:rsid w:val="002339E6"/>
    <w:rsid w:val="003B16B7"/>
    <w:rsid w:val="0072140B"/>
    <w:rsid w:val="00757A5A"/>
    <w:rsid w:val="009D5820"/>
    <w:rsid w:val="00C15417"/>
    <w:rsid w:val="00D22061"/>
    <w:rsid w:val="00D45DF9"/>
    <w:rsid w:val="00EE17EF"/>
    <w:rsid w:val="00F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FF02"/>
  <w15:chartTrackingRefBased/>
  <w15:docId w15:val="{5F3C8516-68C6-403C-8F38-2F501D5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B16B7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B16B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B16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1C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C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C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7A5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22061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aw.com/cases/7002" TargetMode="External"/><Relationship Id="rId13" Type="http://schemas.openxmlformats.org/officeDocument/2006/relationships/hyperlink" Target="https://open.alberta.ca/publications/alberta-s-climate-leadership-plan-progressive-climate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national.gc.ca/trade-agreements-accords-commerciaux/topics-domaines/disp-diff/westmoreland.aspx?lang=eng" TargetMode="External"/><Relationship Id="rId12" Type="http://schemas.openxmlformats.org/officeDocument/2006/relationships/hyperlink" Target="https://www.thecanadianencyclopedia.ca/en/article/national-energy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services/environment/weather/climatechange/climate-pla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bc.ca/news/politics/green-electricity-budget-2023-freeland-1.6793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services/environment/weather/climatechange/climate-plan.html" TargetMode="External"/><Relationship Id="rId14" Type="http://schemas.openxmlformats.org/officeDocument/2006/relationships/hyperlink" Target="https://open.alberta.ca/publications/alberta-s-climate-leadership-plan-progressive-climate-policy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alberta.ca/publications/alberta-s-climate-leadership-plan-progressive-climate-policy" TargetMode="External"/><Relationship Id="rId13" Type="http://schemas.openxmlformats.org/officeDocument/2006/relationships/hyperlink" Target="https://academic.oup.com/icsidreview/article/38/1/140/6749027" TargetMode="External"/><Relationship Id="rId3" Type="http://schemas.openxmlformats.org/officeDocument/2006/relationships/hyperlink" Target="https://www.iisd.org/itn/en/2022/07/04/nafta-tribunal-in-westmoreland-v-canada-declines-jurisdiction-finding-that-the-claimant-did-not-own-or-control-the-investment-at-the-time-of-the-alleged-breach/" TargetMode="External"/><Relationship Id="rId7" Type="http://schemas.openxmlformats.org/officeDocument/2006/relationships/hyperlink" Target="https://www.iea.org/policies/8583-alberta-climate-leadership-plan" TargetMode="External"/><Relationship Id="rId12" Type="http://schemas.openxmlformats.org/officeDocument/2006/relationships/hyperlink" Target="https://academic.oup.com/icsidreview/article/38/1/140/6749027" TargetMode="External"/><Relationship Id="rId2" Type="http://schemas.openxmlformats.org/officeDocument/2006/relationships/hyperlink" Target="https://www.italaw.com/cases/7002" TargetMode="External"/><Relationship Id="rId1" Type="http://schemas.openxmlformats.org/officeDocument/2006/relationships/hyperlink" Target="https://www.international.gc.ca/trade-agreements-accords-commerciaux/topics-domaines/disp-diff/westmoreland.aspx?lang=eng" TargetMode="External"/><Relationship Id="rId6" Type="http://schemas.openxmlformats.org/officeDocument/2006/relationships/hyperlink" Target="https://www.canada.ca/en/services/environment/weather/climatechange/climate-plan.html" TargetMode="External"/><Relationship Id="rId11" Type="http://schemas.openxmlformats.org/officeDocument/2006/relationships/hyperlink" Target="https://academic.oup.com/icsidreview/article/38/1/140/6749027" TargetMode="External"/><Relationship Id="rId5" Type="http://schemas.openxmlformats.org/officeDocument/2006/relationships/hyperlink" Target="https://www.cbc.ca/news/politics/green-electricity-budget-2023-freeland-1.6793933" TargetMode="External"/><Relationship Id="rId10" Type="http://schemas.openxmlformats.org/officeDocument/2006/relationships/hyperlink" Target="https://open.alberta.ca/dataset/da6433da-69b7-4d15-9123-01f76004f574/resource/b42b1f43-7b9d-483d-aa2a-6f9b4290d81e/download/clp_implementation_plan-jun07.pdf" TargetMode="External"/><Relationship Id="rId4" Type="http://schemas.openxmlformats.org/officeDocument/2006/relationships/hyperlink" Target="https://www.canada.ca/en/services/environment/weather/climatechange/climate-plan.html" TargetMode="External"/><Relationship Id="rId9" Type="http://schemas.openxmlformats.org/officeDocument/2006/relationships/hyperlink" Target="https://open.alberta.ca/publications/climate-leadership-plan-program-and-policy-highl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Macdonald</dc:creator>
  <cp:keywords/>
  <dc:description/>
  <cp:lastModifiedBy>Sean Macdonald</cp:lastModifiedBy>
  <cp:revision>1</cp:revision>
  <dcterms:created xsi:type="dcterms:W3CDTF">2023-06-13T23:11:00Z</dcterms:created>
  <dcterms:modified xsi:type="dcterms:W3CDTF">2023-06-14T02:15:00Z</dcterms:modified>
</cp:coreProperties>
</file>