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1AC" w:rsidRPr="00F61256" w:rsidRDefault="00540C98" w:rsidP="00955DDD">
      <w:pPr>
        <w:pBdr>
          <w:top w:val="single" w:sz="4" w:space="1" w:color="auto"/>
          <w:left w:val="single" w:sz="4" w:space="4" w:color="auto"/>
          <w:bottom w:val="single" w:sz="4" w:space="1" w:color="auto"/>
          <w:right w:val="single" w:sz="4" w:space="4" w:color="auto"/>
        </w:pBdr>
        <w:spacing w:before="120"/>
        <w:jc w:val="center"/>
        <w:rPr>
          <w:rFonts w:cs="Aharoni"/>
          <w:b/>
          <w:sz w:val="28"/>
          <w:szCs w:val="28"/>
        </w:rPr>
      </w:pPr>
      <w:r w:rsidRPr="00F61256">
        <w:rPr>
          <w:rFonts w:cs="Aharoni"/>
          <w:b/>
          <w:sz w:val="28"/>
          <w:szCs w:val="28"/>
        </w:rPr>
        <w:t>„Manuál“ pro sestavování ústavních stížností</w:t>
      </w:r>
    </w:p>
    <w:p w:rsidR="00540C98" w:rsidRPr="00967189" w:rsidRDefault="0056036B" w:rsidP="00955DDD">
      <w:pPr>
        <w:pBdr>
          <w:top w:val="single" w:sz="4" w:space="1" w:color="auto"/>
          <w:left w:val="single" w:sz="4" w:space="4" w:color="auto"/>
          <w:bottom w:val="single" w:sz="4" w:space="1" w:color="auto"/>
          <w:right w:val="single" w:sz="4" w:space="4" w:color="auto"/>
        </w:pBdr>
        <w:spacing w:before="120"/>
        <w:jc w:val="center"/>
        <w:rPr>
          <w:rFonts w:cs="Aharoni"/>
          <w:sz w:val="24"/>
          <w:szCs w:val="24"/>
        </w:rPr>
      </w:pPr>
      <w:r w:rsidRPr="00F61256">
        <w:rPr>
          <w:rFonts w:cs="Aharoni"/>
          <w:sz w:val="24"/>
          <w:szCs w:val="24"/>
        </w:rPr>
        <w:t>jarní semestr</w:t>
      </w:r>
      <w:r w:rsidR="00540C98" w:rsidRPr="00F61256">
        <w:rPr>
          <w:rFonts w:cs="Aharoni"/>
          <w:sz w:val="24"/>
          <w:szCs w:val="24"/>
        </w:rPr>
        <w:t xml:space="preserve"> 20</w:t>
      </w:r>
      <w:r w:rsidR="00AA0129">
        <w:rPr>
          <w:rFonts w:cs="Aharoni"/>
          <w:sz w:val="24"/>
          <w:szCs w:val="24"/>
        </w:rPr>
        <w:t>2</w:t>
      </w:r>
      <w:r w:rsidR="007A7D94">
        <w:rPr>
          <w:rFonts w:cs="Aharoni"/>
          <w:sz w:val="24"/>
          <w:szCs w:val="24"/>
        </w:rPr>
        <w:t>1</w:t>
      </w:r>
    </w:p>
    <w:p w:rsidR="00540C98" w:rsidRPr="00967189" w:rsidRDefault="00540C98" w:rsidP="0004609C">
      <w:pPr>
        <w:spacing w:before="120"/>
        <w:jc w:val="center"/>
        <w:rPr>
          <w:rFonts w:cs="Aharoni"/>
          <w:sz w:val="24"/>
          <w:szCs w:val="24"/>
        </w:rPr>
      </w:pPr>
    </w:p>
    <w:p w:rsidR="0004609C" w:rsidRPr="0004609C" w:rsidRDefault="0004609C" w:rsidP="0004609C">
      <w:pPr>
        <w:numPr>
          <w:ilvl w:val="0"/>
          <w:numId w:val="29"/>
        </w:numPr>
        <w:spacing w:before="120"/>
        <w:jc w:val="both"/>
        <w:rPr>
          <w:rFonts w:cs="Aharoni"/>
          <w:b/>
          <w:sz w:val="24"/>
          <w:szCs w:val="24"/>
        </w:rPr>
      </w:pPr>
      <w:r w:rsidRPr="0004609C">
        <w:rPr>
          <w:rFonts w:cs="Aharoni"/>
          <w:b/>
          <w:sz w:val="24"/>
          <w:szCs w:val="24"/>
        </w:rPr>
        <w:t xml:space="preserve">Pětice  pojmových znaků ústavní stížnosti </w:t>
      </w:r>
    </w:p>
    <w:p w:rsidR="00540C98" w:rsidRPr="003F64D8" w:rsidRDefault="003F64D8" w:rsidP="003F64D8">
      <w:pPr>
        <w:spacing w:before="120"/>
        <w:jc w:val="both"/>
        <w:rPr>
          <w:b/>
          <w:i/>
          <w:sz w:val="24"/>
          <w:szCs w:val="24"/>
        </w:rPr>
      </w:pPr>
      <w:r w:rsidRPr="003F64D8">
        <w:rPr>
          <w:b/>
          <w:i/>
          <w:sz w:val="24"/>
          <w:szCs w:val="24"/>
        </w:rPr>
        <w:t xml:space="preserve">I. </w:t>
      </w:r>
      <w:r w:rsidR="003655DD" w:rsidRPr="003F64D8">
        <w:rPr>
          <w:b/>
          <w:i/>
          <w:sz w:val="24"/>
          <w:szCs w:val="24"/>
        </w:rPr>
        <w:t>Kdo podává (vymezení účastníků řízení)</w:t>
      </w:r>
      <w:r w:rsidR="0092796F" w:rsidRPr="003F64D8">
        <w:rPr>
          <w:b/>
          <w:i/>
          <w:sz w:val="24"/>
          <w:szCs w:val="24"/>
        </w:rPr>
        <w:t>:</w:t>
      </w:r>
    </w:p>
    <w:p w:rsidR="0092796F" w:rsidRPr="007432CF" w:rsidRDefault="0092796F" w:rsidP="003F64D8">
      <w:pPr>
        <w:pStyle w:val="Odstavecseseznamem"/>
        <w:numPr>
          <w:ilvl w:val="3"/>
          <w:numId w:val="36"/>
        </w:numPr>
        <w:spacing w:before="120"/>
        <w:ind w:left="0" w:firstLine="0"/>
        <w:jc w:val="both"/>
        <w:rPr>
          <w:rFonts w:ascii="Times New Roman" w:hAnsi="Times New Roman"/>
          <w:sz w:val="24"/>
          <w:szCs w:val="24"/>
        </w:rPr>
      </w:pPr>
      <w:r w:rsidRPr="007432CF">
        <w:rPr>
          <w:rFonts w:ascii="Times New Roman" w:hAnsi="Times New Roman"/>
          <w:sz w:val="24"/>
          <w:szCs w:val="24"/>
        </w:rPr>
        <w:t>musí být bezprostřední dotčenost na ústavních právech (nelze actio popularis)</w:t>
      </w:r>
      <w:r w:rsidR="00CF0C34" w:rsidRPr="007432CF">
        <w:rPr>
          <w:rFonts w:ascii="Times New Roman" w:hAnsi="Times New Roman"/>
          <w:sz w:val="24"/>
          <w:szCs w:val="24"/>
        </w:rPr>
        <w:t>; určitou výjimkou je případ tvrzeného porušení práva na účinné vyšetřování smrti blízké osoby (viz např. nález I. ÚS 2189/17)</w:t>
      </w:r>
    </w:p>
    <w:p w:rsidR="0092796F" w:rsidRPr="007432CF" w:rsidRDefault="0092796F" w:rsidP="003F64D8">
      <w:pPr>
        <w:pStyle w:val="Odstavecseseznamem"/>
        <w:numPr>
          <w:ilvl w:val="3"/>
          <w:numId w:val="36"/>
        </w:numPr>
        <w:spacing w:before="120"/>
        <w:ind w:left="0" w:firstLine="0"/>
        <w:jc w:val="both"/>
        <w:rPr>
          <w:rFonts w:ascii="Times New Roman" w:hAnsi="Times New Roman"/>
          <w:sz w:val="24"/>
          <w:szCs w:val="24"/>
        </w:rPr>
      </w:pPr>
      <w:r w:rsidRPr="007432CF">
        <w:rPr>
          <w:rFonts w:ascii="Times New Roman" w:hAnsi="Times New Roman"/>
          <w:sz w:val="24"/>
          <w:szCs w:val="24"/>
        </w:rPr>
        <w:t xml:space="preserve">nemůže </w:t>
      </w:r>
      <w:r w:rsidR="00CF0C34" w:rsidRPr="007432CF">
        <w:rPr>
          <w:rFonts w:ascii="Times New Roman" w:hAnsi="Times New Roman"/>
          <w:sz w:val="24"/>
          <w:szCs w:val="24"/>
        </w:rPr>
        <w:t xml:space="preserve">podat </w:t>
      </w:r>
      <w:r w:rsidRPr="007432CF">
        <w:rPr>
          <w:rFonts w:ascii="Times New Roman" w:hAnsi="Times New Roman"/>
          <w:sz w:val="24"/>
          <w:szCs w:val="24"/>
        </w:rPr>
        <w:t>orgán veřejné moci</w:t>
      </w:r>
      <w:r w:rsidR="00CF0C34" w:rsidRPr="007432CF">
        <w:rPr>
          <w:rFonts w:ascii="Times New Roman" w:hAnsi="Times New Roman"/>
          <w:sz w:val="24"/>
          <w:szCs w:val="24"/>
        </w:rPr>
        <w:t>, pokud v předchozím vztahu působil vrchnostensky</w:t>
      </w:r>
      <w:r w:rsidR="007432CF" w:rsidRPr="007432CF">
        <w:rPr>
          <w:rFonts w:ascii="Times New Roman" w:hAnsi="Times New Roman"/>
          <w:sz w:val="24"/>
          <w:szCs w:val="24"/>
        </w:rPr>
        <w:t>. Nález  Pl. ÚS 20/15:</w:t>
      </w:r>
    </w:p>
    <w:p w:rsidR="007432CF" w:rsidRPr="003F64D8" w:rsidRDefault="007432CF" w:rsidP="003F64D8">
      <w:pPr>
        <w:jc w:val="both"/>
        <w:rPr>
          <w:sz w:val="24"/>
          <w:szCs w:val="24"/>
        </w:rPr>
      </w:pPr>
      <w:r>
        <w:rPr>
          <w:sz w:val="24"/>
          <w:szCs w:val="24"/>
        </w:rPr>
        <w:t>„</w:t>
      </w:r>
      <w:r w:rsidRPr="007432CF">
        <w:rPr>
          <w:i/>
          <w:sz w:val="24"/>
          <w:szCs w:val="24"/>
        </w:rPr>
        <w:t>P</w:t>
      </w:r>
      <w:r w:rsidRPr="007432CF">
        <w:rPr>
          <w:i/>
          <w:sz w:val="24"/>
          <w:szCs w:val="24"/>
        </w:rPr>
        <w:t>ři posuzování postavení státu jako subjektu oprávněného podat ústavní stížnost se Ústavní soud neomezuje pouze na hodnocení tohoto subjektu jako orgánu veřejné moci, ale vždy zkoumá jeho právní postavení s přihlédnutím ke konkrétním okolnostem projednávaného případu. Při tomto postupu Ústavní soud ve své judikatuře především rozlišuje, zda stát vystupuje v právních vztazích v pozici subjektu veřejného práva, tedy jako nositel veřejné moci, či nikoli. K obsahu pojmu veřejné moci se vyjádřil již Ústavní soud České a Slovenské Federativní Republiky, který konstatoval, že "veřejnou mocí je taková moc, která autoritativně rozhoduje o právech a povinnostech subjektů, ať už přímo, nebo zprostředkovaně. Subjekt, o jehož právech nebo povinnostech orgán veřejné moci rozhoduje, se nenachází v rovnoprávném postavení s tímto orgánem a obsah rozhodnutí tohoto orgánu nezávisí na vůli subjektů" [usnesení Ústavního soudu ČSFR sp. zn. I. ÚS 191/92].</w:t>
      </w:r>
      <w:r w:rsidRPr="007432CF">
        <w:rPr>
          <w:i/>
          <w:sz w:val="24"/>
          <w:szCs w:val="24"/>
        </w:rPr>
        <w:t xml:space="preserve"> </w:t>
      </w:r>
      <w:r w:rsidRPr="007432CF">
        <w:rPr>
          <w:i/>
          <w:sz w:val="24"/>
          <w:szCs w:val="24"/>
        </w:rPr>
        <w:t xml:space="preserve">Jestliže stát, resp. státní orgán za něj jednající vystupuje jako nositel veřejné moci, není a z </w:t>
      </w:r>
      <w:r w:rsidRPr="003F64D8">
        <w:rPr>
          <w:i/>
          <w:sz w:val="24"/>
          <w:szCs w:val="24"/>
        </w:rPr>
        <w:t>povahy věci ani nemůže být nositelem (subjektem) základních práv. V takových případech tedy stát nemůže být aktivně legitimován k podání ústavní stížnosti.</w:t>
      </w:r>
      <w:r w:rsidRPr="003F64D8">
        <w:rPr>
          <w:i/>
          <w:sz w:val="24"/>
          <w:szCs w:val="24"/>
        </w:rPr>
        <w:t xml:space="preserve"> </w:t>
      </w:r>
      <w:r w:rsidRPr="003F64D8">
        <w:rPr>
          <w:b/>
          <w:i/>
          <w:sz w:val="24"/>
          <w:szCs w:val="24"/>
        </w:rPr>
        <w:t>Pokud ovšem stát (prostřednictvím státního orgánu) v právních vztazích nevystupuje ve "vrchnostenské" pozici nositele veřejné moci, ale jako subjekt právního vztahu (jako "pouhá" právnická osoba, byť veřejného práva), v němž má rovnoprávné postavení s ostatními subjekty, může být nositelem (některých) základních práv a svobod. Může tak tvrdit a osvědčovat porušení ústavně zaručeného práva nebo svobody, které lze státu přičítat jako každé jiné právnické osobě, a napadat rozhodnutí orgánu veřejné moci ústavní stížností</w:t>
      </w:r>
      <w:r w:rsidRPr="003F64D8">
        <w:rPr>
          <w:b/>
          <w:sz w:val="24"/>
          <w:szCs w:val="24"/>
        </w:rPr>
        <w:t>.</w:t>
      </w:r>
      <w:r w:rsidRPr="003F64D8">
        <w:rPr>
          <w:sz w:val="24"/>
          <w:szCs w:val="24"/>
        </w:rPr>
        <w:t>“</w:t>
      </w:r>
      <w:r w:rsidRPr="003F64D8">
        <w:rPr>
          <w:sz w:val="24"/>
          <w:szCs w:val="24"/>
        </w:rPr>
        <w:t xml:space="preserve"> </w:t>
      </w:r>
    </w:p>
    <w:p w:rsidR="007432CF" w:rsidRDefault="007432CF" w:rsidP="003F64D8">
      <w:pPr>
        <w:pStyle w:val="Odstavecseseznamem"/>
        <w:numPr>
          <w:ilvl w:val="3"/>
          <w:numId w:val="36"/>
        </w:numPr>
        <w:spacing w:before="120"/>
        <w:ind w:left="0" w:firstLine="0"/>
        <w:jc w:val="both"/>
        <w:rPr>
          <w:rFonts w:ascii="Times New Roman" w:hAnsi="Times New Roman"/>
          <w:sz w:val="24"/>
          <w:szCs w:val="24"/>
        </w:rPr>
      </w:pPr>
      <w:r w:rsidRPr="003F64D8">
        <w:rPr>
          <w:rFonts w:ascii="Times New Roman" w:hAnsi="Times New Roman"/>
          <w:sz w:val="24"/>
          <w:szCs w:val="24"/>
        </w:rPr>
        <w:t>Není vyloučeno podání ústavní stížnosti stěžovatelem, kterým není obecn</w:t>
      </w:r>
      <w:r w:rsidR="002B2374">
        <w:rPr>
          <w:rFonts w:ascii="Times New Roman" w:hAnsi="Times New Roman"/>
          <w:sz w:val="24"/>
          <w:szCs w:val="24"/>
        </w:rPr>
        <w:t>ě oprávněn k právním jednáním</w:t>
      </w:r>
      <w:r w:rsidRPr="003F64D8">
        <w:rPr>
          <w:rFonts w:ascii="Times New Roman" w:hAnsi="Times New Roman"/>
          <w:sz w:val="24"/>
          <w:szCs w:val="24"/>
        </w:rPr>
        <w:t xml:space="preserve">: např. petiční výbor nebo přípravný výbor politické strany (srov. nález IV. </w:t>
      </w:r>
      <w:r w:rsidR="003F64D8" w:rsidRPr="003F64D8">
        <w:rPr>
          <w:rFonts w:ascii="Times New Roman" w:hAnsi="Times New Roman"/>
          <w:sz w:val="24"/>
          <w:szCs w:val="24"/>
        </w:rPr>
        <w:t>ÚS 223/04: „</w:t>
      </w:r>
      <w:r w:rsidR="003F64D8" w:rsidRPr="003F64D8">
        <w:rPr>
          <w:rFonts w:ascii="Times New Roman" w:hAnsi="Times New Roman"/>
          <w:i/>
          <w:color w:val="000000"/>
          <w:sz w:val="24"/>
          <w:szCs w:val="24"/>
        </w:rPr>
        <w:t>Přípravný výbor, za nějž zmocněnec jedná, je oprávněn ke všem procesním úkonům, které jsou spojeny s místním referendem, tedy nejen k těm úkonům, jež přímo zakotvuje zákon o místním referendu, ale i k případnému podání ústavní stížnosti, má-li za to, že v průběhu soudního přezkumu rozhodnutí zastupitelstva obce místní referendum nevyhlásit byla porušena ústavně zaručená základní práva nebo svobody</w:t>
      </w:r>
      <w:r w:rsidR="003F64D8" w:rsidRPr="003F64D8">
        <w:rPr>
          <w:rFonts w:ascii="Times New Roman" w:hAnsi="Times New Roman"/>
          <w:color w:val="000000"/>
          <w:sz w:val="24"/>
          <w:szCs w:val="24"/>
        </w:rPr>
        <w:t>.</w:t>
      </w:r>
      <w:r w:rsidR="003F64D8" w:rsidRPr="003F64D8">
        <w:rPr>
          <w:rFonts w:ascii="Times New Roman" w:hAnsi="Times New Roman"/>
          <w:color w:val="000000"/>
          <w:sz w:val="24"/>
          <w:szCs w:val="24"/>
        </w:rPr>
        <w:t>“</w:t>
      </w:r>
      <w:r w:rsidR="003F64D8" w:rsidRPr="003F64D8">
        <w:rPr>
          <w:rFonts w:ascii="Times New Roman" w:hAnsi="Times New Roman"/>
          <w:sz w:val="24"/>
          <w:szCs w:val="24"/>
        </w:rPr>
        <w:t>)</w:t>
      </w:r>
    </w:p>
    <w:p w:rsidR="003F64D8" w:rsidRPr="003F64D8" w:rsidRDefault="003F64D8" w:rsidP="003F64D8">
      <w:pPr>
        <w:pStyle w:val="Odstavecseseznamem"/>
        <w:spacing w:before="120"/>
        <w:ind w:left="0"/>
        <w:jc w:val="both"/>
        <w:rPr>
          <w:rFonts w:ascii="Times New Roman" w:hAnsi="Times New Roman"/>
          <w:sz w:val="24"/>
          <w:szCs w:val="24"/>
        </w:rPr>
      </w:pPr>
    </w:p>
    <w:p w:rsidR="003655DD" w:rsidRPr="003F64D8" w:rsidRDefault="003F64D8" w:rsidP="003F64D8">
      <w:pPr>
        <w:spacing w:before="120"/>
        <w:jc w:val="both"/>
        <w:rPr>
          <w:rFonts w:cs="Aharoni"/>
          <w:b/>
          <w:i/>
          <w:sz w:val="24"/>
          <w:szCs w:val="24"/>
        </w:rPr>
      </w:pPr>
      <w:r w:rsidRPr="003F64D8">
        <w:rPr>
          <w:rFonts w:cs="Aharoni"/>
          <w:b/>
          <w:i/>
          <w:sz w:val="24"/>
          <w:szCs w:val="24"/>
        </w:rPr>
        <w:t xml:space="preserve">II. </w:t>
      </w:r>
      <w:r w:rsidR="003655DD" w:rsidRPr="003F64D8">
        <w:rPr>
          <w:rFonts w:cs="Aharoni"/>
          <w:b/>
          <w:i/>
          <w:sz w:val="24"/>
          <w:szCs w:val="24"/>
        </w:rPr>
        <w:t>Co lze napadnout (rozhodnutí, opatření, jiný zásah)</w:t>
      </w:r>
    </w:p>
    <w:p w:rsidR="0092796F" w:rsidRPr="001C3F0A" w:rsidRDefault="0092796F" w:rsidP="003F64D8">
      <w:pPr>
        <w:pStyle w:val="Odstavecseseznamem"/>
        <w:numPr>
          <w:ilvl w:val="3"/>
          <w:numId w:val="36"/>
        </w:numPr>
        <w:spacing w:before="120"/>
        <w:ind w:left="0" w:firstLine="0"/>
        <w:jc w:val="both"/>
        <w:rPr>
          <w:rFonts w:ascii="Times New Roman" w:hAnsi="Times New Roman"/>
          <w:sz w:val="24"/>
          <w:szCs w:val="24"/>
        </w:rPr>
      </w:pPr>
      <w:r w:rsidRPr="003F64D8">
        <w:rPr>
          <w:rFonts w:ascii="Times New Roman" w:hAnsi="Times New Roman"/>
          <w:sz w:val="24"/>
          <w:szCs w:val="24"/>
        </w:rPr>
        <w:t xml:space="preserve">pojem opatření judikatorně neuchopen; zřejmě </w:t>
      </w:r>
      <w:r w:rsidR="00FB2839">
        <w:rPr>
          <w:rFonts w:ascii="Times New Roman" w:hAnsi="Times New Roman"/>
          <w:sz w:val="24"/>
          <w:szCs w:val="24"/>
        </w:rPr>
        <w:t xml:space="preserve">je použitelný </w:t>
      </w:r>
      <w:r w:rsidRPr="003F64D8">
        <w:rPr>
          <w:rFonts w:ascii="Times New Roman" w:hAnsi="Times New Roman"/>
          <w:sz w:val="24"/>
          <w:szCs w:val="24"/>
        </w:rPr>
        <w:t xml:space="preserve">jen </w:t>
      </w:r>
      <w:r w:rsidR="00FB2839">
        <w:rPr>
          <w:rFonts w:ascii="Times New Roman" w:hAnsi="Times New Roman"/>
          <w:sz w:val="24"/>
          <w:szCs w:val="24"/>
        </w:rPr>
        <w:t xml:space="preserve">na opatření obecné povahy (ale i v těchto případech musí podání ústavní stížnosti předcházet napadení OOP ve </w:t>
      </w:r>
      <w:r w:rsidR="00FB2839" w:rsidRPr="001C3F0A">
        <w:rPr>
          <w:rFonts w:ascii="Times New Roman" w:hAnsi="Times New Roman"/>
          <w:sz w:val="24"/>
          <w:szCs w:val="24"/>
        </w:rPr>
        <w:t>správním soudnictví)</w:t>
      </w:r>
    </w:p>
    <w:p w:rsidR="0092796F" w:rsidRPr="00135161" w:rsidRDefault="001C3F0A" w:rsidP="001C3F0A">
      <w:pPr>
        <w:pStyle w:val="Odstavecseseznamem"/>
        <w:numPr>
          <w:ilvl w:val="3"/>
          <w:numId w:val="36"/>
        </w:numPr>
        <w:spacing w:before="120"/>
        <w:ind w:left="0" w:firstLine="0"/>
        <w:jc w:val="both"/>
        <w:rPr>
          <w:rFonts w:ascii="Times New Roman" w:hAnsi="Times New Roman"/>
          <w:sz w:val="24"/>
          <w:szCs w:val="24"/>
        </w:rPr>
      </w:pPr>
      <w:r w:rsidRPr="001C3F0A">
        <w:rPr>
          <w:rFonts w:ascii="Times New Roman" w:hAnsi="Times New Roman"/>
          <w:sz w:val="24"/>
          <w:szCs w:val="24"/>
        </w:rPr>
        <w:lastRenderedPageBreak/>
        <w:t>„</w:t>
      </w:r>
      <w:r w:rsidR="0092796F" w:rsidRPr="001C3F0A">
        <w:rPr>
          <w:rFonts w:ascii="Times New Roman" w:hAnsi="Times New Roman"/>
          <w:sz w:val="24"/>
          <w:szCs w:val="24"/>
        </w:rPr>
        <w:t>jiný zásah</w:t>
      </w:r>
      <w:r w:rsidRPr="001C3F0A">
        <w:rPr>
          <w:rFonts w:ascii="Times New Roman" w:hAnsi="Times New Roman"/>
          <w:sz w:val="24"/>
          <w:szCs w:val="24"/>
        </w:rPr>
        <w:t>“</w:t>
      </w:r>
      <w:r w:rsidR="0092796F" w:rsidRPr="001C3F0A">
        <w:rPr>
          <w:rFonts w:ascii="Times New Roman" w:hAnsi="Times New Roman"/>
          <w:sz w:val="24"/>
          <w:szCs w:val="24"/>
        </w:rPr>
        <w:t xml:space="preserve"> je dnes fakticky téměř vyprázdněn (nečinnosti nebo zásahy správních úřadů jsou přezkoumatelné  ve zvláštních řízeních, takže  ústavní stížnost potom směřuje proti rozhodnutím v těchto </w:t>
      </w:r>
      <w:r w:rsidR="0092796F" w:rsidRPr="00135161">
        <w:rPr>
          <w:rFonts w:ascii="Times New Roman" w:hAnsi="Times New Roman"/>
          <w:sz w:val="24"/>
          <w:szCs w:val="24"/>
        </w:rPr>
        <w:t>řízeních vydaným)</w:t>
      </w:r>
      <w:r w:rsidRPr="00135161">
        <w:rPr>
          <w:rFonts w:ascii="Times New Roman" w:hAnsi="Times New Roman"/>
          <w:sz w:val="24"/>
          <w:szCs w:val="24"/>
        </w:rPr>
        <w:t>. Typickým příkladem jiného zásahu proto může být faktický průběh domovní prohlídky: stěžovateli totiž nevadí samotné rozhodnutí soudu o provedení domovní prohlídky, nýbrž její faktický průběh. Lze samozřejmě napadnout obojí: jak rozhodnutí (stěžovatel bude tvrdit, že pro nařízení prohlídky nebyl dán žádný důvod), tak její faktický průběh.</w:t>
      </w:r>
    </w:p>
    <w:p w:rsidR="001C3F0A" w:rsidRDefault="001C3F0A" w:rsidP="001C3F0A">
      <w:pPr>
        <w:pStyle w:val="Odstavecseseznamem"/>
        <w:numPr>
          <w:ilvl w:val="3"/>
          <w:numId w:val="36"/>
        </w:numPr>
        <w:spacing w:before="120"/>
        <w:ind w:left="0" w:firstLine="0"/>
        <w:jc w:val="both"/>
        <w:rPr>
          <w:rFonts w:ascii="Times New Roman" w:hAnsi="Times New Roman"/>
          <w:sz w:val="24"/>
          <w:szCs w:val="24"/>
        </w:rPr>
      </w:pPr>
      <w:r w:rsidRPr="00135161">
        <w:rPr>
          <w:rFonts w:ascii="Times New Roman" w:hAnsi="Times New Roman"/>
          <w:sz w:val="24"/>
          <w:szCs w:val="24"/>
        </w:rPr>
        <w:t xml:space="preserve">Tomu, co je napadáno, musí odpovídat </w:t>
      </w:r>
      <w:r w:rsidR="009D79CF">
        <w:rPr>
          <w:rFonts w:ascii="Times New Roman" w:hAnsi="Times New Roman"/>
          <w:sz w:val="24"/>
          <w:szCs w:val="24"/>
        </w:rPr>
        <w:t xml:space="preserve">též </w:t>
      </w:r>
      <w:r w:rsidRPr="00135161">
        <w:rPr>
          <w:rFonts w:ascii="Times New Roman" w:hAnsi="Times New Roman"/>
          <w:sz w:val="24"/>
          <w:szCs w:val="24"/>
        </w:rPr>
        <w:t>zvolený stížnostní petit: viz § 82 odst. 3 zákona o Ústavním soudu</w:t>
      </w:r>
      <w:r w:rsidR="009D79CF">
        <w:rPr>
          <w:rFonts w:ascii="Times New Roman" w:hAnsi="Times New Roman"/>
          <w:sz w:val="24"/>
          <w:szCs w:val="24"/>
        </w:rPr>
        <w:t xml:space="preserve"> a bod IV.</w:t>
      </w:r>
    </w:p>
    <w:p w:rsidR="00135161" w:rsidRPr="00135161" w:rsidRDefault="00135161" w:rsidP="00135161">
      <w:pPr>
        <w:pStyle w:val="Odstavecseseznamem"/>
        <w:numPr>
          <w:ilvl w:val="3"/>
          <w:numId w:val="36"/>
        </w:numPr>
        <w:spacing w:before="120"/>
        <w:ind w:left="0" w:firstLine="0"/>
        <w:jc w:val="both"/>
        <w:rPr>
          <w:rFonts w:ascii="Times New Roman" w:hAnsi="Times New Roman"/>
          <w:sz w:val="24"/>
          <w:szCs w:val="24"/>
        </w:rPr>
      </w:pPr>
      <w:r>
        <w:rPr>
          <w:rFonts w:ascii="Times New Roman" w:eastAsiaTheme="minorHAnsi" w:hAnsi="Times New Roman"/>
          <w:color w:val="000000" w:themeColor="text1"/>
          <w:sz w:val="24"/>
          <w:szCs w:val="24"/>
          <w:lang w:eastAsia="en-US"/>
        </w:rPr>
        <w:t>U</w:t>
      </w:r>
      <w:r w:rsidRPr="00135161">
        <w:rPr>
          <w:rFonts w:ascii="Times New Roman" w:eastAsiaTheme="minorHAnsi" w:hAnsi="Times New Roman"/>
          <w:color w:val="000000" w:themeColor="text1"/>
          <w:sz w:val="24"/>
          <w:szCs w:val="24"/>
          <w:lang w:eastAsia="en-US"/>
        </w:rPr>
        <w:t>snesení Pl. ÚS 100/20: „</w:t>
      </w:r>
      <w:r w:rsidRPr="00135161">
        <w:rPr>
          <w:rFonts w:ascii="Times New Roman" w:eastAsiaTheme="minorHAnsi" w:hAnsi="Times New Roman"/>
          <w:i/>
          <w:color w:val="000000" w:themeColor="text1"/>
          <w:sz w:val="24"/>
          <w:szCs w:val="24"/>
          <w:lang w:eastAsia="en-US"/>
        </w:rPr>
        <w:t>Ústavní soud dále uvádí, že ústavní stížnost slouží k ochraně před zásahem</w:t>
      </w:r>
      <w:r w:rsidRPr="00135161">
        <w:rPr>
          <w:rFonts w:ascii="Times New Roman" w:hAnsi="Times New Roman"/>
          <w:i/>
          <w:sz w:val="24"/>
          <w:szCs w:val="24"/>
        </w:rPr>
        <w:t xml:space="preserve"> orgánu veřejné moci do ústavně zaručených základních práv a svobod stěžovatele [čl. 87 odst. 1 písm. d) Ústavy]. </w:t>
      </w:r>
      <w:r w:rsidRPr="00135161">
        <w:rPr>
          <w:rFonts w:ascii="Times New Roman" w:hAnsi="Times New Roman"/>
          <w:b/>
          <w:i/>
          <w:sz w:val="24"/>
          <w:szCs w:val="24"/>
        </w:rPr>
        <w:t>Tento zásah do základních práv stěžovatele však musí být „osobní, aktuální a bezprostřední</w:t>
      </w:r>
      <w:r w:rsidRPr="00135161">
        <w:rPr>
          <w:rFonts w:ascii="Times New Roman" w:hAnsi="Times New Roman"/>
          <w:i/>
          <w:sz w:val="24"/>
          <w:szCs w:val="24"/>
        </w:rPr>
        <w:t xml:space="preserve">“ („selbst, gegenwärtig, unmittelbar“, srov. např. SACHS, M. Verfassunsprozessrecht. 4. vyd., Tübingen: Mohr Siebeck, 2016, str. 155).  </w:t>
      </w:r>
      <w:r w:rsidRPr="00135161">
        <w:rPr>
          <w:rFonts w:ascii="Times New Roman" w:eastAsiaTheme="minorHAnsi" w:hAnsi="Times New Roman"/>
          <w:i/>
          <w:sz w:val="24"/>
          <w:szCs w:val="24"/>
          <w:lang w:eastAsia="en-US"/>
        </w:rPr>
        <w:t xml:space="preserve">Právní </w:t>
      </w:r>
      <w:r w:rsidRPr="00135161">
        <w:rPr>
          <w:rFonts w:ascii="Times New Roman" w:hAnsi="Times New Roman"/>
          <w:i/>
          <w:sz w:val="24"/>
          <w:szCs w:val="24"/>
        </w:rPr>
        <w:t>úprava řízení o ústavní stížnosti nezná tzv. actionem popularis, kdy může návrh podat i někdo, koho se zásah orgánu veřejné moci bezprostředně nedotýká, tzn. není dána možnost podat ústavní stížnost, nedojde-li k bezprostřednímu porušení základních práv navrhovatele vůbec nebo pouze obecně, tj. nekonkrétně, nebo neindividualizovaně [viz usnesení sp. zn. II. ÚS 178/94].</w:t>
      </w:r>
      <w:r w:rsidRPr="00135161">
        <w:rPr>
          <w:rFonts w:ascii="Times New Roman" w:eastAsiaTheme="minorHAnsi" w:hAnsi="Times New Roman"/>
          <w:i/>
          <w:sz w:val="24"/>
          <w:szCs w:val="24"/>
          <w:lang w:eastAsia="en-US"/>
        </w:rPr>
        <w:t xml:space="preserve"> </w:t>
      </w:r>
      <w:r w:rsidRPr="00135161">
        <w:rPr>
          <w:rFonts w:ascii="Times New Roman" w:hAnsi="Times New Roman"/>
          <w:i/>
          <w:sz w:val="24"/>
          <w:szCs w:val="24"/>
        </w:rPr>
        <w:t>Z uvedeného rovněž vyplývá, že mezi napadeným rozhodnutím a tvrzeným porušením základních práv musí existovat jasný příčinný vztah - kauzalita. Není totiž úkolem Ústavního soudu přezkoumávat činnost či nečinnost orgánů veřejné moci v obecné rovině, natož se k ní pouze v obecné či dokonce politické rovině vyjadřovat</w:t>
      </w:r>
      <w:r w:rsidRPr="00135161">
        <w:rPr>
          <w:rFonts w:ascii="Times New Roman" w:hAnsi="Times New Roman"/>
          <w:sz w:val="24"/>
          <w:szCs w:val="24"/>
        </w:rPr>
        <w:t>.“</w:t>
      </w:r>
    </w:p>
    <w:p w:rsidR="003F7B48" w:rsidRPr="00135161" w:rsidRDefault="003F7B48" w:rsidP="003F7B48">
      <w:pPr>
        <w:spacing w:before="120"/>
        <w:jc w:val="both"/>
        <w:rPr>
          <w:sz w:val="24"/>
          <w:szCs w:val="24"/>
        </w:rPr>
      </w:pPr>
    </w:p>
    <w:p w:rsidR="003F7B48" w:rsidRPr="00135161" w:rsidRDefault="003F7B48" w:rsidP="003F7B48">
      <w:pPr>
        <w:pStyle w:val="Odstavecseseznamem"/>
        <w:numPr>
          <w:ilvl w:val="0"/>
          <w:numId w:val="40"/>
        </w:numPr>
        <w:spacing w:before="120"/>
        <w:jc w:val="both"/>
        <w:rPr>
          <w:rFonts w:ascii="Times New Roman" w:hAnsi="Times New Roman"/>
          <w:b/>
          <w:i/>
          <w:sz w:val="24"/>
          <w:szCs w:val="24"/>
        </w:rPr>
      </w:pPr>
      <w:r w:rsidRPr="00135161">
        <w:rPr>
          <w:rFonts w:ascii="Times New Roman" w:hAnsi="Times New Roman"/>
          <w:b/>
          <w:i/>
          <w:sz w:val="24"/>
          <w:szCs w:val="24"/>
        </w:rPr>
        <w:t xml:space="preserve">Co je předmětem řízení (jaká základní práva jsou </w:t>
      </w:r>
      <w:r w:rsidR="00135161" w:rsidRPr="00135161">
        <w:rPr>
          <w:rFonts w:ascii="Times New Roman" w:hAnsi="Times New Roman"/>
          <w:b/>
          <w:i/>
          <w:sz w:val="24"/>
          <w:szCs w:val="24"/>
        </w:rPr>
        <w:t>poruše</w:t>
      </w:r>
      <w:r w:rsidRPr="00135161">
        <w:rPr>
          <w:rFonts w:ascii="Times New Roman" w:hAnsi="Times New Roman"/>
          <w:b/>
          <w:i/>
          <w:sz w:val="24"/>
          <w:szCs w:val="24"/>
        </w:rPr>
        <w:t>na)</w:t>
      </w:r>
    </w:p>
    <w:p w:rsidR="0092796F" w:rsidRDefault="0092796F" w:rsidP="000C1996">
      <w:pPr>
        <w:pStyle w:val="Odstavecseseznamem"/>
        <w:numPr>
          <w:ilvl w:val="3"/>
          <w:numId w:val="36"/>
        </w:numPr>
        <w:spacing w:before="120"/>
        <w:ind w:left="0" w:firstLine="0"/>
        <w:jc w:val="both"/>
        <w:rPr>
          <w:rFonts w:ascii="Times New Roman" w:hAnsi="Times New Roman"/>
          <w:sz w:val="24"/>
          <w:szCs w:val="24"/>
        </w:rPr>
      </w:pPr>
      <w:r w:rsidRPr="000C1996">
        <w:rPr>
          <w:rFonts w:ascii="Times New Roman" w:hAnsi="Times New Roman"/>
          <w:sz w:val="24"/>
          <w:szCs w:val="24"/>
        </w:rPr>
        <w:t xml:space="preserve">musí jít o ústavní práva, nepostačuje porušení „jednoduchého“ zákona či jiného </w:t>
      </w:r>
      <w:r w:rsidR="00351DB6">
        <w:rPr>
          <w:rFonts w:ascii="Times New Roman" w:hAnsi="Times New Roman"/>
          <w:sz w:val="24"/>
          <w:szCs w:val="24"/>
        </w:rPr>
        <w:t xml:space="preserve">právního </w:t>
      </w:r>
      <w:r w:rsidRPr="000C1996">
        <w:rPr>
          <w:rFonts w:ascii="Times New Roman" w:hAnsi="Times New Roman"/>
          <w:sz w:val="24"/>
          <w:szCs w:val="24"/>
        </w:rPr>
        <w:t>předpisu</w:t>
      </w:r>
    </w:p>
    <w:p w:rsidR="0092796F" w:rsidRDefault="0092796F" w:rsidP="00351DB6">
      <w:pPr>
        <w:pStyle w:val="Odstavecseseznamem"/>
        <w:numPr>
          <w:ilvl w:val="3"/>
          <w:numId w:val="36"/>
        </w:numPr>
        <w:spacing w:before="120"/>
        <w:ind w:left="0" w:firstLine="0"/>
        <w:jc w:val="both"/>
        <w:rPr>
          <w:rFonts w:ascii="Times New Roman" w:hAnsi="Times New Roman"/>
          <w:sz w:val="24"/>
          <w:szCs w:val="24"/>
        </w:rPr>
      </w:pPr>
      <w:r w:rsidRPr="00351DB6">
        <w:rPr>
          <w:rFonts w:ascii="Times New Roman" w:hAnsi="Times New Roman"/>
          <w:sz w:val="24"/>
          <w:szCs w:val="24"/>
        </w:rPr>
        <w:t>nejčastěji je porušeno právo na spravedlivý proces</w:t>
      </w:r>
      <w:r w:rsidR="00351DB6">
        <w:rPr>
          <w:rFonts w:ascii="Times New Roman" w:hAnsi="Times New Roman"/>
          <w:sz w:val="24"/>
          <w:szCs w:val="24"/>
        </w:rPr>
        <w:t xml:space="preserve"> (resp. soudní ochranu)</w:t>
      </w:r>
      <w:r w:rsidRPr="00351DB6">
        <w:rPr>
          <w:rFonts w:ascii="Times New Roman" w:hAnsi="Times New Roman"/>
          <w:sz w:val="24"/>
          <w:szCs w:val="24"/>
        </w:rPr>
        <w:t>: toto právo však není samoúčelné a mělo by proto být  zpravidla argumentováno též porušením jiného základního práva (vlastnictví, osobní svoboda, svoboda projevu atp.)</w:t>
      </w:r>
    </w:p>
    <w:p w:rsidR="00351DB6" w:rsidRPr="00801A0D" w:rsidRDefault="00351DB6" w:rsidP="00351DB6">
      <w:pPr>
        <w:pStyle w:val="Odstavecseseznamem"/>
        <w:numPr>
          <w:ilvl w:val="3"/>
          <w:numId w:val="36"/>
        </w:numPr>
        <w:spacing w:before="120"/>
        <w:ind w:left="0" w:firstLine="0"/>
        <w:jc w:val="both"/>
        <w:rPr>
          <w:rFonts w:ascii="Times New Roman" w:hAnsi="Times New Roman"/>
          <w:sz w:val="24"/>
          <w:szCs w:val="24"/>
        </w:rPr>
      </w:pPr>
      <w:r>
        <w:rPr>
          <w:rFonts w:ascii="Times New Roman" w:hAnsi="Times New Roman"/>
          <w:sz w:val="24"/>
          <w:szCs w:val="24"/>
        </w:rPr>
        <w:t xml:space="preserve">jsou však samozřejmě případy, kdy z povahy věci jiné základní právo nepřipadá do úvahy: došlo k závažnému procesnímu pochybení (rozhodl nezákonný soudce; odvolací soud přehlédl dodatečně zaslané odůvodnění podaného odvolání; bylo rozhodnuto v nepřítomnosti stěžovatele, byť se stěžovatel jednání nezúčastnil nikoliv vlastní vinou atp.). V těchto případech </w:t>
      </w:r>
      <w:r w:rsidRPr="00801A0D">
        <w:rPr>
          <w:rFonts w:ascii="Times New Roman" w:hAnsi="Times New Roman"/>
          <w:sz w:val="24"/>
          <w:szCs w:val="24"/>
        </w:rPr>
        <w:t>Ústavní soud nemůže „předbíhat“ obecný soud a vyjadřovat se k hmotněprávnímu řešení věci a jeho úkolem je proto pouze  zrušit napadené rozhodnutí a „tím otevřít prostor pro vydání rozhodnutí nového, tentokrát již procesně bezvadného“.</w:t>
      </w:r>
    </w:p>
    <w:p w:rsidR="002455BA" w:rsidRPr="00801A0D" w:rsidRDefault="002455BA" w:rsidP="002455BA">
      <w:pPr>
        <w:spacing w:before="120"/>
        <w:jc w:val="both"/>
        <w:rPr>
          <w:sz w:val="24"/>
          <w:szCs w:val="24"/>
        </w:rPr>
      </w:pPr>
    </w:p>
    <w:p w:rsidR="002455BA" w:rsidRPr="00801A0D" w:rsidRDefault="002455BA" w:rsidP="00801A0D">
      <w:pPr>
        <w:pStyle w:val="Odstavecseseznamem"/>
        <w:numPr>
          <w:ilvl w:val="0"/>
          <w:numId w:val="40"/>
        </w:numPr>
        <w:spacing w:before="120"/>
        <w:jc w:val="both"/>
        <w:rPr>
          <w:rFonts w:ascii="Times New Roman" w:hAnsi="Times New Roman"/>
          <w:b/>
          <w:i/>
          <w:sz w:val="24"/>
          <w:szCs w:val="24"/>
        </w:rPr>
      </w:pPr>
      <w:r w:rsidRPr="00801A0D">
        <w:rPr>
          <w:rFonts w:ascii="Times New Roman" w:hAnsi="Times New Roman"/>
          <w:b/>
          <w:i/>
          <w:sz w:val="24"/>
          <w:szCs w:val="24"/>
        </w:rPr>
        <w:t>Kdo se může tvrzené protiústavnosti dopustit</w:t>
      </w:r>
    </w:p>
    <w:p w:rsidR="002455BA" w:rsidRDefault="002455BA" w:rsidP="002455BA">
      <w:pPr>
        <w:pStyle w:val="Odstavecseseznamem"/>
        <w:numPr>
          <w:ilvl w:val="3"/>
          <w:numId w:val="36"/>
        </w:numPr>
        <w:spacing w:before="120"/>
        <w:ind w:left="0" w:firstLine="0"/>
        <w:jc w:val="both"/>
        <w:rPr>
          <w:rFonts w:ascii="Times New Roman" w:hAnsi="Times New Roman"/>
          <w:sz w:val="24"/>
          <w:szCs w:val="24"/>
        </w:rPr>
      </w:pPr>
      <w:r w:rsidRPr="00801A0D">
        <w:rPr>
          <w:rFonts w:ascii="Times New Roman" w:hAnsi="Times New Roman"/>
          <w:sz w:val="24"/>
          <w:szCs w:val="24"/>
        </w:rPr>
        <w:t>jen orgán veřejné moci, kterým může být především státní orgán (nejčastěji soud, dále orgán státní správy – finanční</w:t>
      </w:r>
      <w:r w:rsidRPr="002455BA">
        <w:rPr>
          <w:rFonts w:ascii="Times New Roman" w:hAnsi="Times New Roman"/>
          <w:sz w:val="24"/>
          <w:szCs w:val="24"/>
        </w:rPr>
        <w:t xml:space="preserve"> úřad, hygienik, policejní orgán) a orgány veřejnoprávních korporací (např. rektor univerzity, kárný senát profesní komory atp.)</w:t>
      </w:r>
    </w:p>
    <w:p w:rsidR="002455BA" w:rsidRDefault="002455BA" w:rsidP="002455BA">
      <w:pPr>
        <w:pStyle w:val="Odstavecseseznamem"/>
        <w:numPr>
          <w:ilvl w:val="3"/>
          <w:numId w:val="36"/>
        </w:numPr>
        <w:spacing w:before="120"/>
        <w:ind w:left="0" w:firstLine="0"/>
        <w:jc w:val="both"/>
        <w:rPr>
          <w:rFonts w:ascii="Times New Roman" w:hAnsi="Times New Roman"/>
          <w:sz w:val="24"/>
          <w:szCs w:val="24"/>
        </w:rPr>
      </w:pPr>
      <w:r>
        <w:rPr>
          <w:rFonts w:ascii="Times New Roman" w:hAnsi="Times New Roman"/>
          <w:sz w:val="24"/>
          <w:szCs w:val="24"/>
        </w:rPr>
        <w:t>přímý horizontální účinek základních práv není  uznáván</w:t>
      </w:r>
      <w:r w:rsidR="009D79CF">
        <w:rPr>
          <w:rFonts w:ascii="Times New Roman" w:hAnsi="Times New Roman"/>
          <w:sz w:val="24"/>
          <w:szCs w:val="24"/>
        </w:rPr>
        <w:t>, pouze nepřímý</w:t>
      </w:r>
    </w:p>
    <w:p w:rsidR="00801A0D" w:rsidRDefault="00801A0D" w:rsidP="00801A0D">
      <w:pPr>
        <w:spacing w:before="120"/>
        <w:jc w:val="both"/>
        <w:rPr>
          <w:sz w:val="24"/>
          <w:szCs w:val="24"/>
        </w:rPr>
      </w:pPr>
    </w:p>
    <w:p w:rsidR="00801A0D" w:rsidRPr="00801A0D" w:rsidRDefault="00801A0D" w:rsidP="00801A0D">
      <w:pPr>
        <w:pStyle w:val="Odstavecseseznamem"/>
        <w:numPr>
          <w:ilvl w:val="0"/>
          <w:numId w:val="40"/>
        </w:numPr>
        <w:spacing w:before="120"/>
        <w:jc w:val="both"/>
        <w:rPr>
          <w:rFonts w:ascii="Times New Roman" w:hAnsi="Times New Roman"/>
          <w:b/>
          <w:i/>
          <w:sz w:val="24"/>
          <w:szCs w:val="24"/>
        </w:rPr>
      </w:pPr>
      <w:r w:rsidRPr="00801A0D">
        <w:rPr>
          <w:rFonts w:ascii="Times New Roman" w:hAnsi="Times New Roman"/>
          <w:b/>
          <w:i/>
          <w:sz w:val="24"/>
          <w:szCs w:val="24"/>
        </w:rPr>
        <w:lastRenderedPageBreak/>
        <w:t>Čeho se lze domáhat</w:t>
      </w:r>
    </w:p>
    <w:p w:rsidR="007D0ACE" w:rsidRDefault="007D0ACE" w:rsidP="00801A0D">
      <w:pPr>
        <w:pStyle w:val="Odstavecseseznamem"/>
        <w:numPr>
          <w:ilvl w:val="3"/>
          <w:numId w:val="36"/>
        </w:numPr>
        <w:spacing w:before="120"/>
        <w:ind w:left="0" w:firstLine="0"/>
        <w:jc w:val="both"/>
        <w:rPr>
          <w:rFonts w:ascii="Times New Roman" w:hAnsi="Times New Roman"/>
          <w:sz w:val="24"/>
          <w:szCs w:val="24"/>
        </w:rPr>
      </w:pPr>
      <w:r w:rsidRPr="00801A0D">
        <w:rPr>
          <w:rFonts w:ascii="Times New Roman" w:hAnsi="Times New Roman"/>
          <w:sz w:val="24"/>
          <w:szCs w:val="24"/>
        </w:rPr>
        <w:t>navrhovaný petit musí odpovídat § 82 ZÚS, což konkrétně znamená, že (1.) je třeba označit, jaké základní právo bylo porušeno a (2.) které rozhodnutí se zrušuje</w:t>
      </w:r>
      <w:r w:rsidRPr="00B27D3C">
        <w:rPr>
          <w:rFonts w:ascii="Times New Roman" w:hAnsi="Times New Roman"/>
          <w:sz w:val="24"/>
          <w:szCs w:val="24"/>
        </w:rPr>
        <w:t xml:space="preserve">, případně u jiných zásahů v čem se orgánu veřejné moci zakazuje pokračovat, resp. co se přikazuje obnovit. </w:t>
      </w:r>
    </w:p>
    <w:p w:rsidR="00B51700" w:rsidRPr="00B27D3C" w:rsidRDefault="00B51700" w:rsidP="00801A0D">
      <w:pPr>
        <w:pStyle w:val="Odstavecseseznamem"/>
        <w:numPr>
          <w:ilvl w:val="3"/>
          <w:numId w:val="36"/>
        </w:numPr>
        <w:spacing w:before="120"/>
        <w:ind w:left="0" w:firstLine="0"/>
        <w:jc w:val="both"/>
        <w:rPr>
          <w:rFonts w:ascii="Times New Roman" w:hAnsi="Times New Roman"/>
          <w:sz w:val="24"/>
          <w:szCs w:val="24"/>
        </w:rPr>
      </w:pPr>
      <w:r>
        <w:rPr>
          <w:rFonts w:ascii="Times New Roman" w:hAnsi="Times New Roman"/>
          <w:sz w:val="24"/>
          <w:szCs w:val="24"/>
        </w:rPr>
        <w:t>S ústavní stížností může být podán i akcesorický návrh (na přednostní projednání, na náhradu nákladů zastoupení, na odklad vykonatelnosti)</w:t>
      </w:r>
    </w:p>
    <w:p w:rsidR="00B11269" w:rsidRPr="007D0ACE" w:rsidRDefault="00B11269" w:rsidP="00B51700">
      <w:pPr>
        <w:spacing w:before="120"/>
        <w:jc w:val="both"/>
        <w:rPr>
          <w:rFonts w:cs="Aharoni"/>
          <w:sz w:val="24"/>
          <w:szCs w:val="24"/>
        </w:rPr>
      </w:pPr>
    </w:p>
    <w:p w:rsidR="0004609C" w:rsidRPr="00D90B1A" w:rsidRDefault="00253B79" w:rsidP="0036353E">
      <w:pPr>
        <w:pBdr>
          <w:top w:val="single" w:sz="4" w:space="1" w:color="auto"/>
          <w:left w:val="single" w:sz="4" w:space="4" w:color="auto"/>
          <w:bottom w:val="single" w:sz="4" w:space="1" w:color="auto"/>
          <w:right w:val="single" w:sz="4" w:space="4" w:color="auto"/>
        </w:pBdr>
        <w:spacing w:before="120"/>
        <w:jc w:val="both"/>
        <w:rPr>
          <w:sz w:val="24"/>
          <w:szCs w:val="24"/>
        </w:rPr>
      </w:pPr>
      <w:r w:rsidRPr="00253B79">
        <w:rPr>
          <w:rFonts w:cs="Aharoni"/>
          <w:sz w:val="24"/>
          <w:szCs w:val="24"/>
          <w:u w:val="single"/>
        </w:rPr>
        <w:t>Důležitá poznámka</w:t>
      </w:r>
      <w:r w:rsidRPr="0036353E">
        <w:rPr>
          <w:rFonts w:cs="Aharoni"/>
          <w:sz w:val="24"/>
          <w:szCs w:val="24"/>
        </w:rPr>
        <w:t>:</w:t>
      </w:r>
      <w:r w:rsidR="00421988">
        <w:rPr>
          <w:rFonts w:cs="Aharoni"/>
          <w:sz w:val="24"/>
          <w:szCs w:val="24"/>
        </w:rPr>
        <w:t xml:space="preserve"> </w:t>
      </w:r>
      <w:r>
        <w:rPr>
          <w:rFonts w:cs="Aharoni"/>
          <w:sz w:val="24"/>
          <w:szCs w:val="24"/>
        </w:rPr>
        <w:t xml:space="preserve">Je třeba pečlivě vážit, jaká rozhodnutí </w:t>
      </w:r>
      <w:r w:rsidR="0036353E">
        <w:rPr>
          <w:rFonts w:cs="Aharoni"/>
          <w:sz w:val="24"/>
          <w:szCs w:val="24"/>
        </w:rPr>
        <w:t>je vhodné v konkrétním případě napadnout.</w:t>
      </w:r>
      <w:r>
        <w:rPr>
          <w:rFonts w:cs="Aharoni"/>
          <w:sz w:val="24"/>
          <w:szCs w:val="24"/>
        </w:rPr>
        <w:t xml:space="preserve"> Platí, že </w:t>
      </w:r>
      <w:r w:rsidR="0036353E">
        <w:rPr>
          <w:rFonts w:cs="Aharoni"/>
          <w:sz w:val="24"/>
          <w:szCs w:val="24"/>
        </w:rPr>
        <w:t>vždy</w:t>
      </w:r>
      <w:r>
        <w:rPr>
          <w:rFonts w:cs="Aharoni"/>
          <w:sz w:val="24"/>
          <w:szCs w:val="24"/>
        </w:rPr>
        <w:t xml:space="preserve"> musí být napadeno poslední rozhodnutí, které bylo ve věci vydáno (jinak by byla ústavní stížnost odmítnuta jako nepřípustná)</w:t>
      </w:r>
      <w:r w:rsidR="0036353E">
        <w:rPr>
          <w:rFonts w:cs="Aharoni"/>
          <w:sz w:val="24"/>
          <w:szCs w:val="24"/>
        </w:rPr>
        <w:t>. Je však věcí úvahy, jaká další rozhodnutí mají být napadena – zda všechna „až dolů“ anebo nikoliv. Kromě procesní správnosti ústavní stížnosti totiž do hry vstupuje rovněž zájem klienta na co nejrychlejším a nejlevnějším vyřešení kauzy – proto doporučuji vždy napadnout všechna rozhodnutí vydaná v neprospěch vašeho klienta, neboť takto mu ušetříte čas a peníze. Naopak, pokud např. rozsudek okresního soudu je pro vašeho klienta příznivý a  v jeho neprospěch byla vydána až rozhodnutí odvolacího krajského soudu a dovolacího Nejvyššího soudu</w:t>
      </w:r>
      <w:r w:rsidR="0036353E" w:rsidRPr="00D90B1A">
        <w:rPr>
          <w:sz w:val="24"/>
          <w:szCs w:val="24"/>
        </w:rPr>
        <w:t xml:space="preserve">, dává smysl napadnout jen rozhodnutí NS a KS. Je třeba mít totiž neustále na zřeteli, že ÚS je kasační soud a jako takový může pouze rušit ta rozhodnutí, která jsou u něj napadena. Nemůže je měnit či doplňovat. Přezkum rozhodnutí Ústavním soudem je proto možno připodobnit k práci sadaře, který odřezává suché či zasažené větve a ponechává jen větve zdravé. Není tedy důvod, označovat mu v ústavní stížnosti, že chcete  odřezat i větve zdravé, stejně jako nemá logiku čekat s odřezáním dalších suchých větví </w:t>
      </w:r>
      <w:r w:rsidR="00A70428" w:rsidRPr="00D90B1A">
        <w:rPr>
          <w:sz w:val="24"/>
          <w:szCs w:val="24"/>
        </w:rPr>
        <w:t xml:space="preserve">až </w:t>
      </w:r>
      <w:r w:rsidR="0036353E" w:rsidRPr="00D90B1A">
        <w:rPr>
          <w:sz w:val="24"/>
          <w:szCs w:val="24"/>
        </w:rPr>
        <w:t>na jiného sadaře (NS, KS).</w:t>
      </w:r>
    </w:p>
    <w:p w:rsidR="00253B79" w:rsidRPr="00D90B1A" w:rsidRDefault="00253B79" w:rsidP="0004609C">
      <w:pPr>
        <w:spacing w:before="120"/>
        <w:jc w:val="both"/>
        <w:rPr>
          <w:sz w:val="24"/>
          <w:szCs w:val="24"/>
        </w:rPr>
      </w:pPr>
    </w:p>
    <w:p w:rsidR="0004609C" w:rsidRPr="00D90B1A" w:rsidRDefault="00D90B1A" w:rsidP="00D90B1A">
      <w:pPr>
        <w:pStyle w:val="Odstavecseseznamem"/>
        <w:numPr>
          <w:ilvl w:val="0"/>
          <w:numId w:val="29"/>
        </w:numPr>
        <w:spacing w:before="120"/>
        <w:jc w:val="both"/>
        <w:rPr>
          <w:rFonts w:ascii="Times New Roman" w:hAnsi="Times New Roman"/>
          <w:b/>
          <w:sz w:val="24"/>
          <w:szCs w:val="24"/>
        </w:rPr>
      </w:pPr>
      <w:r>
        <w:rPr>
          <w:rFonts w:ascii="Times New Roman" w:hAnsi="Times New Roman"/>
          <w:b/>
          <w:sz w:val="24"/>
          <w:szCs w:val="24"/>
        </w:rPr>
        <w:t xml:space="preserve">Další </w:t>
      </w:r>
      <w:r w:rsidRPr="00D90B1A">
        <w:rPr>
          <w:rFonts w:ascii="Times New Roman" w:hAnsi="Times New Roman"/>
          <w:b/>
          <w:sz w:val="24"/>
          <w:szCs w:val="24"/>
        </w:rPr>
        <w:t>p</w:t>
      </w:r>
      <w:r w:rsidR="0004609C" w:rsidRPr="00D90B1A">
        <w:rPr>
          <w:rFonts w:ascii="Times New Roman" w:hAnsi="Times New Roman"/>
          <w:b/>
          <w:sz w:val="24"/>
          <w:szCs w:val="24"/>
        </w:rPr>
        <w:t>odmínky řízení</w:t>
      </w:r>
    </w:p>
    <w:p w:rsidR="0004609C" w:rsidRPr="00D90B1A" w:rsidRDefault="0004609C" w:rsidP="00D90B1A">
      <w:pPr>
        <w:pStyle w:val="Odstavecseseznamem"/>
        <w:numPr>
          <w:ilvl w:val="0"/>
          <w:numId w:val="31"/>
        </w:numPr>
        <w:spacing w:before="120"/>
        <w:jc w:val="both"/>
        <w:rPr>
          <w:rFonts w:ascii="Times New Roman" w:hAnsi="Times New Roman"/>
          <w:b/>
          <w:i/>
          <w:sz w:val="24"/>
          <w:szCs w:val="24"/>
        </w:rPr>
      </w:pPr>
      <w:r w:rsidRPr="00D90B1A">
        <w:rPr>
          <w:rFonts w:ascii="Times New Roman" w:hAnsi="Times New Roman"/>
          <w:b/>
          <w:i/>
          <w:sz w:val="24"/>
          <w:szCs w:val="24"/>
        </w:rPr>
        <w:t>Lhůta</w:t>
      </w:r>
    </w:p>
    <w:p w:rsidR="00A70428" w:rsidRPr="00D90B1A" w:rsidRDefault="0056036B" w:rsidP="00D90B1A">
      <w:pPr>
        <w:pStyle w:val="Odstavecseseznamem"/>
        <w:numPr>
          <w:ilvl w:val="0"/>
          <w:numId w:val="44"/>
        </w:numPr>
        <w:spacing w:before="120"/>
        <w:jc w:val="both"/>
        <w:rPr>
          <w:rFonts w:ascii="Times New Roman" w:hAnsi="Times New Roman"/>
          <w:sz w:val="24"/>
          <w:szCs w:val="24"/>
        </w:rPr>
      </w:pPr>
      <w:r w:rsidRPr="00D90B1A">
        <w:rPr>
          <w:rFonts w:ascii="Times New Roman" w:hAnsi="Times New Roman"/>
          <w:sz w:val="24"/>
          <w:szCs w:val="24"/>
        </w:rPr>
        <w:t>dva měsíce</w:t>
      </w:r>
      <w:r w:rsidR="00A70428" w:rsidRPr="00D90B1A">
        <w:rPr>
          <w:rFonts w:ascii="Times New Roman" w:hAnsi="Times New Roman"/>
          <w:sz w:val="24"/>
          <w:szCs w:val="24"/>
        </w:rPr>
        <w:t xml:space="preserve"> od doručení rozhodnutí o posledním prostředku</w:t>
      </w:r>
      <w:r w:rsidR="00D90B1A" w:rsidRPr="00D90B1A">
        <w:rPr>
          <w:rFonts w:ascii="Times New Roman" w:hAnsi="Times New Roman"/>
          <w:sz w:val="24"/>
          <w:szCs w:val="24"/>
        </w:rPr>
        <w:t xml:space="preserve"> k ochraně práva</w:t>
      </w:r>
    </w:p>
    <w:p w:rsidR="00032F26" w:rsidRDefault="00032F26" w:rsidP="00D90B1A">
      <w:pPr>
        <w:pStyle w:val="Odstavecseseznamem"/>
        <w:numPr>
          <w:ilvl w:val="0"/>
          <w:numId w:val="44"/>
        </w:numPr>
        <w:spacing w:before="120"/>
        <w:jc w:val="both"/>
        <w:rPr>
          <w:rFonts w:ascii="Times New Roman" w:hAnsi="Times New Roman"/>
          <w:sz w:val="24"/>
          <w:szCs w:val="24"/>
        </w:rPr>
      </w:pPr>
      <w:r w:rsidRPr="00D90B1A">
        <w:rPr>
          <w:rFonts w:ascii="Times New Roman" w:hAnsi="Times New Roman"/>
          <w:sz w:val="24"/>
          <w:szCs w:val="24"/>
        </w:rPr>
        <w:t xml:space="preserve">pokud se následně ukáže, že prostředek, o němž se stěžovatel domníval, že je poslední, byl odmítnut jako nepřípustný, postačuje podat stížnost ve lhůtě </w:t>
      </w:r>
      <w:r w:rsidR="0056036B" w:rsidRPr="00D90B1A">
        <w:rPr>
          <w:rFonts w:ascii="Times New Roman" w:hAnsi="Times New Roman"/>
          <w:sz w:val="24"/>
          <w:szCs w:val="24"/>
        </w:rPr>
        <w:t xml:space="preserve">dvou měsíců </w:t>
      </w:r>
      <w:r w:rsidRPr="00D90B1A">
        <w:rPr>
          <w:rFonts w:ascii="Times New Roman" w:hAnsi="Times New Roman"/>
          <w:sz w:val="24"/>
          <w:szCs w:val="24"/>
        </w:rPr>
        <w:t xml:space="preserve">od doručení tohoto rozhodnutí (Důvod: dřívější případy </w:t>
      </w:r>
      <w:r w:rsidRPr="00D90B1A">
        <w:rPr>
          <w:rFonts w:ascii="Times New Roman" w:hAnsi="Times New Roman"/>
          <w:i/>
          <w:sz w:val="24"/>
          <w:szCs w:val="24"/>
        </w:rPr>
        <w:t>denegatio iustitiae</w:t>
      </w:r>
      <w:r w:rsidRPr="00D90B1A">
        <w:rPr>
          <w:rFonts w:ascii="Times New Roman" w:hAnsi="Times New Roman"/>
          <w:sz w:val="24"/>
          <w:szCs w:val="24"/>
        </w:rPr>
        <w:t xml:space="preserve"> v dovolacích řízeních, spočívající v odmítání stížností nejprve pro nepřípustnost a poté pro opožděnost).</w:t>
      </w:r>
    </w:p>
    <w:p w:rsidR="00D90B1A" w:rsidRDefault="00D90B1A" w:rsidP="00D90B1A">
      <w:pPr>
        <w:spacing w:before="120"/>
        <w:jc w:val="both"/>
        <w:rPr>
          <w:sz w:val="24"/>
          <w:szCs w:val="24"/>
        </w:rPr>
      </w:pPr>
    </w:p>
    <w:p w:rsidR="00D90B1A" w:rsidRPr="00D90B1A" w:rsidRDefault="00D90B1A" w:rsidP="00D90B1A">
      <w:pPr>
        <w:pStyle w:val="Odstavecseseznamem"/>
        <w:numPr>
          <w:ilvl w:val="0"/>
          <w:numId w:val="31"/>
        </w:numPr>
        <w:spacing w:before="120"/>
        <w:jc w:val="both"/>
        <w:rPr>
          <w:b/>
          <w:i/>
          <w:sz w:val="24"/>
          <w:szCs w:val="24"/>
        </w:rPr>
      </w:pPr>
      <w:r w:rsidRPr="00D90B1A">
        <w:rPr>
          <w:b/>
          <w:i/>
          <w:sz w:val="24"/>
          <w:szCs w:val="24"/>
        </w:rPr>
        <w:t>Přípustnost (vyčerpání prostředků)</w:t>
      </w:r>
    </w:p>
    <w:p w:rsidR="00D90B1A" w:rsidRDefault="00D90B1A" w:rsidP="00D90B1A">
      <w:pPr>
        <w:numPr>
          <w:ilvl w:val="0"/>
          <w:numId w:val="44"/>
        </w:numPr>
        <w:spacing w:before="120"/>
        <w:jc w:val="both"/>
        <w:rPr>
          <w:sz w:val="24"/>
          <w:szCs w:val="24"/>
        </w:rPr>
      </w:pPr>
      <w:r w:rsidRPr="00D90B1A">
        <w:rPr>
          <w:sz w:val="24"/>
          <w:szCs w:val="24"/>
        </w:rPr>
        <w:t>podmínka vyčerpání všech  procesních prostředků před podáním ústavní stížnosti plyne z její subsidiarity</w:t>
      </w:r>
    </w:p>
    <w:p w:rsidR="00032F26" w:rsidRDefault="00294AA3" w:rsidP="00D90B1A">
      <w:pPr>
        <w:numPr>
          <w:ilvl w:val="0"/>
          <w:numId w:val="44"/>
        </w:numPr>
        <w:spacing w:before="120"/>
        <w:jc w:val="both"/>
        <w:rPr>
          <w:sz w:val="24"/>
          <w:szCs w:val="24"/>
        </w:rPr>
      </w:pPr>
      <w:r w:rsidRPr="00D90B1A">
        <w:rPr>
          <w:sz w:val="24"/>
          <w:szCs w:val="24"/>
        </w:rPr>
        <w:t>nepochybně musí být vždy vyčerpány všechny řádné opravné prostředky</w:t>
      </w:r>
    </w:p>
    <w:p w:rsidR="005D76DA" w:rsidRDefault="00294AA3" w:rsidP="00A21F2D">
      <w:pPr>
        <w:numPr>
          <w:ilvl w:val="0"/>
          <w:numId w:val="44"/>
        </w:numPr>
        <w:spacing w:before="120"/>
        <w:jc w:val="both"/>
        <w:rPr>
          <w:sz w:val="24"/>
          <w:szCs w:val="24"/>
        </w:rPr>
      </w:pPr>
      <w:r w:rsidRPr="00D90B1A">
        <w:rPr>
          <w:sz w:val="24"/>
          <w:szCs w:val="24"/>
        </w:rPr>
        <w:t xml:space="preserve">praxe vyžaduje i bezpodmínečné vyčerpání mimořádných opravných prostředků, pakliže je zřejmé, že jsou v procesní dispozici účastníka (vždy musí být např. před podáním ústavní </w:t>
      </w:r>
      <w:r w:rsidRPr="00A21F2D">
        <w:rPr>
          <w:sz w:val="24"/>
          <w:szCs w:val="24"/>
        </w:rPr>
        <w:t xml:space="preserve">stížnosti podána kasační stížnost, často také dovolání, byť </w:t>
      </w:r>
      <w:r w:rsidR="00950E34" w:rsidRPr="00A21F2D">
        <w:rPr>
          <w:sz w:val="24"/>
          <w:szCs w:val="24"/>
        </w:rPr>
        <w:t xml:space="preserve">to </w:t>
      </w:r>
      <w:r w:rsidRPr="00A21F2D">
        <w:rPr>
          <w:sz w:val="24"/>
          <w:szCs w:val="24"/>
        </w:rPr>
        <w:t>nikoliv vždy)</w:t>
      </w:r>
      <w:r w:rsidR="00A21F2D" w:rsidRPr="00A21F2D">
        <w:rPr>
          <w:sz w:val="24"/>
          <w:szCs w:val="24"/>
        </w:rPr>
        <w:t>. N</w:t>
      </w:r>
      <w:r w:rsidR="005D76DA" w:rsidRPr="00A21F2D">
        <w:rPr>
          <w:sz w:val="24"/>
          <w:szCs w:val="24"/>
        </w:rPr>
        <w:t>utnost vyčerpat i žalobu pro zmatečnost, nikoliv stížnost pro porušení zákona, logicky ani obnovu</w:t>
      </w:r>
      <w:r w:rsidR="00A21F2D">
        <w:rPr>
          <w:sz w:val="24"/>
          <w:szCs w:val="24"/>
        </w:rPr>
        <w:t xml:space="preserve"> řízení.</w:t>
      </w:r>
    </w:p>
    <w:p w:rsidR="00A21F2D" w:rsidRDefault="00A21F2D" w:rsidP="00A21F2D">
      <w:pPr>
        <w:numPr>
          <w:ilvl w:val="0"/>
          <w:numId w:val="44"/>
        </w:numPr>
        <w:spacing w:before="120"/>
        <w:jc w:val="both"/>
        <w:rPr>
          <w:sz w:val="24"/>
          <w:szCs w:val="24"/>
        </w:rPr>
      </w:pPr>
      <w:r>
        <w:rPr>
          <w:sz w:val="24"/>
          <w:szCs w:val="24"/>
        </w:rPr>
        <w:lastRenderedPageBreak/>
        <w:t>Zajímavý bude výklad k nepřijatelnosti kasačních stížností.</w:t>
      </w:r>
    </w:p>
    <w:p w:rsidR="00965E94" w:rsidRDefault="00965E94" w:rsidP="00771064">
      <w:pPr>
        <w:numPr>
          <w:ilvl w:val="0"/>
          <w:numId w:val="44"/>
        </w:numPr>
        <w:spacing w:before="120"/>
        <w:jc w:val="both"/>
        <w:rPr>
          <w:sz w:val="24"/>
          <w:szCs w:val="24"/>
        </w:rPr>
      </w:pPr>
      <w:r w:rsidRPr="00965E94">
        <w:rPr>
          <w:sz w:val="24"/>
          <w:szCs w:val="24"/>
        </w:rPr>
        <w:t>V případě mimořádných opravných prostředků je podstatné, že stěžovatel jej musí podat tak, aby obecnému soudu dal možnost zabývat se jím meritorně. Proto platí stanovisko pléna Ústavního soudu (Pl. ÚS-st. 45/16):</w:t>
      </w:r>
      <w:r>
        <w:rPr>
          <w:sz w:val="24"/>
          <w:szCs w:val="24"/>
        </w:rPr>
        <w:t xml:space="preserve"> „</w:t>
      </w:r>
      <w:r w:rsidRPr="00965E94">
        <w:rPr>
          <w:i/>
          <w:sz w:val="24"/>
          <w:szCs w:val="24"/>
        </w:rPr>
        <w:t>Nevymezí-li dovolatel, v čem spatřuje splnění předpokladů přípustnosti dovolání, je ústavní stížnost proti předchozím rozhodnutím o procesních prostředcích k ochraně práva nepřípustná podle § 75 odst. 1 zákona o Ústavním soudu</w:t>
      </w:r>
      <w:r w:rsidRPr="00965E94">
        <w:rPr>
          <w:sz w:val="24"/>
          <w:szCs w:val="24"/>
        </w:rPr>
        <w:t>.</w:t>
      </w:r>
      <w:r>
        <w:rPr>
          <w:sz w:val="24"/>
          <w:szCs w:val="24"/>
        </w:rPr>
        <w:t>“</w:t>
      </w:r>
    </w:p>
    <w:p w:rsidR="00421988" w:rsidRDefault="00421988" w:rsidP="00575CBF">
      <w:pPr>
        <w:numPr>
          <w:ilvl w:val="0"/>
          <w:numId w:val="44"/>
        </w:numPr>
        <w:spacing w:before="120"/>
        <w:jc w:val="both"/>
        <w:rPr>
          <w:sz w:val="24"/>
          <w:szCs w:val="24"/>
        </w:rPr>
      </w:pPr>
      <w:r w:rsidRPr="00575CBF">
        <w:rPr>
          <w:sz w:val="24"/>
          <w:szCs w:val="24"/>
        </w:rPr>
        <w:t xml:space="preserve">v praxi je </w:t>
      </w:r>
      <w:r w:rsidR="00575CBF">
        <w:rPr>
          <w:sz w:val="24"/>
          <w:szCs w:val="24"/>
        </w:rPr>
        <w:t xml:space="preserve">někdy </w:t>
      </w:r>
      <w:r w:rsidRPr="00575CBF">
        <w:rPr>
          <w:sz w:val="24"/>
          <w:szCs w:val="24"/>
        </w:rPr>
        <w:t>sporný problém vymezení toho, kdy jde o určité uzavřené „malé“ řízení v rámci řízení celého, tzn. kdy sice řízení jako celek ještě běží, nicméně konečná rozhodnutí v</w:t>
      </w:r>
      <w:r w:rsidR="000D115A" w:rsidRPr="00575CBF">
        <w:rPr>
          <w:sz w:val="24"/>
          <w:szCs w:val="24"/>
        </w:rPr>
        <w:t> </w:t>
      </w:r>
      <w:r w:rsidRPr="00575CBF">
        <w:rPr>
          <w:sz w:val="24"/>
          <w:szCs w:val="24"/>
        </w:rPr>
        <w:t>tomto</w:t>
      </w:r>
      <w:r w:rsidR="000D115A" w:rsidRPr="00575CBF">
        <w:rPr>
          <w:sz w:val="24"/>
          <w:szCs w:val="24"/>
        </w:rPr>
        <w:t xml:space="preserve"> </w:t>
      </w:r>
      <w:r w:rsidRPr="00575CBF">
        <w:rPr>
          <w:sz w:val="24"/>
          <w:szCs w:val="24"/>
        </w:rPr>
        <w:t xml:space="preserve">„malém“ řízení jsou zpravidla nevratná. Příklady: odvolací soud přikáže změnu rozhodujícího soudce u soudu I. stupně (zde je judikaturou ústavní stížnost přípustná), </w:t>
      </w:r>
      <w:r w:rsidR="00575CBF">
        <w:rPr>
          <w:sz w:val="24"/>
          <w:szCs w:val="24"/>
        </w:rPr>
        <w:t xml:space="preserve">anebo </w:t>
      </w:r>
      <w:r w:rsidRPr="00575CBF">
        <w:rPr>
          <w:sz w:val="24"/>
          <w:szCs w:val="24"/>
        </w:rPr>
        <w:t xml:space="preserve">je zamítnuta námitka podjatosti proti rozhodujícímu soudci </w:t>
      </w:r>
      <w:r w:rsidR="00575CBF">
        <w:rPr>
          <w:sz w:val="24"/>
          <w:szCs w:val="24"/>
        </w:rPr>
        <w:t xml:space="preserve">či třeba soudnímu znalci </w:t>
      </w:r>
      <w:r w:rsidRPr="00575CBF">
        <w:rPr>
          <w:sz w:val="24"/>
          <w:szCs w:val="24"/>
        </w:rPr>
        <w:t>(zde ústavní stížnost přípustná není).</w:t>
      </w:r>
    </w:p>
    <w:p w:rsidR="00880965" w:rsidRDefault="00880965" w:rsidP="00575CBF">
      <w:pPr>
        <w:numPr>
          <w:ilvl w:val="0"/>
          <w:numId w:val="44"/>
        </w:numPr>
        <w:spacing w:before="120"/>
        <w:jc w:val="both"/>
        <w:rPr>
          <w:sz w:val="24"/>
          <w:szCs w:val="24"/>
        </w:rPr>
      </w:pPr>
      <w:r>
        <w:rPr>
          <w:sz w:val="24"/>
          <w:szCs w:val="24"/>
        </w:rPr>
        <w:t xml:space="preserve">Platí také, že </w:t>
      </w:r>
      <w:r w:rsidR="0055750A">
        <w:rPr>
          <w:sz w:val="24"/>
          <w:szCs w:val="24"/>
        </w:rPr>
        <w:t>není přípustná ústavní stížnost proti kasačnímu rozhodnutí soudu vyššího stupně: jakkoliv je totiž pravdou, že jeho právní  názor je v dalším řízení závazný a je proto téměř jisté, jak celé řízení dopadne, pořád ještě řízení není formálně skončeno.</w:t>
      </w:r>
    </w:p>
    <w:p w:rsidR="0055750A" w:rsidRDefault="0055750A" w:rsidP="00575CBF">
      <w:pPr>
        <w:numPr>
          <w:ilvl w:val="0"/>
          <w:numId w:val="44"/>
        </w:numPr>
        <w:spacing w:before="120"/>
        <w:jc w:val="both"/>
        <w:rPr>
          <w:sz w:val="24"/>
          <w:szCs w:val="24"/>
        </w:rPr>
      </w:pPr>
      <w:r>
        <w:rPr>
          <w:sz w:val="24"/>
          <w:szCs w:val="24"/>
        </w:rPr>
        <w:t>Musí také platit, že tvrzený zásah do práv je již existující, nikoliv pouze potenciální. Příklad: výzva soudu k zaplacení nesprávně vypočteného soudního poplatku se ještě přímo  stěžovatele nedotýká; tímto zásahem bude teprve následné usnesení o zastavení řízení pro nezaplacení soudního poplatku.</w:t>
      </w:r>
    </w:p>
    <w:p w:rsidR="00950E34" w:rsidRPr="0055750A" w:rsidRDefault="007C46FB" w:rsidP="0055750A">
      <w:pPr>
        <w:numPr>
          <w:ilvl w:val="0"/>
          <w:numId w:val="44"/>
        </w:numPr>
        <w:spacing w:before="120"/>
        <w:jc w:val="both"/>
        <w:rPr>
          <w:sz w:val="24"/>
          <w:szCs w:val="24"/>
        </w:rPr>
      </w:pPr>
      <w:r w:rsidRPr="0055750A">
        <w:rPr>
          <w:sz w:val="24"/>
          <w:szCs w:val="24"/>
        </w:rPr>
        <w:t>specifická situace postupu dle § 75 odst. 2 ZÚS: lze prominout nevyčerpání  všech procesních prostředků k ochraně práva</w:t>
      </w:r>
    </w:p>
    <w:p w:rsidR="007C46FB" w:rsidRPr="00D90B1A" w:rsidRDefault="007C46FB" w:rsidP="007C46FB">
      <w:pPr>
        <w:pBdr>
          <w:top w:val="single" w:sz="4" w:space="1" w:color="auto"/>
          <w:left w:val="single" w:sz="4" w:space="4" w:color="auto"/>
          <w:bottom w:val="single" w:sz="4" w:space="1" w:color="auto"/>
          <w:right w:val="single" w:sz="4" w:space="4" w:color="auto"/>
        </w:pBdr>
        <w:spacing w:before="120"/>
        <w:ind w:left="360"/>
        <w:jc w:val="both"/>
        <w:rPr>
          <w:sz w:val="24"/>
          <w:szCs w:val="24"/>
        </w:rPr>
      </w:pPr>
      <w:r w:rsidRPr="00D90B1A">
        <w:rPr>
          <w:sz w:val="24"/>
          <w:szCs w:val="24"/>
          <w:u w:val="single"/>
        </w:rPr>
        <w:t>Důležitá poznámka</w:t>
      </w:r>
      <w:r w:rsidRPr="00D90B1A">
        <w:rPr>
          <w:sz w:val="24"/>
          <w:szCs w:val="24"/>
        </w:rPr>
        <w:t>: Prominout lze pouze nevyčerpání procesních prostředků, nikoliv právní moc napadeného rozhodnutí. To především znamená, že hodlá-li stěžovatel riskovat cestu dle § 75 odst. 2 ZÚS, musí vše „vsadit na jednu kartu“ a ne</w:t>
      </w:r>
      <w:r w:rsidR="00EA2A87" w:rsidRPr="00D90B1A">
        <w:rPr>
          <w:sz w:val="24"/>
          <w:szCs w:val="24"/>
        </w:rPr>
        <w:t xml:space="preserve">smí </w:t>
      </w:r>
      <w:r w:rsidRPr="00D90B1A">
        <w:rPr>
          <w:sz w:val="24"/>
          <w:szCs w:val="24"/>
        </w:rPr>
        <w:t>podat souběžně jiné procesní prostředky (např. odvolání). Nesmí totiž nastávat situace paralelního přezkumu stejného rozhodnutí ve dvou odlišných řízeních dvěma rozdílnými soudy a navíc podle jiných kritérií.</w:t>
      </w:r>
    </w:p>
    <w:p w:rsidR="002863C1" w:rsidRDefault="002863C1" w:rsidP="002863C1">
      <w:pPr>
        <w:spacing w:before="120"/>
        <w:jc w:val="both"/>
        <w:rPr>
          <w:sz w:val="24"/>
          <w:szCs w:val="24"/>
          <w:u w:val="single"/>
        </w:rPr>
      </w:pPr>
    </w:p>
    <w:p w:rsidR="0004609C" w:rsidRPr="00CB58B3" w:rsidRDefault="0004609C" w:rsidP="00D90B1A">
      <w:pPr>
        <w:numPr>
          <w:ilvl w:val="0"/>
          <w:numId w:val="31"/>
        </w:numPr>
        <w:spacing w:before="120"/>
        <w:ind w:left="0" w:firstLine="0"/>
        <w:jc w:val="both"/>
        <w:rPr>
          <w:b/>
          <w:i/>
          <w:sz w:val="24"/>
          <w:szCs w:val="24"/>
        </w:rPr>
      </w:pPr>
      <w:r w:rsidRPr="00CB58B3">
        <w:rPr>
          <w:b/>
          <w:i/>
          <w:sz w:val="24"/>
          <w:szCs w:val="24"/>
        </w:rPr>
        <w:t>Zastoupení advokátem</w:t>
      </w:r>
    </w:p>
    <w:p w:rsidR="00CB58B3" w:rsidRPr="00CB58B3" w:rsidRDefault="002152EA" w:rsidP="00CB58B3">
      <w:pPr>
        <w:pStyle w:val="Odstavecseseznamem"/>
        <w:numPr>
          <w:ilvl w:val="0"/>
          <w:numId w:val="46"/>
        </w:numPr>
        <w:spacing w:before="120"/>
        <w:jc w:val="both"/>
        <w:rPr>
          <w:rFonts w:ascii="Times New Roman" w:hAnsi="Times New Roman"/>
          <w:sz w:val="24"/>
          <w:szCs w:val="24"/>
        </w:rPr>
      </w:pPr>
      <w:r w:rsidRPr="00CB58B3">
        <w:rPr>
          <w:rFonts w:ascii="Times New Roman" w:hAnsi="Times New Roman"/>
          <w:sz w:val="24"/>
          <w:szCs w:val="24"/>
        </w:rPr>
        <w:t>velmi přísný „advokátský proces“, zastoupeni musí být všichni účastníci s výjimkou státních orgánů.</w:t>
      </w:r>
    </w:p>
    <w:p w:rsidR="00227F58" w:rsidRPr="00CB58B3" w:rsidRDefault="002152EA" w:rsidP="00CB58B3">
      <w:pPr>
        <w:pStyle w:val="Odstavecseseznamem"/>
        <w:numPr>
          <w:ilvl w:val="0"/>
          <w:numId w:val="46"/>
        </w:numPr>
        <w:spacing w:before="120"/>
        <w:jc w:val="both"/>
        <w:rPr>
          <w:rFonts w:ascii="Times New Roman" w:hAnsi="Times New Roman"/>
          <w:sz w:val="24"/>
          <w:szCs w:val="24"/>
        </w:rPr>
      </w:pPr>
      <w:r w:rsidRPr="00CB58B3">
        <w:rPr>
          <w:rFonts w:ascii="Times New Roman" w:hAnsi="Times New Roman"/>
          <w:sz w:val="24"/>
          <w:szCs w:val="24"/>
        </w:rPr>
        <w:t xml:space="preserve"> </w:t>
      </w:r>
      <w:r w:rsidR="00227F58" w:rsidRPr="00CB58B3">
        <w:rPr>
          <w:rFonts w:ascii="Times New Roman" w:hAnsi="Times New Roman"/>
          <w:sz w:val="24"/>
          <w:szCs w:val="24"/>
        </w:rPr>
        <w:t xml:space="preserve">Od přijetí  stanoviska pléna Pl. ÚS 42/15-st. </w:t>
      </w:r>
      <w:r w:rsidR="002B4FBA" w:rsidRPr="00CB58B3">
        <w:rPr>
          <w:rFonts w:ascii="Times New Roman" w:hAnsi="Times New Roman"/>
          <w:sz w:val="24"/>
          <w:szCs w:val="24"/>
        </w:rPr>
        <w:t>p</w:t>
      </w:r>
      <w:r w:rsidR="00227F58" w:rsidRPr="00CB58B3">
        <w:rPr>
          <w:rFonts w:ascii="Times New Roman" w:hAnsi="Times New Roman"/>
          <w:sz w:val="24"/>
          <w:szCs w:val="24"/>
        </w:rPr>
        <w:t>latí, že „</w:t>
      </w:r>
      <w:r w:rsidR="00227F58" w:rsidRPr="00CB58B3">
        <w:rPr>
          <w:rFonts w:ascii="Times New Roman" w:hAnsi="Times New Roman"/>
          <w:bCs/>
          <w:i/>
          <w:sz w:val="24"/>
          <w:szCs w:val="24"/>
        </w:rPr>
        <w:t>Je-li účastníkem nebo vedlejším účastníkem řízení před Ústavním soudem advokát, nemusí být podle ustanovení § 30 odst. 1 zákona o Ústavním soudu zastoupen jiným advokátem</w:t>
      </w:r>
      <w:r w:rsidR="00227F58" w:rsidRPr="00CB58B3">
        <w:rPr>
          <w:rFonts w:ascii="Times New Roman" w:hAnsi="Times New Roman"/>
          <w:bCs/>
          <w:sz w:val="24"/>
          <w:szCs w:val="24"/>
        </w:rPr>
        <w:t>.“</w:t>
      </w:r>
      <w:r w:rsidR="00227F58" w:rsidRPr="00CB58B3">
        <w:rPr>
          <w:rFonts w:ascii="Times New Roman" w:hAnsi="Times New Roman"/>
          <w:b/>
          <w:bCs/>
          <w:sz w:val="24"/>
          <w:szCs w:val="24"/>
        </w:rPr>
        <w:t xml:space="preserve"> </w:t>
      </w:r>
    </w:p>
    <w:p w:rsidR="002152EA" w:rsidRPr="005E5765" w:rsidRDefault="002152EA" w:rsidP="00CB58B3">
      <w:pPr>
        <w:pStyle w:val="Odstavecseseznamem"/>
        <w:numPr>
          <w:ilvl w:val="0"/>
          <w:numId w:val="46"/>
        </w:numPr>
        <w:spacing w:before="120"/>
        <w:jc w:val="both"/>
        <w:rPr>
          <w:rFonts w:ascii="Times New Roman" w:hAnsi="Times New Roman"/>
          <w:sz w:val="24"/>
          <w:szCs w:val="24"/>
        </w:rPr>
      </w:pPr>
      <w:r w:rsidRPr="00CB58B3">
        <w:rPr>
          <w:rFonts w:ascii="Times New Roman" w:hAnsi="Times New Roman"/>
          <w:sz w:val="24"/>
          <w:szCs w:val="24"/>
        </w:rPr>
        <w:t xml:space="preserve">lze mít jen jediného  zástupce, plná moc musí být speciální a před ÚS nesmí  </w:t>
      </w:r>
      <w:r w:rsidRPr="005E5765">
        <w:rPr>
          <w:rFonts w:ascii="Times New Roman" w:hAnsi="Times New Roman"/>
          <w:sz w:val="24"/>
          <w:szCs w:val="24"/>
        </w:rPr>
        <w:t>advokáta zastoupit koncipient.</w:t>
      </w:r>
      <w:r w:rsidR="00E11FAF" w:rsidRPr="005E5765">
        <w:rPr>
          <w:rFonts w:ascii="Times New Roman" w:hAnsi="Times New Roman"/>
          <w:sz w:val="24"/>
          <w:szCs w:val="24"/>
        </w:rPr>
        <w:t xml:space="preserve"> Naopak již není vyloučena tzv. substituce.</w:t>
      </w:r>
    </w:p>
    <w:p w:rsidR="00CB58B3" w:rsidRPr="005E5765" w:rsidRDefault="00CB58B3" w:rsidP="00CB58B3">
      <w:pPr>
        <w:pStyle w:val="Odstavecseseznamem"/>
        <w:spacing w:before="120"/>
        <w:ind w:left="720"/>
        <w:jc w:val="both"/>
        <w:rPr>
          <w:rFonts w:ascii="Times New Roman" w:hAnsi="Times New Roman"/>
          <w:sz w:val="24"/>
          <w:szCs w:val="24"/>
        </w:rPr>
      </w:pPr>
    </w:p>
    <w:p w:rsidR="005E5765" w:rsidRPr="005E5765" w:rsidRDefault="004A5591" w:rsidP="00D90B1A">
      <w:pPr>
        <w:numPr>
          <w:ilvl w:val="0"/>
          <w:numId w:val="31"/>
        </w:numPr>
        <w:spacing w:before="120"/>
        <w:ind w:left="0" w:firstLine="0"/>
        <w:jc w:val="both"/>
        <w:rPr>
          <w:b/>
          <w:i/>
          <w:sz w:val="24"/>
          <w:szCs w:val="24"/>
        </w:rPr>
      </w:pPr>
      <w:r w:rsidRPr="005E5765">
        <w:rPr>
          <w:b/>
          <w:i/>
          <w:sz w:val="24"/>
          <w:szCs w:val="24"/>
        </w:rPr>
        <w:t xml:space="preserve">Další </w:t>
      </w:r>
      <w:r w:rsidR="00227F58" w:rsidRPr="005E5765">
        <w:rPr>
          <w:b/>
          <w:i/>
          <w:sz w:val="24"/>
          <w:szCs w:val="24"/>
        </w:rPr>
        <w:t>procesní</w:t>
      </w:r>
      <w:r w:rsidRPr="005E5765">
        <w:rPr>
          <w:b/>
          <w:i/>
          <w:sz w:val="24"/>
          <w:szCs w:val="24"/>
        </w:rPr>
        <w:t xml:space="preserve"> náležitosti </w:t>
      </w:r>
    </w:p>
    <w:p w:rsidR="004A5591" w:rsidRPr="005E5765" w:rsidRDefault="004A5591" w:rsidP="005E5765">
      <w:pPr>
        <w:pStyle w:val="Odstavecseseznamem"/>
        <w:numPr>
          <w:ilvl w:val="0"/>
          <w:numId w:val="47"/>
        </w:numPr>
        <w:spacing w:before="120"/>
        <w:jc w:val="both"/>
        <w:rPr>
          <w:rFonts w:ascii="Times New Roman" w:hAnsi="Times New Roman"/>
          <w:sz w:val="24"/>
          <w:szCs w:val="24"/>
        </w:rPr>
      </w:pPr>
      <w:r w:rsidRPr="005E5765">
        <w:rPr>
          <w:rFonts w:ascii="Times New Roman" w:hAnsi="Times New Roman"/>
          <w:sz w:val="24"/>
          <w:szCs w:val="24"/>
        </w:rPr>
        <w:t>(odpovídající počet stejnopisů, přiložení napadeného rozhodnutí, podpis a datace</w:t>
      </w:r>
      <w:r w:rsidR="001C3942" w:rsidRPr="005E5765">
        <w:rPr>
          <w:rFonts w:ascii="Times New Roman" w:hAnsi="Times New Roman"/>
          <w:sz w:val="24"/>
          <w:szCs w:val="24"/>
        </w:rPr>
        <w:t xml:space="preserve"> ústavní stížnosti</w:t>
      </w:r>
      <w:r w:rsidRPr="005E5765">
        <w:rPr>
          <w:rFonts w:ascii="Times New Roman" w:hAnsi="Times New Roman"/>
          <w:sz w:val="24"/>
          <w:szCs w:val="24"/>
        </w:rPr>
        <w:t>)</w:t>
      </w:r>
    </w:p>
    <w:p w:rsidR="0004609C" w:rsidRPr="00CB58B3" w:rsidRDefault="0004609C" w:rsidP="0004609C">
      <w:pPr>
        <w:spacing w:before="120"/>
        <w:jc w:val="both"/>
        <w:rPr>
          <w:sz w:val="24"/>
          <w:szCs w:val="24"/>
        </w:rPr>
      </w:pPr>
    </w:p>
    <w:p w:rsidR="004E62C3" w:rsidRPr="005E5765" w:rsidRDefault="004E62C3" w:rsidP="00D90B1A">
      <w:pPr>
        <w:numPr>
          <w:ilvl w:val="0"/>
          <w:numId w:val="29"/>
        </w:numPr>
        <w:spacing w:before="120"/>
        <w:jc w:val="both"/>
        <w:rPr>
          <w:b/>
          <w:sz w:val="24"/>
          <w:szCs w:val="24"/>
        </w:rPr>
      </w:pPr>
      <w:r w:rsidRPr="005E5765">
        <w:rPr>
          <w:b/>
          <w:sz w:val="24"/>
          <w:szCs w:val="24"/>
        </w:rPr>
        <w:t>Účastníci a vedlejší účastníci řízení</w:t>
      </w:r>
      <w:r w:rsidR="00FF40BA" w:rsidRPr="005E5765">
        <w:rPr>
          <w:b/>
          <w:sz w:val="24"/>
          <w:szCs w:val="24"/>
        </w:rPr>
        <w:t xml:space="preserve"> (viz § 76 ZÚS)</w:t>
      </w:r>
    </w:p>
    <w:p w:rsidR="004E62C3" w:rsidRPr="005E5765" w:rsidRDefault="004E62C3" w:rsidP="005E5765">
      <w:pPr>
        <w:pStyle w:val="Odstavecseseznamem"/>
        <w:numPr>
          <w:ilvl w:val="0"/>
          <w:numId w:val="47"/>
        </w:numPr>
        <w:spacing w:before="120"/>
        <w:jc w:val="both"/>
        <w:rPr>
          <w:rFonts w:ascii="Times New Roman" w:hAnsi="Times New Roman"/>
          <w:sz w:val="24"/>
          <w:szCs w:val="24"/>
        </w:rPr>
      </w:pPr>
      <w:r w:rsidRPr="005E5765">
        <w:rPr>
          <w:rFonts w:ascii="Times New Roman" w:hAnsi="Times New Roman"/>
          <w:sz w:val="24"/>
          <w:szCs w:val="24"/>
        </w:rPr>
        <w:t>účastníkem je vždy stěžovatel a ten, kdo vydal napadené rozhodnutí (jiný zásah)</w:t>
      </w:r>
    </w:p>
    <w:p w:rsidR="004E62C3" w:rsidRPr="005E5765" w:rsidRDefault="004E62C3" w:rsidP="005E5765">
      <w:pPr>
        <w:pStyle w:val="Odstavecseseznamem"/>
        <w:numPr>
          <w:ilvl w:val="0"/>
          <w:numId w:val="47"/>
        </w:numPr>
        <w:spacing w:before="120"/>
        <w:jc w:val="both"/>
        <w:rPr>
          <w:rFonts w:ascii="Times New Roman" w:hAnsi="Times New Roman"/>
          <w:sz w:val="24"/>
          <w:szCs w:val="24"/>
        </w:rPr>
      </w:pPr>
      <w:r w:rsidRPr="005E5765">
        <w:rPr>
          <w:rFonts w:ascii="Times New Roman" w:hAnsi="Times New Roman"/>
          <w:sz w:val="24"/>
          <w:szCs w:val="24"/>
        </w:rPr>
        <w:t>vedlejším účastníkem je účastník či strana řízení, které podání ústavní stížnosti předcházelo</w:t>
      </w:r>
    </w:p>
    <w:p w:rsidR="004E62C3" w:rsidRPr="005E5765" w:rsidRDefault="004E62C3" w:rsidP="005E5765">
      <w:pPr>
        <w:pStyle w:val="Odstavecseseznamem"/>
        <w:numPr>
          <w:ilvl w:val="0"/>
          <w:numId w:val="47"/>
        </w:numPr>
        <w:spacing w:before="120"/>
        <w:jc w:val="both"/>
        <w:rPr>
          <w:rFonts w:ascii="Times New Roman" w:hAnsi="Times New Roman"/>
          <w:sz w:val="24"/>
          <w:szCs w:val="24"/>
        </w:rPr>
      </w:pPr>
      <w:r w:rsidRPr="005E5765">
        <w:rPr>
          <w:rFonts w:ascii="Times New Roman" w:hAnsi="Times New Roman"/>
          <w:sz w:val="24"/>
          <w:szCs w:val="24"/>
        </w:rPr>
        <w:t>pokud proto napadnete např. jen rozsudek krajského soudu a nikoliv jemu předcházející rozsudek okresního soudu, je účastníkem řízení pouze krajský soud a okresní soud v řízení nevystupuje vůbec.</w:t>
      </w:r>
    </w:p>
    <w:p w:rsidR="00F02481" w:rsidRPr="005E5765" w:rsidRDefault="00F02481" w:rsidP="005E5765">
      <w:pPr>
        <w:pStyle w:val="Odstavecseseznamem"/>
        <w:numPr>
          <w:ilvl w:val="0"/>
          <w:numId w:val="47"/>
        </w:numPr>
        <w:spacing w:before="120"/>
        <w:jc w:val="both"/>
        <w:rPr>
          <w:rFonts w:ascii="Times New Roman" w:hAnsi="Times New Roman"/>
          <w:sz w:val="24"/>
          <w:szCs w:val="24"/>
        </w:rPr>
      </w:pPr>
      <w:r w:rsidRPr="005E5765">
        <w:rPr>
          <w:rFonts w:ascii="Times New Roman" w:hAnsi="Times New Roman"/>
          <w:sz w:val="24"/>
          <w:szCs w:val="24"/>
        </w:rPr>
        <w:t xml:space="preserve">V praxi je poněkud sporné, jak se zachází s vedlejšími účastníky. Převažující praxe: v nálezových věcech se s vedlejšími účastníky jednat musí, u odmítnutí ústavní stížnosti se jim pouze zasílá usnesení (v opačném případě by totiž museli být </w:t>
      </w:r>
      <w:r w:rsidR="005E5765" w:rsidRPr="005E5765">
        <w:rPr>
          <w:rFonts w:ascii="Times New Roman" w:hAnsi="Times New Roman"/>
          <w:sz w:val="24"/>
          <w:szCs w:val="24"/>
        </w:rPr>
        <w:t xml:space="preserve">vždy </w:t>
      </w:r>
      <w:r w:rsidRPr="005E5765">
        <w:rPr>
          <w:rFonts w:ascii="Times New Roman" w:hAnsi="Times New Roman"/>
          <w:sz w:val="24"/>
          <w:szCs w:val="24"/>
        </w:rPr>
        <w:t>vyzýváni k volbě advokáta)</w:t>
      </w:r>
      <w:r w:rsidR="005E5765" w:rsidRPr="005E5765">
        <w:rPr>
          <w:rFonts w:ascii="Times New Roman" w:hAnsi="Times New Roman"/>
          <w:sz w:val="24"/>
          <w:szCs w:val="24"/>
        </w:rPr>
        <w:t xml:space="preserve"> a neuvádějí se ani v záhlaví</w:t>
      </w:r>
      <w:r w:rsidRPr="005E5765">
        <w:rPr>
          <w:rFonts w:ascii="Times New Roman" w:hAnsi="Times New Roman"/>
          <w:sz w:val="24"/>
          <w:szCs w:val="24"/>
        </w:rPr>
        <w:t xml:space="preserve">. </w:t>
      </w:r>
    </w:p>
    <w:p w:rsidR="004E62C3" w:rsidRPr="005E5765" w:rsidRDefault="004E62C3" w:rsidP="004E62C3">
      <w:pPr>
        <w:spacing w:before="120"/>
        <w:jc w:val="both"/>
        <w:rPr>
          <w:sz w:val="24"/>
          <w:szCs w:val="24"/>
        </w:rPr>
      </w:pPr>
    </w:p>
    <w:p w:rsidR="0004609C" w:rsidRPr="005E5765" w:rsidRDefault="0004609C" w:rsidP="00D90B1A">
      <w:pPr>
        <w:numPr>
          <w:ilvl w:val="0"/>
          <w:numId w:val="29"/>
        </w:numPr>
        <w:spacing w:before="120"/>
        <w:jc w:val="both"/>
        <w:rPr>
          <w:b/>
          <w:sz w:val="24"/>
          <w:szCs w:val="24"/>
        </w:rPr>
      </w:pPr>
      <w:r w:rsidRPr="005E5765">
        <w:rPr>
          <w:b/>
          <w:sz w:val="24"/>
          <w:szCs w:val="24"/>
        </w:rPr>
        <w:t>Postup podle § 74 ZÚS</w:t>
      </w:r>
    </w:p>
    <w:p w:rsidR="003A2B89" w:rsidRDefault="003A2B89" w:rsidP="005E5765">
      <w:pPr>
        <w:pStyle w:val="Odstavecseseznamem"/>
        <w:numPr>
          <w:ilvl w:val="0"/>
          <w:numId w:val="48"/>
        </w:numPr>
        <w:spacing w:before="120"/>
        <w:jc w:val="both"/>
        <w:rPr>
          <w:rFonts w:ascii="Times New Roman" w:hAnsi="Times New Roman"/>
          <w:sz w:val="24"/>
          <w:szCs w:val="24"/>
        </w:rPr>
      </w:pPr>
      <w:r w:rsidRPr="005E5765">
        <w:rPr>
          <w:rFonts w:ascii="Times New Roman" w:hAnsi="Times New Roman"/>
          <w:sz w:val="24"/>
          <w:szCs w:val="24"/>
        </w:rPr>
        <w:t xml:space="preserve">jde o případ konkrétní </w:t>
      </w:r>
      <w:r w:rsidR="00D90B1A" w:rsidRPr="005E5765">
        <w:rPr>
          <w:rFonts w:ascii="Times New Roman" w:hAnsi="Times New Roman"/>
          <w:sz w:val="24"/>
          <w:szCs w:val="24"/>
        </w:rPr>
        <w:t xml:space="preserve">(resp. incidenční) </w:t>
      </w:r>
      <w:r w:rsidRPr="005E5765">
        <w:rPr>
          <w:rFonts w:ascii="Times New Roman" w:hAnsi="Times New Roman"/>
          <w:sz w:val="24"/>
          <w:szCs w:val="24"/>
        </w:rPr>
        <w:t>kontroly norem</w:t>
      </w:r>
    </w:p>
    <w:p w:rsidR="003A2B89" w:rsidRDefault="003A2B89" w:rsidP="00226A02">
      <w:pPr>
        <w:pStyle w:val="Odstavecseseznamem"/>
        <w:numPr>
          <w:ilvl w:val="0"/>
          <w:numId w:val="48"/>
        </w:numPr>
        <w:spacing w:before="120"/>
        <w:jc w:val="both"/>
        <w:rPr>
          <w:rFonts w:ascii="Times New Roman" w:hAnsi="Times New Roman"/>
          <w:sz w:val="24"/>
          <w:szCs w:val="24"/>
        </w:rPr>
      </w:pPr>
      <w:r w:rsidRPr="00226A02">
        <w:rPr>
          <w:rFonts w:ascii="Times New Roman" w:hAnsi="Times New Roman"/>
          <w:sz w:val="24"/>
          <w:szCs w:val="24"/>
        </w:rPr>
        <w:t>řízení se fakticky dělí na dvě samostatná: o ústavní stížnosti a o návrhu na zrušení právního předpisu</w:t>
      </w:r>
      <w:r w:rsidR="00474755" w:rsidRPr="00226A02">
        <w:rPr>
          <w:rFonts w:ascii="Times New Roman" w:hAnsi="Times New Roman"/>
          <w:sz w:val="24"/>
          <w:szCs w:val="24"/>
        </w:rPr>
        <w:t xml:space="preserve"> (nejprve rozhoduje plénum, poté teprve tříčlenný senát)</w:t>
      </w:r>
    </w:p>
    <w:p w:rsidR="009140D3" w:rsidRDefault="001916DC" w:rsidP="009140D3">
      <w:pPr>
        <w:pStyle w:val="Odstavecseseznamem"/>
        <w:numPr>
          <w:ilvl w:val="0"/>
          <w:numId w:val="48"/>
        </w:numPr>
        <w:spacing w:before="120"/>
        <w:jc w:val="both"/>
        <w:rPr>
          <w:rFonts w:ascii="Times New Roman" w:hAnsi="Times New Roman"/>
          <w:sz w:val="24"/>
          <w:szCs w:val="24"/>
        </w:rPr>
      </w:pPr>
      <w:r w:rsidRPr="009140D3">
        <w:rPr>
          <w:rFonts w:ascii="Times New Roman" w:hAnsi="Times New Roman"/>
          <w:sz w:val="24"/>
          <w:szCs w:val="24"/>
        </w:rPr>
        <w:t xml:space="preserve">nejprve senát </w:t>
      </w:r>
      <w:r w:rsidR="009140D3">
        <w:rPr>
          <w:rFonts w:ascii="Times New Roman" w:hAnsi="Times New Roman"/>
          <w:sz w:val="24"/>
          <w:szCs w:val="24"/>
        </w:rPr>
        <w:t xml:space="preserve">předběžně </w:t>
      </w:r>
      <w:r w:rsidRPr="009140D3">
        <w:rPr>
          <w:rFonts w:ascii="Times New Roman" w:hAnsi="Times New Roman"/>
          <w:sz w:val="24"/>
          <w:szCs w:val="24"/>
        </w:rPr>
        <w:t>posoudí ústavní stížnost a rozhodne, zda posouzení ústavnosti napadeného předpisu předloží plénu; plénu</w:t>
      </w:r>
      <w:r w:rsidR="009140D3">
        <w:rPr>
          <w:rFonts w:ascii="Times New Roman" w:hAnsi="Times New Roman"/>
          <w:sz w:val="24"/>
          <w:szCs w:val="24"/>
        </w:rPr>
        <w:t>m</w:t>
      </w:r>
      <w:r w:rsidRPr="009140D3">
        <w:rPr>
          <w:rFonts w:ascii="Times New Roman" w:hAnsi="Times New Roman"/>
          <w:sz w:val="24"/>
          <w:szCs w:val="24"/>
        </w:rPr>
        <w:t xml:space="preserve"> </w:t>
      </w:r>
      <w:r w:rsidR="009140D3">
        <w:rPr>
          <w:rFonts w:ascii="Times New Roman" w:hAnsi="Times New Roman"/>
          <w:sz w:val="24"/>
          <w:szCs w:val="24"/>
        </w:rPr>
        <w:t xml:space="preserve">poté </w:t>
      </w:r>
      <w:r w:rsidRPr="009140D3">
        <w:rPr>
          <w:rFonts w:ascii="Times New Roman" w:hAnsi="Times New Roman"/>
          <w:sz w:val="24"/>
          <w:szCs w:val="24"/>
        </w:rPr>
        <w:t>rozhodne o ústavnosti</w:t>
      </w:r>
      <w:r w:rsidR="009140D3">
        <w:rPr>
          <w:rFonts w:ascii="Times New Roman" w:hAnsi="Times New Roman"/>
          <w:sz w:val="24"/>
          <w:szCs w:val="24"/>
        </w:rPr>
        <w:t xml:space="preserve"> aplikovaného předpisu</w:t>
      </w:r>
      <w:r w:rsidRPr="009140D3">
        <w:rPr>
          <w:rFonts w:ascii="Times New Roman" w:hAnsi="Times New Roman"/>
          <w:sz w:val="24"/>
          <w:szCs w:val="24"/>
        </w:rPr>
        <w:t>; věc se vrací senátu a ten definitivně rozhodne o ústavní stížnost</w:t>
      </w:r>
      <w:r w:rsidR="009140D3">
        <w:rPr>
          <w:rFonts w:ascii="Times New Roman" w:hAnsi="Times New Roman"/>
          <w:sz w:val="24"/>
          <w:szCs w:val="24"/>
        </w:rPr>
        <w:t>, přičemž je vázán rozhodnutím</w:t>
      </w:r>
      <w:r w:rsidRPr="009140D3">
        <w:rPr>
          <w:rFonts w:ascii="Times New Roman" w:hAnsi="Times New Roman"/>
          <w:sz w:val="24"/>
          <w:szCs w:val="24"/>
        </w:rPr>
        <w:t xml:space="preserve"> plén</w:t>
      </w:r>
      <w:r w:rsidR="009140D3">
        <w:rPr>
          <w:rFonts w:ascii="Times New Roman" w:hAnsi="Times New Roman"/>
          <w:sz w:val="24"/>
          <w:szCs w:val="24"/>
        </w:rPr>
        <w:t>a</w:t>
      </w:r>
    </w:p>
    <w:p w:rsidR="003A2B89" w:rsidRDefault="001916DC" w:rsidP="009140D3">
      <w:pPr>
        <w:pStyle w:val="Odstavecseseznamem"/>
        <w:numPr>
          <w:ilvl w:val="0"/>
          <w:numId w:val="48"/>
        </w:numPr>
        <w:spacing w:before="120"/>
        <w:jc w:val="both"/>
        <w:rPr>
          <w:rFonts w:ascii="Times New Roman" w:hAnsi="Times New Roman"/>
          <w:sz w:val="24"/>
          <w:szCs w:val="24"/>
        </w:rPr>
      </w:pPr>
      <w:r w:rsidRPr="009140D3">
        <w:rPr>
          <w:rFonts w:ascii="Times New Roman" w:hAnsi="Times New Roman"/>
          <w:sz w:val="24"/>
          <w:szCs w:val="24"/>
        </w:rPr>
        <w:t xml:space="preserve"> </w:t>
      </w:r>
      <w:r w:rsidR="003A2B89" w:rsidRPr="009140D3">
        <w:rPr>
          <w:rFonts w:ascii="Times New Roman" w:hAnsi="Times New Roman"/>
          <w:sz w:val="24"/>
          <w:szCs w:val="24"/>
        </w:rPr>
        <w:t>je nezbytná přímá aplikace napadeného předpisu (jeho části) v rozhodované věci</w:t>
      </w:r>
      <w:r w:rsidR="00AF465E" w:rsidRPr="009140D3">
        <w:rPr>
          <w:rFonts w:ascii="Times New Roman" w:hAnsi="Times New Roman"/>
          <w:sz w:val="24"/>
          <w:szCs w:val="24"/>
        </w:rPr>
        <w:t>, tzn. nelze např.  napadnout celý zákon jen proto, že  bylo v řízení aplikováno jedno jeho ustanovení</w:t>
      </w:r>
    </w:p>
    <w:p w:rsidR="00474755" w:rsidRDefault="00474755" w:rsidP="00E90F5E">
      <w:pPr>
        <w:pStyle w:val="Odstavecseseznamem"/>
        <w:numPr>
          <w:ilvl w:val="0"/>
          <w:numId w:val="48"/>
        </w:numPr>
        <w:spacing w:before="120"/>
        <w:jc w:val="both"/>
        <w:rPr>
          <w:rFonts w:ascii="Times New Roman" w:hAnsi="Times New Roman"/>
          <w:sz w:val="24"/>
          <w:szCs w:val="24"/>
        </w:rPr>
      </w:pPr>
      <w:r w:rsidRPr="00E90F5E">
        <w:rPr>
          <w:rFonts w:ascii="Times New Roman" w:hAnsi="Times New Roman"/>
          <w:sz w:val="24"/>
          <w:szCs w:val="24"/>
        </w:rPr>
        <w:t>v těchto případech proto musí návrh obsahovat argumentaci strukturovanou následně: (1.) napadené ustanovení právního předpisu bylo aplikováno, a to v neprospěch zájmů stěžovatele, (2.) napadené rozhodnutí je protiústavní a proto žádám jeho zrušení, nicméně (3.) jsem si vědom, že skutečný důvod, pro který bylo toto rozhodnutí vydáno, spočívá především v existenci  označeného ustanovení právního předpisu.</w:t>
      </w:r>
    </w:p>
    <w:p w:rsidR="004E62C3" w:rsidRDefault="00E90F5E" w:rsidP="00B9762F">
      <w:pPr>
        <w:pStyle w:val="Odstavecseseznamem"/>
        <w:numPr>
          <w:ilvl w:val="0"/>
          <w:numId w:val="48"/>
        </w:numPr>
        <w:spacing w:before="120"/>
        <w:jc w:val="both"/>
        <w:rPr>
          <w:rFonts w:ascii="Times New Roman" w:hAnsi="Times New Roman"/>
          <w:sz w:val="24"/>
          <w:szCs w:val="24"/>
        </w:rPr>
      </w:pPr>
      <w:r w:rsidRPr="00E90F5E">
        <w:rPr>
          <w:rFonts w:ascii="Times New Roman" w:hAnsi="Times New Roman"/>
          <w:sz w:val="24"/>
          <w:szCs w:val="24"/>
        </w:rPr>
        <w:t>J</w:t>
      </w:r>
      <w:r w:rsidR="001916DC" w:rsidRPr="00E90F5E">
        <w:rPr>
          <w:rFonts w:ascii="Times New Roman" w:hAnsi="Times New Roman"/>
          <w:sz w:val="24"/>
          <w:szCs w:val="24"/>
        </w:rPr>
        <w:t>e</w:t>
      </w:r>
      <w:r w:rsidRPr="00E90F5E">
        <w:rPr>
          <w:rFonts w:ascii="Times New Roman" w:hAnsi="Times New Roman"/>
          <w:sz w:val="24"/>
          <w:szCs w:val="24"/>
        </w:rPr>
        <w:t>-li však</w:t>
      </w:r>
      <w:r w:rsidR="001916DC" w:rsidRPr="00E90F5E">
        <w:rPr>
          <w:rFonts w:ascii="Times New Roman" w:hAnsi="Times New Roman"/>
          <w:sz w:val="24"/>
          <w:szCs w:val="24"/>
        </w:rPr>
        <w:t xml:space="preserve"> ústavní stížnost zjevně neopodstatněná</w:t>
      </w:r>
      <w:r w:rsidRPr="00E90F5E">
        <w:rPr>
          <w:rFonts w:ascii="Times New Roman" w:hAnsi="Times New Roman"/>
          <w:sz w:val="24"/>
          <w:szCs w:val="24"/>
        </w:rPr>
        <w:t xml:space="preserve"> (anebo nejsou splněny  podmínky řízení)</w:t>
      </w:r>
      <w:r w:rsidR="001916DC" w:rsidRPr="00E90F5E">
        <w:rPr>
          <w:rFonts w:ascii="Times New Roman" w:hAnsi="Times New Roman"/>
          <w:sz w:val="24"/>
          <w:szCs w:val="24"/>
        </w:rPr>
        <w:t xml:space="preserve">, sdílí </w:t>
      </w:r>
      <w:r w:rsidRPr="00E90F5E">
        <w:rPr>
          <w:rFonts w:ascii="Times New Roman" w:hAnsi="Times New Roman"/>
          <w:sz w:val="24"/>
          <w:szCs w:val="24"/>
        </w:rPr>
        <w:t xml:space="preserve">akcesorický </w:t>
      </w:r>
      <w:r w:rsidR="001916DC" w:rsidRPr="00E90F5E">
        <w:rPr>
          <w:rFonts w:ascii="Times New Roman" w:hAnsi="Times New Roman"/>
          <w:sz w:val="24"/>
          <w:szCs w:val="24"/>
        </w:rPr>
        <w:t xml:space="preserve">návrh na zrušení </w:t>
      </w:r>
      <w:r w:rsidRPr="00E90F5E">
        <w:rPr>
          <w:rFonts w:ascii="Times New Roman" w:hAnsi="Times New Roman"/>
          <w:sz w:val="24"/>
          <w:szCs w:val="24"/>
        </w:rPr>
        <w:t xml:space="preserve">právního předpisu </w:t>
      </w:r>
      <w:r w:rsidR="001916DC" w:rsidRPr="00E90F5E">
        <w:rPr>
          <w:rFonts w:ascii="Times New Roman" w:hAnsi="Times New Roman"/>
          <w:sz w:val="24"/>
          <w:szCs w:val="24"/>
        </w:rPr>
        <w:t xml:space="preserve">její osud </w:t>
      </w:r>
      <w:r w:rsidRPr="00E90F5E">
        <w:rPr>
          <w:rFonts w:ascii="Times New Roman" w:hAnsi="Times New Roman"/>
          <w:sz w:val="24"/>
          <w:szCs w:val="24"/>
        </w:rPr>
        <w:t xml:space="preserve">a je také odmítnut. Není tím však založena překážka rei iudicata. </w:t>
      </w:r>
    </w:p>
    <w:p w:rsidR="00E90F5E" w:rsidRPr="00E90F5E" w:rsidRDefault="00E90F5E" w:rsidP="00E90F5E">
      <w:pPr>
        <w:pStyle w:val="Odstavecseseznamem"/>
        <w:spacing w:before="120"/>
        <w:ind w:left="720"/>
        <w:jc w:val="both"/>
        <w:rPr>
          <w:rFonts w:ascii="Times New Roman" w:hAnsi="Times New Roman"/>
          <w:sz w:val="24"/>
          <w:szCs w:val="24"/>
        </w:rPr>
      </w:pPr>
    </w:p>
    <w:p w:rsidR="005E17AB" w:rsidRPr="00D90B1A" w:rsidRDefault="00B51E0E" w:rsidP="00D90B1A">
      <w:pPr>
        <w:numPr>
          <w:ilvl w:val="0"/>
          <w:numId w:val="29"/>
        </w:numPr>
        <w:spacing w:before="120"/>
        <w:jc w:val="both"/>
        <w:rPr>
          <w:b/>
          <w:sz w:val="24"/>
          <w:szCs w:val="24"/>
        </w:rPr>
      </w:pPr>
      <w:r w:rsidRPr="00D90B1A">
        <w:rPr>
          <w:b/>
          <w:sz w:val="24"/>
          <w:szCs w:val="24"/>
        </w:rPr>
        <w:t>N</w:t>
      </w:r>
      <w:r w:rsidR="004E62C3" w:rsidRPr="00D90B1A">
        <w:rPr>
          <w:b/>
          <w:sz w:val="24"/>
          <w:szCs w:val="24"/>
        </w:rPr>
        <w:t>ejčastější chyby studentů</w:t>
      </w:r>
      <w:r w:rsidRPr="00D90B1A">
        <w:rPr>
          <w:b/>
          <w:sz w:val="24"/>
          <w:szCs w:val="24"/>
        </w:rPr>
        <w:t xml:space="preserve"> </w:t>
      </w:r>
      <w:r w:rsidR="00E90F5E">
        <w:rPr>
          <w:b/>
          <w:sz w:val="24"/>
          <w:szCs w:val="24"/>
        </w:rPr>
        <w:t xml:space="preserve">při sepisování ústavních stížností </w:t>
      </w:r>
      <w:r w:rsidRPr="00D90B1A">
        <w:rPr>
          <w:b/>
          <w:sz w:val="24"/>
          <w:szCs w:val="24"/>
        </w:rPr>
        <w:t xml:space="preserve">aneb  </w:t>
      </w:r>
      <w:r w:rsidRPr="00D90B1A">
        <w:rPr>
          <w:b/>
          <w:i/>
          <w:sz w:val="24"/>
          <w:szCs w:val="24"/>
        </w:rPr>
        <w:t>jak netrefit správný terč</w:t>
      </w:r>
      <w:r w:rsidR="00D847AF" w:rsidRPr="00D90B1A">
        <w:rPr>
          <w:b/>
          <w:i/>
          <w:sz w:val="24"/>
          <w:szCs w:val="24"/>
        </w:rPr>
        <w:t xml:space="preserve"> (biatlonovu terminologií)</w:t>
      </w:r>
    </w:p>
    <w:p w:rsidR="004E62C3" w:rsidRPr="00D90B1A" w:rsidRDefault="0096372F" w:rsidP="005E17AB">
      <w:pPr>
        <w:numPr>
          <w:ilvl w:val="3"/>
          <w:numId w:val="33"/>
        </w:numPr>
        <w:spacing w:before="120"/>
        <w:ind w:left="0" w:firstLine="0"/>
        <w:jc w:val="both"/>
        <w:rPr>
          <w:sz w:val="24"/>
          <w:szCs w:val="24"/>
        </w:rPr>
      </w:pPr>
      <w:r w:rsidRPr="00D90B1A">
        <w:rPr>
          <w:i/>
          <w:sz w:val="24"/>
          <w:szCs w:val="24"/>
          <w:u w:val="single"/>
        </w:rPr>
        <w:t>Vůbec n</w:t>
      </w:r>
      <w:r w:rsidR="00B51E0E" w:rsidRPr="00D90B1A">
        <w:rPr>
          <w:i/>
          <w:sz w:val="24"/>
          <w:szCs w:val="24"/>
          <w:u w:val="single"/>
        </w:rPr>
        <w:t>ev</w:t>
      </w:r>
      <w:r w:rsidR="007C439C" w:rsidRPr="00D90B1A">
        <w:rPr>
          <w:i/>
          <w:sz w:val="24"/>
          <w:szCs w:val="24"/>
          <w:u w:val="single"/>
        </w:rPr>
        <w:t>idím terče</w:t>
      </w:r>
      <w:r w:rsidR="00B51E0E" w:rsidRPr="00D90B1A">
        <w:rPr>
          <w:sz w:val="24"/>
          <w:szCs w:val="24"/>
        </w:rPr>
        <w:t xml:space="preserve">: </w:t>
      </w:r>
      <w:r w:rsidR="004E62C3" w:rsidRPr="00D90B1A">
        <w:rPr>
          <w:sz w:val="24"/>
          <w:szCs w:val="24"/>
        </w:rPr>
        <w:t>Nepochopení zadání (např. student si neuvědomí, v čí neprospěch vlastně bylo rozhodnutí vydáno a zastupuje  „vítěznou“ stranu</w:t>
      </w:r>
      <w:r w:rsidR="00542330" w:rsidRPr="00D90B1A">
        <w:rPr>
          <w:sz w:val="24"/>
          <w:szCs w:val="24"/>
        </w:rPr>
        <w:t>)</w:t>
      </w:r>
      <w:r w:rsidR="004E62C3" w:rsidRPr="00D90B1A">
        <w:rPr>
          <w:sz w:val="24"/>
          <w:szCs w:val="24"/>
        </w:rPr>
        <w:t>.</w:t>
      </w:r>
    </w:p>
    <w:p w:rsidR="004E62C3" w:rsidRPr="00D90B1A" w:rsidRDefault="00B51E0E" w:rsidP="005E17AB">
      <w:pPr>
        <w:numPr>
          <w:ilvl w:val="3"/>
          <w:numId w:val="33"/>
        </w:numPr>
        <w:spacing w:before="120"/>
        <w:ind w:left="0" w:firstLine="0"/>
        <w:jc w:val="both"/>
        <w:rPr>
          <w:sz w:val="24"/>
          <w:szCs w:val="24"/>
        </w:rPr>
      </w:pPr>
      <w:r w:rsidRPr="00D90B1A">
        <w:rPr>
          <w:i/>
          <w:sz w:val="24"/>
          <w:szCs w:val="24"/>
          <w:u w:val="single"/>
        </w:rPr>
        <w:t>Mířím sice dobře, ale na špatný terč</w:t>
      </w:r>
      <w:r w:rsidRPr="00D90B1A">
        <w:rPr>
          <w:sz w:val="24"/>
          <w:szCs w:val="24"/>
        </w:rPr>
        <w:t xml:space="preserve">: </w:t>
      </w:r>
      <w:r w:rsidR="004E62C3" w:rsidRPr="00D90B1A">
        <w:rPr>
          <w:sz w:val="24"/>
          <w:szCs w:val="24"/>
        </w:rPr>
        <w:t>Chybný petit: není např. napadeno poslední rozhodnutí, které ve věci bylo vydáno.</w:t>
      </w:r>
    </w:p>
    <w:p w:rsidR="004E62C3" w:rsidRPr="00D90B1A" w:rsidRDefault="00B51E0E" w:rsidP="005E17AB">
      <w:pPr>
        <w:numPr>
          <w:ilvl w:val="3"/>
          <w:numId w:val="33"/>
        </w:numPr>
        <w:spacing w:before="120"/>
        <w:ind w:left="0" w:firstLine="0"/>
        <w:jc w:val="both"/>
        <w:rPr>
          <w:sz w:val="24"/>
          <w:szCs w:val="24"/>
        </w:rPr>
      </w:pPr>
      <w:r w:rsidRPr="00D90B1A">
        <w:rPr>
          <w:i/>
          <w:sz w:val="24"/>
          <w:szCs w:val="24"/>
          <w:u w:val="single"/>
        </w:rPr>
        <w:t>Nevím, s kým vlastně soupeřím</w:t>
      </w:r>
      <w:r w:rsidRPr="00D90B1A">
        <w:rPr>
          <w:sz w:val="24"/>
          <w:szCs w:val="24"/>
        </w:rPr>
        <w:t xml:space="preserve">: </w:t>
      </w:r>
      <w:r w:rsidR="004E62C3" w:rsidRPr="00D90B1A">
        <w:rPr>
          <w:sz w:val="24"/>
          <w:szCs w:val="24"/>
        </w:rPr>
        <w:t>Chybné označení účastníků a vedlejších účastníků řízení</w:t>
      </w:r>
      <w:r w:rsidR="00542330" w:rsidRPr="00D90B1A">
        <w:rPr>
          <w:sz w:val="24"/>
          <w:szCs w:val="24"/>
        </w:rPr>
        <w:t>.</w:t>
      </w:r>
    </w:p>
    <w:p w:rsidR="00542330" w:rsidRPr="00D90B1A" w:rsidRDefault="00B51E0E" w:rsidP="005E17AB">
      <w:pPr>
        <w:numPr>
          <w:ilvl w:val="3"/>
          <w:numId w:val="33"/>
        </w:numPr>
        <w:spacing w:before="120"/>
        <w:ind w:left="0" w:firstLine="0"/>
        <w:jc w:val="both"/>
        <w:rPr>
          <w:sz w:val="24"/>
          <w:szCs w:val="24"/>
        </w:rPr>
      </w:pPr>
      <w:r w:rsidRPr="00D90B1A">
        <w:rPr>
          <w:i/>
          <w:sz w:val="24"/>
          <w:szCs w:val="24"/>
          <w:u w:val="single"/>
        </w:rPr>
        <w:lastRenderedPageBreak/>
        <w:t>Posunu si terč blíže k sobě a doufám, že si toho rozhodčí nepovšimne</w:t>
      </w:r>
      <w:r w:rsidRPr="00D90B1A">
        <w:rPr>
          <w:sz w:val="24"/>
          <w:szCs w:val="24"/>
        </w:rPr>
        <w:t xml:space="preserve">: </w:t>
      </w:r>
      <w:r w:rsidR="00542330" w:rsidRPr="00D90B1A">
        <w:rPr>
          <w:sz w:val="24"/>
          <w:szCs w:val="24"/>
        </w:rPr>
        <w:t xml:space="preserve">Pozměněné zadání: student se snaží ulehčit si práci tím, že si v rozporu s napadeným rozsudkem „domyslí“ další okolnosti případu. Kupř. podstatou věci má být  dotčení svobody projevu, nicméně student si bez jakéhokoliv podkladu vymyslí, že v řízení došlo k porušení zákonného soudce či k tzv. opomenutému důkazu a na tom postaví svoji argumentaci. </w:t>
      </w:r>
    </w:p>
    <w:p w:rsidR="00542330" w:rsidRPr="00D90B1A" w:rsidRDefault="00B51E0E" w:rsidP="005E17AB">
      <w:pPr>
        <w:numPr>
          <w:ilvl w:val="3"/>
          <w:numId w:val="33"/>
        </w:numPr>
        <w:spacing w:before="120"/>
        <w:ind w:left="0" w:firstLine="0"/>
        <w:jc w:val="both"/>
        <w:rPr>
          <w:sz w:val="24"/>
          <w:szCs w:val="24"/>
        </w:rPr>
      </w:pPr>
      <w:r w:rsidRPr="00D90B1A">
        <w:rPr>
          <w:i/>
          <w:sz w:val="24"/>
          <w:szCs w:val="24"/>
          <w:u w:val="single"/>
        </w:rPr>
        <w:t>Je mi jedno, čím střílím, hlavně  ať trefím aspoň něco</w:t>
      </w:r>
      <w:r w:rsidRPr="00D90B1A">
        <w:rPr>
          <w:sz w:val="24"/>
          <w:szCs w:val="24"/>
        </w:rPr>
        <w:t xml:space="preserve">: </w:t>
      </w:r>
      <w:r w:rsidR="00542330" w:rsidRPr="00D90B1A">
        <w:rPr>
          <w:sz w:val="24"/>
          <w:szCs w:val="24"/>
        </w:rPr>
        <w:t xml:space="preserve">S tím souvisí </w:t>
      </w:r>
      <w:r w:rsidR="00E12B5E" w:rsidRPr="00D90B1A">
        <w:rPr>
          <w:sz w:val="24"/>
          <w:szCs w:val="24"/>
        </w:rPr>
        <w:t xml:space="preserve">někdy i </w:t>
      </w:r>
      <w:r w:rsidR="00542330" w:rsidRPr="00D90B1A">
        <w:rPr>
          <w:sz w:val="24"/>
          <w:szCs w:val="24"/>
        </w:rPr>
        <w:t xml:space="preserve"> předpřipravování určité univerzální argumentace, kterou student použije na jakýkoliv skutkový a právní případ.  Na první pohled pak sice ústavní stížnost působí hezky, neb obsahuje řadu citovaných judikátů a precizní formulace, nicméně ve skutečnosti je to zcela bezobsažné podání.</w:t>
      </w:r>
    </w:p>
    <w:p w:rsidR="0070335B" w:rsidRPr="00D90B1A" w:rsidRDefault="00B51E0E" w:rsidP="005E17AB">
      <w:pPr>
        <w:numPr>
          <w:ilvl w:val="3"/>
          <w:numId w:val="33"/>
        </w:numPr>
        <w:spacing w:before="120"/>
        <w:ind w:left="0" w:firstLine="0"/>
        <w:jc w:val="both"/>
        <w:rPr>
          <w:sz w:val="24"/>
          <w:szCs w:val="24"/>
        </w:rPr>
      </w:pPr>
      <w:r w:rsidRPr="00D90B1A">
        <w:rPr>
          <w:i/>
          <w:sz w:val="24"/>
          <w:szCs w:val="24"/>
          <w:u w:val="single"/>
        </w:rPr>
        <w:t>Soustředím se na  kvalitu používané zbraně a zcela pomíjím, k čemu vlastně slouží</w:t>
      </w:r>
      <w:r w:rsidRPr="00D90B1A">
        <w:rPr>
          <w:sz w:val="24"/>
          <w:szCs w:val="24"/>
        </w:rPr>
        <w:t xml:space="preserve">: </w:t>
      </w:r>
      <w:r w:rsidR="0070335B" w:rsidRPr="00D90B1A">
        <w:rPr>
          <w:sz w:val="24"/>
          <w:szCs w:val="24"/>
        </w:rPr>
        <w:t>Toto pochybení se velmi překrývá s další chybou: koncentrace výhradně na spravedlivý proces. Právo na spravedlivý proces je zcela odtrhováno od těch práv, která má chránit, a stává se samoúčelným.</w:t>
      </w:r>
    </w:p>
    <w:p w:rsidR="004C7C57" w:rsidRPr="00D90B1A" w:rsidRDefault="00EB54EF" w:rsidP="005E17AB">
      <w:pPr>
        <w:numPr>
          <w:ilvl w:val="3"/>
          <w:numId w:val="33"/>
        </w:numPr>
        <w:spacing w:before="120"/>
        <w:ind w:left="0" w:firstLine="0"/>
        <w:jc w:val="both"/>
        <w:rPr>
          <w:sz w:val="24"/>
          <w:szCs w:val="24"/>
        </w:rPr>
      </w:pPr>
      <w:r w:rsidRPr="00D90B1A">
        <w:rPr>
          <w:i/>
          <w:sz w:val="24"/>
          <w:szCs w:val="24"/>
          <w:u w:val="single"/>
        </w:rPr>
        <w:t>Mám za to, že střelce přede mnou stejně nepřekonám, tak se snažím pouze kopírovat jeho pohyby</w:t>
      </w:r>
      <w:r w:rsidRPr="00D90B1A">
        <w:rPr>
          <w:sz w:val="24"/>
          <w:szCs w:val="24"/>
        </w:rPr>
        <w:t xml:space="preserve">: </w:t>
      </w:r>
      <w:r w:rsidR="004C7C57" w:rsidRPr="00D90B1A">
        <w:rPr>
          <w:sz w:val="24"/>
          <w:szCs w:val="24"/>
        </w:rPr>
        <w:t>Stížnost jen opisuje zadání, průběh předchozího řízení a dříve použitou argumentaci a nemá ambici dodat cokoliv vlastního.</w:t>
      </w:r>
    </w:p>
    <w:p w:rsidR="004C7C57" w:rsidRPr="00D90B1A" w:rsidRDefault="00EB54EF" w:rsidP="005E17AB">
      <w:pPr>
        <w:numPr>
          <w:ilvl w:val="3"/>
          <w:numId w:val="33"/>
        </w:numPr>
        <w:spacing w:before="120"/>
        <w:ind w:left="0" w:firstLine="0"/>
        <w:jc w:val="both"/>
        <w:rPr>
          <w:sz w:val="24"/>
          <w:szCs w:val="24"/>
        </w:rPr>
      </w:pPr>
      <w:r w:rsidRPr="00D90B1A">
        <w:rPr>
          <w:i/>
          <w:sz w:val="24"/>
          <w:szCs w:val="24"/>
          <w:u w:val="single"/>
        </w:rPr>
        <w:t>Je lepší být první v české vísce než druhý na mezinárodním poli</w:t>
      </w:r>
      <w:r w:rsidRPr="00D90B1A">
        <w:rPr>
          <w:sz w:val="24"/>
          <w:szCs w:val="24"/>
        </w:rPr>
        <w:t xml:space="preserve">: </w:t>
      </w:r>
      <w:r w:rsidR="004C7C57" w:rsidRPr="00D90B1A">
        <w:rPr>
          <w:sz w:val="24"/>
          <w:szCs w:val="24"/>
        </w:rPr>
        <w:t>Jen velmi zřídka  si student uvědomí, že  základní práva jsou zaručena nejen na vnitrostátní, nýbrž též mezinárodní úrovni. Chybí tak označení  např. dotčených článků evropské Úmluvy.</w:t>
      </w:r>
    </w:p>
    <w:p w:rsidR="007C439C" w:rsidRPr="00D90B1A" w:rsidRDefault="007C439C" w:rsidP="005E17AB">
      <w:pPr>
        <w:numPr>
          <w:ilvl w:val="3"/>
          <w:numId w:val="33"/>
        </w:numPr>
        <w:spacing w:before="120"/>
        <w:ind w:left="0" w:firstLine="0"/>
        <w:jc w:val="both"/>
        <w:rPr>
          <w:sz w:val="24"/>
          <w:szCs w:val="24"/>
        </w:rPr>
      </w:pPr>
      <w:r w:rsidRPr="00D90B1A">
        <w:rPr>
          <w:i/>
          <w:sz w:val="24"/>
          <w:szCs w:val="24"/>
          <w:u w:val="single"/>
        </w:rPr>
        <w:t>Tak dlouho mířím, až nestihnu vystřelit</w:t>
      </w:r>
      <w:r w:rsidRPr="00D90B1A">
        <w:rPr>
          <w:sz w:val="24"/>
          <w:szCs w:val="24"/>
        </w:rPr>
        <w:t xml:space="preserve">: </w:t>
      </w:r>
      <w:r w:rsidR="00A34695" w:rsidRPr="00D90B1A">
        <w:rPr>
          <w:sz w:val="24"/>
          <w:szCs w:val="24"/>
        </w:rPr>
        <w:t>Student se natolik koncentruje na naraci příběhu, aby na něco nezapomněl, že mu dojdou síly a prakticky vůbec  se tak ÚS nedozví, proč vlastně by měl návrhu vyhovět.</w:t>
      </w:r>
    </w:p>
    <w:p w:rsidR="00FB33DD" w:rsidRPr="00D90B1A" w:rsidRDefault="00FB33DD" w:rsidP="00FB33DD">
      <w:pPr>
        <w:spacing w:after="120"/>
        <w:jc w:val="center"/>
        <w:rPr>
          <w:b/>
          <w:sz w:val="24"/>
          <w:szCs w:val="24"/>
        </w:rPr>
      </w:pPr>
    </w:p>
    <w:p w:rsidR="00FB33DD" w:rsidRPr="00A646C2" w:rsidRDefault="00FB33DD" w:rsidP="00A646C2">
      <w:pPr>
        <w:pStyle w:val="Odstavecseseznamem"/>
        <w:numPr>
          <w:ilvl w:val="0"/>
          <w:numId w:val="29"/>
        </w:numPr>
        <w:spacing w:after="120"/>
        <w:jc w:val="center"/>
        <w:rPr>
          <w:rFonts w:ascii="Times New Roman" w:hAnsi="Times New Roman"/>
          <w:b/>
          <w:sz w:val="24"/>
          <w:szCs w:val="24"/>
        </w:rPr>
      </w:pPr>
      <w:r w:rsidRPr="00A646C2">
        <w:rPr>
          <w:rFonts w:ascii="Times New Roman" w:hAnsi="Times New Roman"/>
          <w:b/>
          <w:sz w:val="24"/>
          <w:szCs w:val="24"/>
        </w:rPr>
        <w:t>Čeho se při psaní ústavní stížnosti (zejména) vyvarovat</w:t>
      </w:r>
      <w:r w:rsidR="00A646C2">
        <w:rPr>
          <w:rFonts w:ascii="Times New Roman" w:hAnsi="Times New Roman"/>
          <w:b/>
          <w:sz w:val="24"/>
          <w:szCs w:val="24"/>
        </w:rPr>
        <w:t xml:space="preserve"> </w:t>
      </w:r>
      <w:r w:rsidR="00B77B5D">
        <w:rPr>
          <w:rFonts w:ascii="Times New Roman" w:hAnsi="Times New Roman"/>
          <w:b/>
          <w:sz w:val="24"/>
          <w:szCs w:val="24"/>
        </w:rPr>
        <w:t xml:space="preserve">aneb dobře míněná </w:t>
      </w:r>
      <w:bookmarkStart w:id="0" w:name="_GoBack"/>
      <w:bookmarkEnd w:id="0"/>
      <w:r w:rsidR="00A646C2">
        <w:rPr>
          <w:rFonts w:ascii="Times New Roman" w:hAnsi="Times New Roman"/>
          <w:b/>
          <w:sz w:val="24"/>
          <w:szCs w:val="24"/>
        </w:rPr>
        <w:t xml:space="preserve"> doporučení pro současné a budoucí advokáty</w:t>
      </w:r>
    </w:p>
    <w:p w:rsidR="00FB33DD" w:rsidRPr="00D90B1A" w:rsidRDefault="00FB33DD" w:rsidP="00FB33DD">
      <w:pPr>
        <w:numPr>
          <w:ilvl w:val="0"/>
          <w:numId w:val="34"/>
        </w:numPr>
        <w:spacing w:after="120"/>
        <w:ind w:left="0" w:firstLine="0"/>
        <w:jc w:val="both"/>
        <w:rPr>
          <w:b/>
          <w:i/>
          <w:sz w:val="24"/>
          <w:szCs w:val="24"/>
        </w:rPr>
      </w:pPr>
      <w:r w:rsidRPr="00D90B1A">
        <w:rPr>
          <w:b/>
          <w:i/>
          <w:sz w:val="24"/>
          <w:szCs w:val="24"/>
        </w:rPr>
        <w:t>Není dána přímá úměra mezi délkou podání a jeho úspěšností</w:t>
      </w:r>
    </w:p>
    <w:p w:rsidR="00FB33DD" w:rsidRPr="00D90B1A" w:rsidRDefault="00FB33DD" w:rsidP="00FB33DD">
      <w:pPr>
        <w:spacing w:after="120"/>
        <w:jc w:val="both"/>
        <w:rPr>
          <w:sz w:val="24"/>
          <w:szCs w:val="24"/>
        </w:rPr>
      </w:pPr>
      <w:r w:rsidRPr="00D90B1A">
        <w:rPr>
          <w:sz w:val="24"/>
          <w:szCs w:val="24"/>
        </w:rPr>
        <w:t xml:space="preserve">Již z klasického filmu Postřižiny víme, že je doba zkracování. V současnosti, kdy jsou dány prakticky neomezené informační možnosti a zdroje a kdy přetažení souboru trvá pár sekund, již nikdo nikoho neoslní, pokud podání soudu sepíše na desítkách či dokonce stovkách stran. Naopak, zbytečně se tím přidělává práce, protože podstatu téměř každého problému lze shrnout velmi stručně. Zejména proto doporučuji při citaci judikatury odkázat pouze na právní věty, které se přímo týkají daného problému. Velkým nešvarem je naopak podání připomínající spíše jakousi koláž volně poslepovanou ze sáhodlouhých citací, ve které je značně obtížné se zorientovat a dobrat se podstaty sdělované informace a vlastní argumentace stěžovatele. </w:t>
      </w:r>
    </w:p>
    <w:p w:rsidR="00FB33DD" w:rsidRPr="00D90B1A" w:rsidRDefault="00FB33DD" w:rsidP="00FB33DD">
      <w:pPr>
        <w:numPr>
          <w:ilvl w:val="0"/>
          <w:numId w:val="34"/>
        </w:numPr>
        <w:spacing w:after="120"/>
        <w:ind w:left="0" w:firstLine="0"/>
        <w:jc w:val="both"/>
        <w:rPr>
          <w:b/>
          <w:i/>
          <w:sz w:val="24"/>
          <w:szCs w:val="24"/>
        </w:rPr>
      </w:pPr>
      <w:r w:rsidRPr="00D90B1A">
        <w:rPr>
          <w:b/>
          <w:i/>
          <w:sz w:val="24"/>
          <w:szCs w:val="24"/>
        </w:rPr>
        <w:t>Je žádoucí pracovat s dřívější judikaturou – avšak vždy korektně</w:t>
      </w:r>
    </w:p>
    <w:p w:rsidR="00FB33DD" w:rsidRPr="00D90B1A" w:rsidRDefault="00FB33DD" w:rsidP="00FB33DD">
      <w:pPr>
        <w:pStyle w:val="Odstavecseseznamem"/>
        <w:spacing w:after="120"/>
        <w:ind w:left="0"/>
        <w:jc w:val="both"/>
        <w:rPr>
          <w:rFonts w:ascii="Times New Roman" w:hAnsi="Times New Roman"/>
          <w:sz w:val="24"/>
          <w:szCs w:val="24"/>
        </w:rPr>
      </w:pPr>
      <w:r w:rsidRPr="00D90B1A">
        <w:rPr>
          <w:rFonts w:ascii="Times New Roman" w:hAnsi="Times New Roman"/>
          <w:sz w:val="24"/>
          <w:szCs w:val="24"/>
        </w:rPr>
        <w:t>V současnosti práce s judikaturou již není něčím nadstandardním, nýbrž jedná se o holou nezbytnost, chce-li být navrhovatel úspěšný. Pokud proto stěžovatel (resp. jeho zástupce) chce přesvědčit soud o tom, že by mu mělo být vyhověno, je nanejvýš žádoucí předestřít např. argumentaci, z níž plyne, že v podobných případech v minulosti již bylo vyhověno. V tomto směru však upozorňuji především na dvě úskalí.</w:t>
      </w:r>
    </w:p>
    <w:p w:rsidR="00FB33DD" w:rsidRPr="00D90B1A" w:rsidRDefault="00FB33DD" w:rsidP="00FB33DD">
      <w:pPr>
        <w:pStyle w:val="Odstavecseseznamem"/>
        <w:spacing w:after="120"/>
        <w:ind w:left="0"/>
        <w:jc w:val="both"/>
        <w:rPr>
          <w:rFonts w:ascii="Times New Roman" w:hAnsi="Times New Roman"/>
          <w:sz w:val="24"/>
          <w:szCs w:val="24"/>
        </w:rPr>
      </w:pPr>
      <w:r w:rsidRPr="00D90B1A">
        <w:rPr>
          <w:rFonts w:ascii="Times New Roman" w:hAnsi="Times New Roman"/>
          <w:sz w:val="24"/>
          <w:szCs w:val="24"/>
        </w:rPr>
        <w:t xml:space="preserve">Za prvé, setkal jsem se v minulosti s případy, kdy byla citována tzv. narativní část odůvodnění a nikoliv vlastní argumentace soudu. Navrhovatel tak dovozoval, že by měl v řízení uspět, odkazem na právní názor, který však nevyslovil daný soud, nýbrž účastníci </w:t>
      </w:r>
      <w:r w:rsidRPr="00D90B1A">
        <w:rPr>
          <w:rFonts w:ascii="Times New Roman" w:hAnsi="Times New Roman"/>
          <w:sz w:val="24"/>
          <w:szCs w:val="24"/>
        </w:rPr>
        <w:lastRenderedPageBreak/>
        <w:t>předchozího řízení, přičemž názor daného soudu byl dokonce opačný – tedy pro navrhovatele nepříznivý. Je proto namístě odkazovat zásadně jen na nosné důvody  příslušného rozhodnutí, tedy na skutečný názor samotného soudu. Není vždy optimální argumentovat ani tou částí odůvodnění, vyslovenou jako obiter dictum; byť v tomto případě tato argumentace někdy může vést k úspěchu.</w:t>
      </w:r>
    </w:p>
    <w:p w:rsidR="00FB33DD" w:rsidRPr="00D90B1A" w:rsidRDefault="00FB33DD" w:rsidP="00FB33DD">
      <w:pPr>
        <w:pStyle w:val="Odstavecseseznamem"/>
        <w:spacing w:after="120"/>
        <w:ind w:left="0"/>
        <w:jc w:val="both"/>
        <w:rPr>
          <w:rFonts w:ascii="Times New Roman" w:hAnsi="Times New Roman"/>
          <w:sz w:val="24"/>
          <w:szCs w:val="24"/>
        </w:rPr>
      </w:pPr>
      <w:r w:rsidRPr="00D90B1A">
        <w:rPr>
          <w:rFonts w:ascii="Times New Roman" w:hAnsi="Times New Roman"/>
          <w:sz w:val="24"/>
          <w:szCs w:val="24"/>
        </w:rPr>
        <w:t>Za druhé, je třeba bedlivě sledovat, jaká judikatura je citována. Pokud totiž stěžovatel poukáže např. na rozhodnutí Nejvyššího soudu, které bylo následně Ústavním soudem zrušeno jako protiústavní, příliš si nepomůže. Při citaci judikatury Ústavního soudu je pak nutno odlišovat mezi nálezy a usneseními, kdy pouze nálezy lze za určitých okolností vykládat jako precedenčně závazné, a také mezi tím, kdy daný nález byl vydán, tzn. zda v mezičase již nebyl fakticky překonán.</w:t>
      </w:r>
    </w:p>
    <w:p w:rsidR="00FB33DD" w:rsidRPr="00D90B1A" w:rsidRDefault="00FB33DD" w:rsidP="00FB33DD">
      <w:pPr>
        <w:pStyle w:val="Odstavecseseznamem"/>
        <w:spacing w:after="120"/>
        <w:ind w:left="0"/>
        <w:jc w:val="both"/>
        <w:rPr>
          <w:rFonts w:ascii="Times New Roman" w:hAnsi="Times New Roman"/>
          <w:sz w:val="24"/>
          <w:szCs w:val="24"/>
        </w:rPr>
      </w:pPr>
      <w:r w:rsidRPr="00D90B1A">
        <w:rPr>
          <w:rFonts w:ascii="Times New Roman" w:hAnsi="Times New Roman"/>
          <w:sz w:val="24"/>
          <w:szCs w:val="24"/>
        </w:rPr>
        <w:t xml:space="preserve">Při jakékoliv citaci je rovněž nutno uvádět její zdroje. V případě judikatury je proto namístě označit rozhodující soud, datum a spisovou značku rozhodnutí tak, aby tato citace mohla být dohledána. Zbytečné jsou floskule typu „je obecně z judikatury známo, že“, „daný právní názor má oporu v ustálené judikatuře soudů“ atp. </w:t>
      </w:r>
    </w:p>
    <w:p w:rsidR="00FB33DD" w:rsidRPr="00D90B1A" w:rsidRDefault="00FB33DD" w:rsidP="00FB33DD">
      <w:pPr>
        <w:numPr>
          <w:ilvl w:val="0"/>
          <w:numId w:val="34"/>
        </w:numPr>
        <w:spacing w:after="120"/>
        <w:ind w:left="0" w:firstLine="0"/>
        <w:jc w:val="both"/>
        <w:rPr>
          <w:b/>
          <w:i/>
          <w:sz w:val="24"/>
          <w:szCs w:val="24"/>
        </w:rPr>
      </w:pPr>
      <w:r w:rsidRPr="00D90B1A">
        <w:rPr>
          <w:b/>
          <w:i/>
          <w:sz w:val="24"/>
          <w:szCs w:val="24"/>
        </w:rPr>
        <w:t>Žádná citace nemá být samoúčelná</w:t>
      </w:r>
    </w:p>
    <w:p w:rsidR="00FB33DD" w:rsidRPr="00FB33DD" w:rsidRDefault="00FB33DD" w:rsidP="00FB33DD">
      <w:pPr>
        <w:spacing w:after="120"/>
        <w:jc w:val="both"/>
        <w:rPr>
          <w:sz w:val="24"/>
          <w:szCs w:val="24"/>
        </w:rPr>
      </w:pPr>
      <w:r w:rsidRPr="00D90B1A">
        <w:rPr>
          <w:sz w:val="24"/>
          <w:szCs w:val="24"/>
        </w:rPr>
        <w:t>Při práci s jakýmikoliv prameny je třeba dbát na to, že i pro ně může platit okřídlené rčení o „dobrém sluhovi a špatném pánovi“. Opakovaně jsem se např. setkal se situací, kdy zástupce stěžovatele pro potvrzení správnosti</w:t>
      </w:r>
      <w:r w:rsidRPr="00FB33DD">
        <w:rPr>
          <w:sz w:val="24"/>
          <w:szCs w:val="24"/>
        </w:rPr>
        <w:t xml:space="preserve">  svých názorů odkazoval na odbornou literaturu, kterou však představovaly (quazi)odborné články stejného autora. Došlo tak k tomu, že validitu svého názoru  autor potvrzoval opět vlastním názorem, čímž se jen zesměšnil. Rovněž je třeba dbát, o jak seriózní citovaný zdroj se jedná, zda se použitá citace vztahuje ke srovnatelnému případu, zda se  netýká již překonané právní úpravy apod. </w:t>
      </w:r>
    </w:p>
    <w:p w:rsidR="00FB33DD" w:rsidRPr="00FB33DD" w:rsidRDefault="00FB33DD" w:rsidP="00FB33DD">
      <w:pPr>
        <w:numPr>
          <w:ilvl w:val="0"/>
          <w:numId w:val="34"/>
        </w:numPr>
        <w:spacing w:after="120"/>
        <w:jc w:val="both"/>
        <w:rPr>
          <w:b/>
          <w:i/>
          <w:sz w:val="24"/>
          <w:szCs w:val="24"/>
        </w:rPr>
      </w:pPr>
      <w:r w:rsidRPr="00FB33DD">
        <w:rPr>
          <w:b/>
          <w:i/>
          <w:sz w:val="24"/>
          <w:szCs w:val="24"/>
        </w:rPr>
        <w:t>Scylla a Charybda ústavněprávní argumentace</w:t>
      </w:r>
    </w:p>
    <w:p w:rsidR="00FB33DD" w:rsidRPr="00FB33DD" w:rsidRDefault="00FB33DD" w:rsidP="00FB33DD">
      <w:pPr>
        <w:spacing w:after="120"/>
        <w:jc w:val="both"/>
        <w:rPr>
          <w:sz w:val="24"/>
          <w:szCs w:val="24"/>
        </w:rPr>
      </w:pPr>
      <w:r w:rsidRPr="00FB33DD">
        <w:rPr>
          <w:sz w:val="24"/>
          <w:szCs w:val="24"/>
        </w:rPr>
        <w:t>Jsem si dobře vědom toho, že se pisatel ústavní stížnosti mnohdy oprávněně cítí v pasti. Na straně jedné se totiž dozví, že jen opakuje argumentaci, uplatněnou již v předchozím řízení před obecnými soudy a protože Ústavní soud není obecným soudům nadřazen ani nadřízen, nepředstavuje jejich další instanci a není proto jeho úkolem ani přehodnocovat jejich argumentaci, stížnost musí být odmítnuta jako zjevně neopodstatněná. Na straně druhé si však může stěžovatel jindy přečíst, že jeho pochybení spočívá v tom, že některé argumenty uplatňuje poprvé až v ústavní stížnosti a jelikož Ústavní soud je vybaven výhradně kasační pravomocí a respektuje materiální pojetí subsidiarity, nemůže zrušit napadené rozhodnutí obecného soudu  z důvodů, které před ním stěžovatel vůbec neuplatnil a nedal mu tak možnost se s nimi vypořádat. Stěžovatel tak nabývá pocitu, že pluje někde mezi Scyllou a Charybdou, přičemž do průplavu mezi těmito dvěma póly se v podstatě nelze strefit.</w:t>
      </w:r>
    </w:p>
    <w:p w:rsidR="00FB33DD" w:rsidRPr="00FB33DD" w:rsidRDefault="00FB33DD" w:rsidP="00FB33DD">
      <w:pPr>
        <w:spacing w:after="120"/>
        <w:jc w:val="both"/>
        <w:rPr>
          <w:sz w:val="24"/>
          <w:szCs w:val="24"/>
        </w:rPr>
      </w:pPr>
      <w:r w:rsidRPr="00FB33DD">
        <w:rPr>
          <w:sz w:val="24"/>
          <w:szCs w:val="24"/>
        </w:rPr>
        <w:t xml:space="preserve">Řešení doporučuji následující. Určitě je nezbytné uplatnit veškerou právní argumentaci již v řízení před obecnými soudy, a to včetně argumentace ústavněprávní, a neschovávat si ji „v rukávu“ na pozdější dobu. Podle čl. 4 Ústavy jsou totiž základní práva pod ochranou veškeré soudní moci, nikoliv jen Ústavního soudu. Argumentace použitá následně v ústavní stížnosti by však měla být již oproštěna od konkrétních skutkových námitek, od poukazů na možný (a udržitelný!) dvojí výklad podústavního práva či od obsáhlé rekapitulace předchozího řízení (zřejmě podle motta – „když už to mám jednou v počítači, tak to přece nebudu mazat“). Podstata ústavněprávní argumentace se totiž musí koncentrovat výhradně na tvrzené porušení základních práv. Je proto namístě dohledat </w:t>
      </w:r>
      <w:r w:rsidRPr="00FB33DD">
        <w:rPr>
          <w:sz w:val="24"/>
          <w:szCs w:val="24"/>
        </w:rPr>
        <w:lastRenderedPageBreak/>
        <w:t>relevantní judikaturu, seznámit se s lidskoprávní doktrínou a akcentovat tu argumentaci z řízení před obecnými soudy, která se týká právě ústavní roviny.</w:t>
      </w:r>
    </w:p>
    <w:p w:rsidR="00FB33DD" w:rsidRPr="00FB33DD" w:rsidRDefault="00FB33DD" w:rsidP="00FB33DD">
      <w:pPr>
        <w:numPr>
          <w:ilvl w:val="0"/>
          <w:numId w:val="34"/>
        </w:numPr>
        <w:spacing w:after="120"/>
        <w:ind w:left="0" w:firstLine="0"/>
        <w:jc w:val="both"/>
        <w:rPr>
          <w:b/>
          <w:i/>
          <w:sz w:val="24"/>
          <w:szCs w:val="24"/>
        </w:rPr>
      </w:pPr>
      <w:r w:rsidRPr="00FB33DD">
        <w:rPr>
          <w:b/>
          <w:i/>
          <w:sz w:val="24"/>
          <w:szCs w:val="24"/>
        </w:rPr>
        <w:t>I advokátní profese je běh na dlouhou trať</w:t>
      </w:r>
    </w:p>
    <w:p w:rsidR="00FB33DD" w:rsidRPr="00FB33DD" w:rsidRDefault="00FB33DD" w:rsidP="00FB33DD">
      <w:pPr>
        <w:spacing w:after="120"/>
        <w:jc w:val="both"/>
        <w:rPr>
          <w:sz w:val="24"/>
          <w:szCs w:val="24"/>
        </w:rPr>
      </w:pPr>
      <w:r w:rsidRPr="00FB33DD">
        <w:rPr>
          <w:sz w:val="24"/>
          <w:szCs w:val="24"/>
        </w:rPr>
        <w:t>Zřejmě žádný český soudce by si nedovolil říci advokátovi něco podobného jako soudkyně Fiona ve výborném právnickém románu Iana McEwana „Myslete na děti“: „</w:t>
      </w:r>
      <w:r w:rsidRPr="00B77B5D">
        <w:rPr>
          <w:i/>
          <w:sz w:val="24"/>
          <w:szCs w:val="24"/>
        </w:rPr>
        <w:t>Očekávala bych, že se za svého klienta budete červenat</w:t>
      </w:r>
      <w:r w:rsidRPr="00FB33DD">
        <w:rPr>
          <w:sz w:val="24"/>
          <w:szCs w:val="24"/>
        </w:rPr>
        <w:t xml:space="preserve">.“ </w:t>
      </w:r>
    </w:p>
    <w:p w:rsidR="00FB33DD" w:rsidRPr="00FB33DD" w:rsidRDefault="00FB33DD" w:rsidP="00FB33DD">
      <w:pPr>
        <w:spacing w:after="120"/>
        <w:jc w:val="both"/>
        <w:rPr>
          <w:sz w:val="24"/>
          <w:szCs w:val="24"/>
        </w:rPr>
      </w:pPr>
      <w:r w:rsidRPr="00FB33DD">
        <w:rPr>
          <w:sz w:val="24"/>
          <w:szCs w:val="24"/>
        </w:rPr>
        <w:t>Platí však, že každá soustavná lidská činnost je dlouhodobá a nese skutečné plody až po delším čase. Nejinak je tomu i u advokátů, kteří zastupují (mimo jiné) stěžovatele u Ústavního soudu. Z praxe mohu potvrdit, že advokát, který má za sebou již celou řádku podání, si buduje dobré či špatné jméno. Jsou advokáti, u nichž se dopředu ví, že jejich argumentace je pečlivá, přesvědčivá, nefabuluje se skutečnostmi a je i pro soudce radost s ní pracovat (neb platí, že „soupeř dělá výkon“). Naopak jiní advokáti si získají pověst nepříliš intelektuálně jiskřivých právních nedouků, kde občasné vítězství jejich klientů u soudů by mělo být spíše vykládáno tak, že klienti vyhráli navzdory svému právnímu zástupci. Je také kategorie advokátů, o nichž se ví, že lžou, chovají se agresivně a pro svého klienta jsou schopni použít prakticky cokoliv. Možná, že v jednom případě to může vést k vítězství, dlouhodobě se však jedná o jednoznačnou prohru. Jakkoliv totiž každý dobře ví, že i právník pracuje jen s takovým „materiálem“, který dostane, pozná se dobrý kuchař právě podle toho, že přípravu dobrého oběda zvládne z nepříliš kvalitních surovin, a naopak mizerný kuchař zkazí i prvotřídní maso. Podobně každý soudce ví, že s některým případem se prostě nedá nic dělat a pokud klient naléhá, musí ji jeho právní zástupce sepsat a podat. Ani v tomto případě však není důvod, aby byla zjevně odbytá či obsahující nepravdy.</w:t>
      </w:r>
    </w:p>
    <w:p w:rsidR="00FB33DD" w:rsidRPr="00FB33DD" w:rsidRDefault="00FB33DD" w:rsidP="00FB33DD">
      <w:pPr>
        <w:spacing w:after="120"/>
        <w:jc w:val="both"/>
        <w:rPr>
          <w:b/>
          <w:i/>
          <w:sz w:val="24"/>
          <w:szCs w:val="24"/>
        </w:rPr>
      </w:pPr>
      <w:r w:rsidRPr="00FB33DD">
        <w:rPr>
          <w:sz w:val="24"/>
          <w:szCs w:val="24"/>
        </w:rPr>
        <w:t>Pokud bych si proto dovolil parafrázovat slova soudkyně Fiony, ani ústavní soudci by se neměli červenat za své kolegy v advokátním taláru.</w:t>
      </w:r>
    </w:p>
    <w:p w:rsidR="004E62C3" w:rsidRPr="003A2B89" w:rsidRDefault="004E62C3" w:rsidP="004E62C3">
      <w:pPr>
        <w:spacing w:before="120"/>
        <w:jc w:val="both"/>
        <w:rPr>
          <w:rFonts w:cs="Aharoni"/>
          <w:sz w:val="24"/>
          <w:szCs w:val="24"/>
        </w:rPr>
      </w:pPr>
    </w:p>
    <w:sectPr w:rsidR="004E62C3" w:rsidRPr="003A2B89" w:rsidSect="000047E5">
      <w:footerReference w:type="even" r:id="rId7"/>
      <w:footerReference w:type="default" r:id="rId8"/>
      <w:pgSz w:w="11906" w:h="16838"/>
      <w:pgMar w:top="1417" w:right="1417" w:bottom="1417" w:left="1701"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7DB" w:rsidRDefault="00C527DB">
      <w:r>
        <w:separator/>
      </w:r>
    </w:p>
  </w:endnote>
  <w:endnote w:type="continuationSeparator" w:id="0">
    <w:p w:rsidR="00C527DB" w:rsidRDefault="00C52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B79" w:rsidRDefault="00253B7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253B79" w:rsidRDefault="00253B7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7AB" w:rsidRDefault="005E17AB">
    <w:pPr>
      <w:pStyle w:val="Zpat"/>
      <w:jc w:val="center"/>
    </w:pPr>
    <w:r>
      <w:fldChar w:fldCharType="begin"/>
    </w:r>
    <w:r>
      <w:instrText xml:space="preserve"> PAGE   \* MERGEFORMAT </w:instrText>
    </w:r>
    <w:r>
      <w:fldChar w:fldCharType="separate"/>
    </w:r>
    <w:r w:rsidR="00B77B5D">
      <w:rPr>
        <w:noProof/>
      </w:rPr>
      <w:t>6</w:t>
    </w:r>
    <w:r>
      <w:fldChar w:fldCharType="end"/>
    </w:r>
  </w:p>
  <w:p w:rsidR="00253B79" w:rsidRDefault="00253B7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7DB" w:rsidRDefault="00C527DB">
      <w:r>
        <w:separator/>
      </w:r>
    </w:p>
  </w:footnote>
  <w:footnote w:type="continuationSeparator" w:id="0">
    <w:p w:rsidR="00C527DB" w:rsidRDefault="00C527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71698"/>
    <w:multiLevelType w:val="hybridMultilevel"/>
    <w:tmpl w:val="4FFE2F70"/>
    <w:lvl w:ilvl="0" w:tplc="54BE6E00">
      <w:start w:val="20"/>
      <w:numFmt w:val="decimal"/>
      <w:lvlText w:val="%1."/>
      <w:lvlJc w:val="left"/>
      <w:pPr>
        <w:tabs>
          <w:tab w:val="num" w:pos="786"/>
        </w:tabs>
        <w:ind w:left="786" w:hanging="360"/>
      </w:pPr>
      <w:rPr>
        <w:rFonts w:hint="default"/>
        <w:b/>
      </w:r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1" w15:restartNumberingAfterBreak="0">
    <w:nsid w:val="03312153"/>
    <w:multiLevelType w:val="hybridMultilevel"/>
    <w:tmpl w:val="4D02DF28"/>
    <w:lvl w:ilvl="0" w:tplc="2556D322">
      <w:start w:val="21"/>
      <w:numFmt w:val="decimal"/>
      <w:lvlText w:val="%1."/>
      <w:lvlJc w:val="left"/>
      <w:pPr>
        <w:tabs>
          <w:tab w:val="num" w:pos="720"/>
        </w:tabs>
        <w:ind w:left="72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FC35246"/>
    <w:multiLevelType w:val="hybridMultilevel"/>
    <w:tmpl w:val="044C475E"/>
    <w:lvl w:ilvl="0" w:tplc="2508062C">
      <w:start w:val="3"/>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00A0393"/>
    <w:multiLevelType w:val="hybridMultilevel"/>
    <w:tmpl w:val="C61A5AF4"/>
    <w:lvl w:ilvl="0" w:tplc="147630A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211B43"/>
    <w:multiLevelType w:val="hybridMultilevel"/>
    <w:tmpl w:val="326E0BFE"/>
    <w:lvl w:ilvl="0" w:tplc="4F0264B2">
      <w:numFmt w:val="bullet"/>
      <w:lvlText w:val="-"/>
      <w:lvlJc w:val="left"/>
      <w:pPr>
        <w:tabs>
          <w:tab w:val="num" w:pos="570"/>
        </w:tabs>
        <w:ind w:left="570" w:hanging="360"/>
      </w:pPr>
      <w:rPr>
        <w:rFonts w:ascii="Times New Roman" w:eastAsia="Times New Roman" w:hAnsi="Times New Roman" w:cs="Times New Roman" w:hint="default"/>
      </w:rPr>
    </w:lvl>
    <w:lvl w:ilvl="1" w:tplc="04050003" w:tentative="1">
      <w:start w:val="1"/>
      <w:numFmt w:val="bullet"/>
      <w:lvlText w:val="o"/>
      <w:lvlJc w:val="left"/>
      <w:pPr>
        <w:tabs>
          <w:tab w:val="num" w:pos="1290"/>
        </w:tabs>
        <w:ind w:left="1290" w:hanging="360"/>
      </w:pPr>
      <w:rPr>
        <w:rFonts w:ascii="Courier New" w:hAnsi="Courier New" w:cs="Courier New" w:hint="default"/>
      </w:rPr>
    </w:lvl>
    <w:lvl w:ilvl="2" w:tplc="04050005" w:tentative="1">
      <w:start w:val="1"/>
      <w:numFmt w:val="bullet"/>
      <w:lvlText w:val=""/>
      <w:lvlJc w:val="left"/>
      <w:pPr>
        <w:tabs>
          <w:tab w:val="num" w:pos="2010"/>
        </w:tabs>
        <w:ind w:left="2010" w:hanging="360"/>
      </w:pPr>
      <w:rPr>
        <w:rFonts w:ascii="Wingdings" w:hAnsi="Wingdings" w:hint="default"/>
      </w:rPr>
    </w:lvl>
    <w:lvl w:ilvl="3" w:tplc="04050001" w:tentative="1">
      <w:start w:val="1"/>
      <w:numFmt w:val="bullet"/>
      <w:lvlText w:val=""/>
      <w:lvlJc w:val="left"/>
      <w:pPr>
        <w:tabs>
          <w:tab w:val="num" w:pos="2730"/>
        </w:tabs>
        <w:ind w:left="2730" w:hanging="360"/>
      </w:pPr>
      <w:rPr>
        <w:rFonts w:ascii="Symbol" w:hAnsi="Symbol" w:hint="default"/>
      </w:rPr>
    </w:lvl>
    <w:lvl w:ilvl="4" w:tplc="04050003" w:tentative="1">
      <w:start w:val="1"/>
      <w:numFmt w:val="bullet"/>
      <w:lvlText w:val="o"/>
      <w:lvlJc w:val="left"/>
      <w:pPr>
        <w:tabs>
          <w:tab w:val="num" w:pos="3450"/>
        </w:tabs>
        <w:ind w:left="3450" w:hanging="360"/>
      </w:pPr>
      <w:rPr>
        <w:rFonts w:ascii="Courier New" w:hAnsi="Courier New" w:cs="Courier New" w:hint="default"/>
      </w:rPr>
    </w:lvl>
    <w:lvl w:ilvl="5" w:tplc="04050005" w:tentative="1">
      <w:start w:val="1"/>
      <w:numFmt w:val="bullet"/>
      <w:lvlText w:val=""/>
      <w:lvlJc w:val="left"/>
      <w:pPr>
        <w:tabs>
          <w:tab w:val="num" w:pos="4170"/>
        </w:tabs>
        <w:ind w:left="4170" w:hanging="360"/>
      </w:pPr>
      <w:rPr>
        <w:rFonts w:ascii="Wingdings" w:hAnsi="Wingdings" w:hint="default"/>
      </w:rPr>
    </w:lvl>
    <w:lvl w:ilvl="6" w:tplc="04050001" w:tentative="1">
      <w:start w:val="1"/>
      <w:numFmt w:val="bullet"/>
      <w:lvlText w:val=""/>
      <w:lvlJc w:val="left"/>
      <w:pPr>
        <w:tabs>
          <w:tab w:val="num" w:pos="4890"/>
        </w:tabs>
        <w:ind w:left="4890" w:hanging="360"/>
      </w:pPr>
      <w:rPr>
        <w:rFonts w:ascii="Symbol" w:hAnsi="Symbol" w:hint="default"/>
      </w:rPr>
    </w:lvl>
    <w:lvl w:ilvl="7" w:tplc="04050003" w:tentative="1">
      <w:start w:val="1"/>
      <w:numFmt w:val="bullet"/>
      <w:lvlText w:val="o"/>
      <w:lvlJc w:val="left"/>
      <w:pPr>
        <w:tabs>
          <w:tab w:val="num" w:pos="5610"/>
        </w:tabs>
        <w:ind w:left="5610" w:hanging="360"/>
      </w:pPr>
      <w:rPr>
        <w:rFonts w:ascii="Courier New" w:hAnsi="Courier New" w:cs="Courier New" w:hint="default"/>
      </w:rPr>
    </w:lvl>
    <w:lvl w:ilvl="8" w:tplc="04050005" w:tentative="1">
      <w:start w:val="1"/>
      <w:numFmt w:val="bullet"/>
      <w:lvlText w:val=""/>
      <w:lvlJc w:val="left"/>
      <w:pPr>
        <w:tabs>
          <w:tab w:val="num" w:pos="6330"/>
        </w:tabs>
        <w:ind w:left="6330" w:hanging="360"/>
      </w:pPr>
      <w:rPr>
        <w:rFonts w:ascii="Wingdings" w:hAnsi="Wingdings" w:hint="default"/>
      </w:rPr>
    </w:lvl>
  </w:abstractNum>
  <w:abstractNum w:abstractNumId="5" w15:restartNumberingAfterBreak="0">
    <w:nsid w:val="175B2044"/>
    <w:multiLevelType w:val="hybridMultilevel"/>
    <w:tmpl w:val="7DEC60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9086B9C"/>
    <w:multiLevelType w:val="hybridMultilevel"/>
    <w:tmpl w:val="D2FE0658"/>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1B1B0696"/>
    <w:multiLevelType w:val="hybridMultilevel"/>
    <w:tmpl w:val="065EA22E"/>
    <w:lvl w:ilvl="0" w:tplc="C868E00E">
      <w:start w:val="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5D01F1"/>
    <w:multiLevelType w:val="hybridMultilevel"/>
    <w:tmpl w:val="3392E1B2"/>
    <w:lvl w:ilvl="0" w:tplc="4F0264B2">
      <w:numFmt w:val="bullet"/>
      <w:lvlText w:val="-"/>
      <w:lvlJc w:val="left"/>
      <w:pPr>
        <w:tabs>
          <w:tab w:val="num" w:pos="570"/>
        </w:tabs>
        <w:ind w:left="57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205003"/>
    <w:multiLevelType w:val="hybridMultilevel"/>
    <w:tmpl w:val="47201644"/>
    <w:lvl w:ilvl="0" w:tplc="52B8BE26">
      <w:start w:val="1"/>
      <w:numFmt w:val="decimal"/>
      <w:lvlText w:val="%1."/>
      <w:lvlJc w:val="left"/>
      <w:pPr>
        <w:tabs>
          <w:tab w:val="num" w:pos="1080"/>
        </w:tabs>
        <w:ind w:left="1080" w:hanging="360"/>
      </w:pPr>
      <w:rPr>
        <w:rFonts w:hint="default"/>
      </w:rPr>
    </w:lvl>
    <w:lvl w:ilvl="1" w:tplc="9ABA6FB0">
      <w:start w:val="1"/>
      <w:numFmt w:val="upperLetter"/>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0" w15:restartNumberingAfterBreak="0">
    <w:nsid w:val="1FC87D2D"/>
    <w:multiLevelType w:val="hybridMultilevel"/>
    <w:tmpl w:val="47ACFF40"/>
    <w:lvl w:ilvl="0" w:tplc="2FE01F1E">
      <w:start w:val="20"/>
      <w:numFmt w:val="decimal"/>
      <w:lvlText w:val="%1."/>
      <w:lvlJc w:val="left"/>
      <w:pPr>
        <w:tabs>
          <w:tab w:val="num" w:pos="786"/>
        </w:tabs>
        <w:ind w:left="786" w:hanging="360"/>
      </w:pPr>
      <w:rPr>
        <w:rFonts w:hint="default"/>
        <w:b/>
      </w:r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11" w15:restartNumberingAfterBreak="0">
    <w:nsid w:val="22AD7643"/>
    <w:multiLevelType w:val="hybridMultilevel"/>
    <w:tmpl w:val="DB9200C2"/>
    <w:lvl w:ilvl="0" w:tplc="201C5AF4">
      <w:start w:val="1"/>
      <w:numFmt w:val="bullet"/>
      <w:lvlText w:val="-"/>
      <w:lvlJc w:val="left"/>
      <w:pPr>
        <w:tabs>
          <w:tab w:val="num" w:pos="284"/>
        </w:tabs>
        <w:ind w:left="284" w:hanging="360"/>
      </w:pPr>
      <w:rPr>
        <w:rFonts w:ascii="Times New Roman" w:eastAsia="Times New Roman" w:hAnsi="Times New Roman" w:cs="Times New Roman" w:hint="default"/>
      </w:rPr>
    </w:lvl>
    <w:lvl w:ilvl="1" w:tplc="04050003">
      <w:start w:val="1"/>
      <w:numFmt w:val="bullet"/>
      <w:lvlText w:val="o"/>
      <w:lvlJc w:val="left"/>
      <w:pPr>
        <w:tabs>
          <w:tab w:val="num" w:pos="1004"/>
        </w:tabs>
        <w:ind w:left="1004" w:hanging="360"/>
      </w:pPr>
      <w:rPr>
        <w:rFonts w:ascii="Courier New" w:hAnsi="Courier New" w:cs="Courier New" w:hint="default"/>
      </w:rPr>
    </w:lvl>
    <w:lvl w:ilvl="2" w:tplc="04050005" w:tentative="1">
      <w:start w:val="1"/>
      <w:numFmt w:val="bullet"/>
      <w:lvlText w:val=""/>
      <w:lvlJc w:val="left"/>
      <w:pPr>
        <w:tabs>
          <w:tab w:val="num" w:pos="1724"/>
        </w:tabs>
        <w:ind w:left="1724" w:hanging="360"/>
      </w:pPr>
      <w:rPr>
        <w:rFonts w:ascii="Wingdings" w:hAnsi="Wingdings" w:hint="default"/>
      </w:rPr>
    </w:lvl>
    <w:lvl w:ilvl="3" w:tplc="04050001" w:tentative="1">
      <w:start w:val="1"/>
      <w:numFmt w:val="bullet"/>
      <w:lvlText w:val=""/>
      <w:lvlJc w:val="left"/>
      <w:pPr>
        <w:tabs>
          <w:tab w:val="num" w:pos="2444"/>
        </w:tabs>
        <w:ind w:left="2444" w:hanging="360"/>
      </w:pPr>
      <w:rPr>
        <w:rFonts w:ascii="Symbol" w:hAnsi="Symbol" w:hint="default"/>
      </w:rPr>
    </w:lvl>
    <w:lvl w:ilvl="4" w:tplc="04050003" w:tentative="1">
      <w:start w:val="1"/>
      <w:numFmt w:val="bullet"/>
      <w:lvlText w:val="o"/>
      <w:lvlJc w:val="left"/>
      <w:pPr>
        <w:tabs>
          <w:tab w:val="num" w:pos="3164"/>
        </w:tabs>
        <w:ind w:left="3164" w:hanging="360"/>
      </w:pPr>
      <w:rPr>
        <w:rFonts w:ascii="Courier New" w:hAnsi="Courier New" w:cs="Courier New" w:hint="default"/>
      </w:rPr>
    </w:lvl>
    <w:lvl w:ilvl="5" w:tplc="04050005" w:tentative="1">
      <w:start w:val="1"/>
      <w:numFmt w:val="bullet"/>
      <w:lvlText w:val=""/>
      <w:lvlJc w:val="left"/>
      <w:pPr>
        <w:tabs>
          <w:tab w:val="num" w:pos="3884"/>
        </w:tabs>
        <w:ind w:left="3884" w:hanging="360"/>
      </w:pPr>
      <w:rPr>
        <w:rFonts w:ascii="Wingdings" w:hAnsi="Wingdings" w:hint="default"/>
      </w:rPr>
    </w:lvl>
    <w:lvl w:ilvl="6" w:tplc="04050001" w:tentative="1">
      <w:start w:val="1"/>
      <w:numFmt w:val="bullet"/>
      <w:lvlText w:val=""/>
      <w:lvlJc w:val="left"/>
      <w:pPr>
        <w:tabs>
          <w:tab w:val="num" w:pos="4604"/>
        </w:tabs>
        <w:ind w:left="4604" w:hanging="360"/>
      </w:pPr>
      <w:rPr>
        <w:rFonts w:ascii="Symbol" w:hAnsi="Symbol" w:hint="default"/>
      </w:rPr>
    </w:lvl>
    <w:lvl w:ilvl="7" w:tplc="04050003" w:tentative="1">
      <w:start w:val="1"/>
      <w:numFmt w:val="bullet"/>
      <w:lvlText w:val="o"/>
      <w:lvlJc w:val="left"/>
      <w:pPr>
        <w:tabs>
          <w:tab w:val="num" w:pos="5324"/>
        </w:tabs>
        <w:ind w:left="5324" w:hanging="360"/>
      </w:pPr>
      <w:rPr>
        <w:rFonts w:ascii="Courier New" w:hAnsi="Courier New" w:cs="Courier New" w:hint="default"/>
      </w:rPr>
    </w:lvl>
    <w:lvl w:ilvl="8" w:tplc="04050005" w:tentative="1">
      <w:start w:val="1"/>
      <w:numFmt w:val="bullet"/>
      <w:lvlText w:val=""/>
      <w:lvlJc w:val="left"/>
      <w:pPr>
        <w:tabs>
          <w:tab w:val="num" w:pos="6044"/>
        </w:tabs>
        <w:ind w:left="6044" w:hanging="360"/>
      </w:pPr>
      <w:rPr>
        <w:rFonts w:ascii="Wingdings" w:hAnsi="Wingdings" w:hint="default"/>
      </w:rPr>
    </w:lvl>
  </w:abstractNum>
  <w:abstractNum w:abstractNumId="12" w15:restartNumberingAfterBreak="0">
    <w:nsid w:val="25101814"/>
    <w:multiLevelType w:val="hybridMultilevel"/>
    <w:tmpl w:val="E14A707C"/>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25D22C11"/>
    <w:multiLevelType w:val="hybridMultilevel"/>
    <w:tmpl w:val="62FE21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78C6AF4"/>
    <w:multiLevelType w:val="hybridMultilevel"/>
    <w:tmpl w:val="257C7482"/>
    <w:lvl w:ilvl="0" w:tplc="5CD6F2B2">
      <w:start w:val="11"/>
      <w:numFmt w:val="decimal"/>
      <w:lvlText w:val="%1."/>
      <w:lvlJc w:val="left"/>
      <w:pPr>
        <w:tabs>
          <w:tab w:val="num" w:pos="786"/>
        </w:tabs>
        <w:ind w:left="786" w:hanging="360"/>
      </w:pPr>
      <w:rPr>
        <w:rFonts w:hint="default"/>
        <w:b/>
      </w:r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15" w15:restartNumberingAfterBreak="0">
    <w:nsid w:val="27D25F78"/>
    <w:multiLevelType w:val="hybridMultilevel"/>
    <w:tmpl w:val="2CF2C0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91719C2"/>
    <w:multiLevelType w:val="hybridMultilevel"/>
    <w:tmpl w:val="0E24E61C"/>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A7501DB"/>
    <w:multiLevelType w:val="hybridMultilevel"/>
    <w:tmpl w:val="B27E3A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FE7719E"/>
    <w:multiLevelType w:val="hybridMultilevel"/>
    <w:tmpl w:val="1ECE042C"/>
    <w:lvl w:ilvl="0" w:tplc="A742FD3C">
      <w:start w:val="1"/>
      <w:numFmt w:val="decimal"/>
      <w:suff w:val="space"/>
      <w:lvlText w:val="%1."/>
      <w:lvlJc w:val="left"/>
      <w:pPr>
        <w:ind w:left="4755" w:hanging="360"/>
      </w:pPr>
      <w:rPr>
        <w:rFonts w:ascii="Times New Roman" w:eastAsia="Times New Roman" w:hAnsi="Times New Roman" w:cs="Times New Roman" w:hint="default"/>
        <w:i w:val="0"/>
        <w:sz w:val="24"/>
        <w:szCs w:val="24"/>
      </w:rPr>
    </w:lvl>
    <w:lvl w:ilvl="1" w:tplc="04050019" w:tentative="1">
      <w:start w:val="1"/>
      <w:numFmt w:val="lowerLetter"/>
      <w:lvlText w:val="%2."/>
      <w:lvlJc w:val="left"/>
      <w:pPr>
        <w:ind w:left="15331" w:hanging="360"/>
      </w:pPr>
    </w:lvl>
    <w:lvl w:ilvl="2" w:tplc="0405001B" w:tentative="1">
      <w:start w:val="1"/>
      <w:numFmt w:val="lowerRoman"/>
      <w:lvlText w:val="%3."/>
      <w:lvlJc w:val="right"/>
      <w:pPr>
        <w:ind w:left="16051" w:hanging="180"/>
      </w:pPr>
    </w:lvl>
    <w:lvl w:ilvl="3" w:tplc="0405000F" w:tentative="1">
      <w:start w:val="1"/>
      <w:numFmt w:val="decimal"/>
      <w:lvlText w:val="%4."/>
      <w:lvlJc w:val="left"/>
      <w:pPr>
        <w:ind w:left="16771" w:hanging="360"/>
      </w:pPr>
    </w:lvl>
    <w:lvl w:ilvl="4" w:tplc="04050019" w:tentative="1">
      <w:start w:val="1"/>
      <w:numFmt w:val="lowerLetter"/>
      <w:lvlText w:val="%5."/>
      <w:lvlJc w:val="left"/>
      <w:pPr>
        <w:ind w:left="17491" w:hanging="360"/>
      </w:pPr>
    </w:lvl>
    <w:lvl w:ilvl="5" w:tplc="0405001B" w:tentative="1">
      <w:start w:val="1"/>
      <w:numFmt w:val="lowerRoman"/>
      <w:lvlText w:val="%6."/>
      <w:lvlJc w:val="right"/>
      <w:pPr>
        <w:ind w:left="18211" w:hanging="180"/>
      </w:pPr>
    </w:lvl>
    <w:lvl w:ilvl="6" w:tplc="0405000F" w:tentative="1">
      <w:start w:val="1"/>
      <w:numFmt w:val="decimal"/>
      <w:lvlText w:val="%7."/>
      <w:lvlJc w:val="left"/>
      <w:pPr>
        <w:ind w:left="18931" w:hanging="360"/>
      </w:pPr>
    </w:lvl>
    <w:lvl w:ilvl="7" w:tplc="04050019" w:tentative="1">
      <w:start w:val="1"/>
      <w:numFmt w:val="lowerLetter"/>
      <w:lvlText w:val="%8."/>
      <w:lvlJc w:val="left"/>
      <w:pPr>
        <w:ind w:left="19651" w:hanging="360"/>
      </w:pPr>
    </w:lvl>
    <w:lvl w:ilvl="8" w:tplc="0405001B" w:tentative="1">
      <w:start w:val="1"/>
      <w:numFmt w:val="lowerRoman"/>
      <w:lvlText w:val="%9."/>
      <w:lvlJc w:val="right"/>
      <w:pPr>
        <w:ind w:left="20371" w:hanging="180"/>
      </w:pPr>
    </w:lvl>
  </w:abstractNum>
  <w:abstractNum w:abstractNumId="19" w15:restartNumberingAfterBreak="0">
    <w:nsid w:val="33B03091"/>
    <w:multiLevelType w:val="hybridMultilevel"/>
    <w:tmpl w:val="A476C462"/>
    <w:lvl w:ilvl="0" w:tplc="4F0264B2">
      <w:numFmt w:val="bullet"/>
      <w:lvlText w:val="-"/>
      <w:lvlJc w:val="left"/>
      <w:pPr>
        <w:tabs>
          <w:tab w:val="num" w:pos="570"/>
        </w:tabs>
        <w:ind w:left="570" w:hanging="360"/>
      </w:pPr>
      <w:rPr>
        <w:rFonts w:ascii="Times New Roman" w:eastAsia="Times New Roman" w:hAnsi="Times New Roman" w:cs="Times New Roman" w:hint="default"/>
      </w:rPr>
    </w:lvl>
    <w:lvl w:ilvl="1" w:tplc="2508062C">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FE4E02"/>
    <w:multiLevelType w:val="hybridMultilevel"/>
    <w:tmpl w:val="7DE099D0"/>
    <w:lvl w:ilvl="0" w:tplc="65B2EA06">
      <w:start w:val="3"/>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15:restartNumberingAfterBreak="0">
    <w:nsid w:val="361E50ED"/>
    <w:multiLevelType w:val="hybridMultilevel"/>
    <w:tmpl w:val="B7BE8D1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F610BB"/>
    <w:multiLevelType w:val="hybridMultilevel"/>
    <w:tmpl w:val="D1204DBE"/>
    <w:lvl w:ilvl="0" w:tplc="04050001">
      <w:start w:val="1"/>
      <w:numFmt w:val="bullet"/>
      <w:lvlText w:val=""/>
      <w:lvlJc w:val="left"/>
      <w:pPr>
        <w:tabs>
          <w:tab w:val="num" w:pos="720"/>
        </w:tabs>
        <w:ind w:left="720" w:hanging="360"/>
      </w:pPr>
      <w:rPr>
        <w:rFonts w:ascii="Symbol" w:hAnsi="Symbol" w:hint="default"/>
      </w:rPr>
    </w:lvl>
    <w:lvl w:ilvl="1" w:tplc="021681D4">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01">
      <w:start w:val="1"/>
      <w:numFmt w:val="bullet"/>
      <w:lvlText w:val=""/>
      <w:lvlJc w:val="left"/>
      <w:pPr>
        <w:tabs>
          <w:tab w:val="num" w:pos="2160"/>
        </w:tabs>
        <w:ind w:left="216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994CFA"/>
    <w:multiLevelType w:val="hybridMultilevel"/>
    <w:tmpl w:val="64881ECE"/>
    <w:lvl w:ilvl="0" w:tplc="0405000F">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4861068"/>
    <w:multiLevelType w:val="hybridMultilevel"/>
    <w:tmpl w:val="8B9205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9CF4D58"/>
    <w:multiLevelType w:val="hybridMultilevel"/>
    <w:tmpl w:val="7DE099D0"/>
    <w:lvl w:ilvl="0" w:tplc="65B2EA06">
      <w:start w:val="3"/>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15:restartNumberingAfterBreak="0">
    <w:nsid w:val="509B0C59"/>
    <w:multiLevelType w:val="singleLevel"/>
    <w:tmpl w:val="0405000F"/>
    <w:lvl w:ilvl="0">
      <w:start w:val="1"/>
      <w:numFmt w:val="decimal"/>
      <w:lvlText w:val="%1."/>
      <w:lvlJc w:val="left"/>
      <w:pPr>
        <w:tabs>
          <w:tab w:val="num" w:pos="360"/>
        </w:tabs>
        <w:ind w:left="360" w:hanging="360"/>
      </w:pPr>
      <w:rPr>
        <w:rFonts w:hint="default"/>
      </w:rPr>
    </w:lvl>
  </w:abstractNum>
  <w:abstractNum w:abstractNumId="27" w15:restartNumberingAfterBreak="0">
    <w:nsid w:val="540F1066"/>
    <w:multiLevelType w:val="hybridMultilevel"/>
    <w:tmpl w:val="9C8C258E"/>
    <w:lvl w:ilvl="0" w:tplc="147630AE">
      <w:start w:val="1"/>
      <w:numFmt w:val="bullet"/>
      <w:lvlText w:val="-"/>
      <w:lvlJc w:val="left"/>
      <w:pPr>
        <w:tabs>
          <w:tab w:val="num" w:pos="1080"/>
        </w:tabs>
        <w:ind w:left="108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64436F7"/>
    <w:multiLevelType w:val="hybridMultilevel"/>
    <w:tmpl w:val="9104D9E2"/>
    <w:lvl w:ilvl="0" w:tplc="48C045FE">
      <w:start w:val="5"/>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6490981"/>
    <w:multiLevelType w:val="hybridMultilevel"/>
    <w:tmpl w:val="FCDE5CD0"/>
    <w:lvl w:ilvl="0" w:tplc="0405000F">
      <w:start w:val="3"/>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A663622"/>
    <w:multiLevelType w:val="hybridMultilevel"/>
    <w:tmpl w:val="18F038B2"/>
    <w:lvl w:ilvl="0" w:tplc="0405000B">
      <w:start w:val="1"/>
      <w:numFmt w:val="bullet"/>
      <w:lvlText w:val=""/>
      <w:lvlJc w:val="left"/>
      <w:pPr>
        <w:tabs>
          <w:tab w:val="num" w:pos="644"/>
        </w:tabs>
        <w:ind w:left="644" w:hanging="360"/>
      </w:pPr>
      <w:rPr>
        <w:rFonts w:ascii="Wingdings" w:hAnsi="Wingdings" w:hint="default"/>
      </w:rPr>
    </w:lvl>
    <w:lvl w:ilvl="1" w:tplc="04050003" w:tentative="1">
      <w:start w:val="1"/>
      <w:numFmt w:val="bullet"/>
      <w:lvlText w:val="o"/>
      <w:lvlJc w:val="left"/>
      <w:pPr>
        <w:tabs>
          <w:tab w:val="num" w:pos="1364"/>
        </w:tabs>
        <w:ind w:left="1364" w:hanging="360"/>
      </w:pPr>
      <w:rPr>
        <w:rFonts w:ascii="Courier New" w:hAnsi="Courier New" w:cs="Courier New" w:hint="default"/>
      </w:rPr>
    </w:lvl>
    <w:lvl w:ilvl="2" w:tplc="04050005" w:tentative="1">
      <w:start w:val="1"/>
      <w:numFmt w:val="bullet"/>
      <w:lvlText w:val=""/>
      <w:lvlJc w:val="left"/>
      <w:pPr>
        <w:tabs>
          <w:tab w:val="num" w:pos="2084"/>
        </w:tabs>
        <w:ind w:left="2084" w:hanging="360"/>
      </w:pPr>
      <w:rPr>
        <w:rFonts w:ascii="Wingdings" w:hAnsi="Wingdings" w:hint="default"/>
      </w:rPr>
    </w:lvl>
    <w:lvl w:ilvl="3" w:tplc="04050001" w:tentative="1">
      <w:start w:val="1"/>
      <w:numFmt w:val="bullet"/>
      <w:lvlText w:val=""/>
      <w:lvlJc w:val="left"/>
      <w:pPr>
        <w:tabs>
          <w:tab w:val="num" w:pos="2804"/>
        </w:tabs>
        <w:ind w:left="2804" w:hanging="360"/>
      </w:pPr>
      <w:rPr>
        <w:rFonts w:ascii="Symbol" w:hAnsi="Symbol" w:hint="default"/>
      </w:rPr>
    </w:lvl>
    <w:lvl w:ilvl="4" w:tplc="04050003" w:tentative="1">
      <w:start w:val="1"/>
      <w:numFmt w:val="bullet"/>
      <w:lvlText w:val="o"/>
      <w:lvlJc w:val="left"/>
      <w:pPr>
        <w:tabs>
          <w:tab w:val="num" w:pos="3524"/>
        </w:tabs>
        <w:ind w:left="3524" w:hanging="360"/>
      </w:pPr>
      <w:rPr>
        <w:rFonts w:ascii="Courier New" w:hAnsi="Courier New" w:cs="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cs="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5D1C43BD"/>
    <w:multiLevelType w:val="hybridMultilevel"/>
    <w:tmpl w:val="B40CB1C0"/>
    <w:lvl w:ilvl="0" w:tplc="0405000B">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F3674DE"/>
    <w:multiLevelType w:val="hybridMultilevel"/>
    <w:tmpl w:val="2978294C"/>
    <w:lvl w:ilvl="0" w:tplc="102A95AA">
      <w:start w:val="2"/>
      <w:numFmt w:val="upperRoman"/>
      <w:lvlText w:val="%1."/>
      <w:lvlJc w:val="left"/>
      <w:pPr>
        <w:ind w:left="1080" w:hanging="72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46305A8"/>
    <w:multiLevelType w:val="hybridMultilevel"/>
    <w:tmpl w:val="173A7294"/>
    <w:lvl w:ilvl="0" w:tplc="249612D8">
      <w:start w:val="1"/>
      <w:numFmt w:val="upperRoman"/>
      <w:lvlText w:val="%1."/>
      <w:lvlJc w:val="left"/>
      <w:pPr>
        <w:ind w:left="1440" w:hanging="360"/>
      </w:pPr>
      <w:rPr>
        <w:rFonts w:ascii="Times New Roman" w:eastAsia="Times New Roman" w:hAnsi="Times New Roman" w:cs="Times New Roman"/>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4" w15:restartNumberingAfterBreak="0">
    <w:nsid w:val="663F40D9"/>
    <w:multiLevelType w:val="hybridMultilevel"/>
    <w:tmpl w:val="0B46EDF8"/>
    <w:lvl w:ilvl="0" w:tplc="2508062C">
      <w:start w:val="3"/>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69150D"/>
    <w:multiLevelType w:val="hybridMultilevel"/>
    <w:tmpl w:val="99642FA4"/>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1440"/>
        </w:tabs>
        <w:ind w:left="1440" w:hanging="360"/>
      </w:pPr>
      <w:rPr>
        <w:rFonts w:ascii="Wingdings" w:hAnsi="Wingdings" w:hint="default"/>
      </w:rPr>
    </w:lvl>
    <w:lvl w:ilvl="2" w:tplc="04050009">
      <w:start w:val="1"/>
      <w:numFmt w:val="bullet"/>
      <w:lvlText w:val=""/>
      <w:lvlJc w:val="left"/>
      <w:pPr>
        <w:tabs>
          <w:tab w:val="num" w:pos="2340"/>
        </w:tabs>
        <w:ind w:left="2340" w:hanging="360"/>
      </w:pPr>
      <w:rPr>
        <w:rFonts w:ascii="Wingdings" w:hAnsi="Wingding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70A3DDB"/>
    <w:multiLevelType w:val="hybridMultilevel"/>
    <w:tmpl w:val="E2E85BD6"/>
    <w:lvl w:ilvl="0" w:tplc="021681D4">
      <w:start w:val="1"/>
      <w:numFmt w:val="bullet"/>
      <w:lvlText w:val="-"/>
      <w:lvlJc w:val="left"/>
      <w:pPr>
        <w:ind w:left="720" w:hanging="360"/>
      </w:pPr>
      <w:rPr>
        <w:rFonts w:ascii="Times New Roman" w:eastAsia="Times New Roman" w:hAnsi="Times New Roman" w:cs="Times New Roman" w:hint="default"/>
        <w:u w:val="single"/>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EA86924"/>
    <w:multiLevelType w:val="hybridMultilevel"/>
    <w:tmpl w:val="519AD2DE"/>
    <w:lvl w:ilvl="0" w:tplc="2F68110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F2C3198"/>
    <w:multiLevelType w:val="hybridMultilevel"/>
    <w:tmpl w:val="AAF4EB82"/>
    <w:lvl w:ilvl="0" w:tplc="0405000F">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502"/>
        </w:tabs>
        <w:ind w:left="502"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0E67F1A"/>
    <w:multiLevelType w:val="hybridMultilevel"/>
    <w:tmpl w:val="7DE099D0"/>
    <w:lvl w:ilvl="0" w:tplc="65B2EA06">
      <w:start w:val="3"/>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0" w15:restartNumberingAfterBreak="0">
    <w:nsid w:val="75103D0D"/>
    <w:multiLevelType w:val="hybridMultilevel"/>
    <w:tmpl w:val="AFAE26B4"/>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0545F1"/>
    <w:multiLevelType w:val="hybridMultilevel"/>
    <w:tmpl w:val="7DE099D0"/>
    <w:lvl w:ilvl="0" w:tplc="65B2EA06">
      <w:start w:val="3"/>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2" w15:restartNumberingAfterBreak="0">
    <w:nsid w:val="771C4542"/>
    <w:multiLevelType w:val="hybridMultilevel"/>
    <w:tmpl w:val="18A266A2"/>
    <w:lvl w:ilvl="0" w:tplc="29FAA0AA">
      <w:start w:val="3"/>
      <w:numFmt w:val="upperRoman"/>
      <w:lvlText w:val="%1."/>
      <w:lvlJc w:val="left"/>
      <w:pPr>
        <w:ind w:left="1080" w:hanging="72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979705C"/>
    <w:multiLevelType w:val="hybridMultilevel"/>
    <w:tmpl w:val="6D468E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98E110E"/>
    <w:multiLevelType w:val="hybridMultilevel"/>
    <w:tmpl w:val="173A7294"/>
    <w:lvl w:ilvl="0" w:tplc="249612D8">
      <w:start w:val="1"/>
      <w:numFmt w:val="upperRoman"/>
      <w:lvlText w:val="%1."/>
      <w:lvlJc w:val="left"/>
      <w:pPr>
        <w:ind w:left="1440" w:hanging="360"/>
      </w:pPr>
      <w:rPr>
        <w:rFonts w:ascii="Times New Roman" w:eastAsia="Times New Roman" w:hAnsi="Times New Roman" w:cs="Times New Roman"/>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5" w15:restartNumberingAfterBreak="0">
    <w:nsid w:val="7CA87CF0"/>
    <w:multiLevelType w:val="hybridMultilevel"/>
    <w:tmpl w:val="7C26323C"/>
    <w:lvl w:ilvl="0" w:tplc="CADE5AC0">
      <w:start w:val="27"/>
      <w:numFmt w:val="decimal"/>
      <w:lvlText w:val="%1."/>
      <w:lvlJc w:val="left"/>
      <w:pPr>
        <w:tabs>
          <w:tab w:val="num" w:pos="786"/>
        </w:tabs>
        <w:ind w:left="786" w:hanging="360"/>
      </w:pPr>
      <w:rPr>
        <w:rFonts w:hint="default"/>
        <w:b/>
      </w:rPr>
    </w:lvl>
    <w:lvl w:ilvl="1" w:tplc="04050001">
      <w:start w:val="1"/>
      <w:numFmt w:val="bullet"/>
      <w:lvlText w:val=""/>
      <w:lvlJc w:val="left"/>
      <w:pPr>
        <w:tabs>
          <w:tab w:val="num" w:pos="1506"/>
        </w:tabs>
        <w:ind w:left="1506" w:hanging="360"/>
      </w:pPr>
      <w:rPr>
        <w:rFonts w:ascii="Symbol" w:hAnsi="Symbol" w:hint="default"/>
        <w:b/>
      </w:rPr>
    </w:lvl>
    <w:lvl w:ilvl="2" w:tplc="0405001B">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46" w15:restartNumberingAfterBreak="0">
    <w:nsid w:val="7DB604A5"/>
    <w:multiLevelType w:val="hybridMultilevel"/>
    <w:tmpl w:val="C53C0CAC"/>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7E47488B"/>
    <w:multiLevelType w:val="hybridMultilevel"/>
    <w:tmpl w:val="621C4E46"/>
    <w:lvl w:ilvl="0" w:tplc="04050009">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abstractNumId w:val="26"/>
  </w:num>
  <w:num w:numId="2">
    <w:abstractNumId w:val="3"/>
  </w:num>
  <w:num w:numId="3">
    <w:abstractNumId w:val="27"/>
  </w:num>
  <w:num w:numId="4">
    <w:abstractNumId w:val="9"/>
  </w:num>
  <w:num w:numId="5">
    <w:abstractNumId w:val="38"/>
  </w:num>
  <w:num w:numId="6">
    <w:abstractNumId w:val="21"/>
  </w:num>
  <w:num w:numId="7">
    <w:abstractNumId w:val="29"/>
  </w:num>
  <w:num w:numId="8">
    <w:abstractNumId w:val="2"/>
  </w:num>
  <w:num w:numId="9">
    <w:abstractNumId w:val="4"/>
  </w:num>
  <w:num w:numId="10">
    <w:abstractNumId w:val="19"/>
  </w:num>
  <w:num w:numId="11">
    <w:abstractNumId w:val="8"/>
  </w:num>
  <w:num w:numId="12">
    <w:abstractNumId w:val="23"/>
  </w:num>
  <w:num w:numId="13">
    <w:abstractNumId w:val="46"/>
  </w:num>
  <w:num w:numId="14">
    <w:abstractNumId w:val="34"/>
  </w:num>
  <w:num w:numId="15">
    <w:abstractNumId w:val="16"/>
  </w:num>
  <w:num w:numId="16">
    <w:abstractNumId w:val="35"/>
  </w:num>
  <w:num w:numId="17">
    <w:abstractNumId w:val="40"/>
  </w:num>
  <w:num w:numId="18">
    <w:abstractNumId w:val="31"/>
  </w:num>
  <w:num w:numId="19">
    <w:abstractNumId w:val="11"/>
  </w:num>
  <w:num w:numId="20">
    <w:abstractNumId w:val="30"/>
  </w:num>
  <w:num w:numId="21">
    <w:abstractNumId w:val="1"/>
  </w:num>
  <w:num w:numId="22">
    <w:abstractNumId w:val="28"/>
  </w:num>
  <w:num w:numId="23">
    <w:abstractNumId w:val="10"/>
  </w:num>
  <w:num w:numId="24">
    <w:abstractNumId w:val="45"/>
  </w:num>
  <w:num w:numId="25">
    <w:abstractNumId w:val="0"/>
  </w:num>
  <w:num w:numId="26">
    <w:abstractNumId w:val="14"/>
  </w:num>
  <w:num w:numId="27">
    <w:abstractNumId w:val="47"/>
  </w:num>
  <w:num w:numId="28">
    <w:abstractNumId w:val="22"/>
  </w:num>
  <w:num w:numId="29">
    <w:abstractNumId w:val="15"/>
  </w:num>
  <w:num w:numId="30">
    <w:abstractNumId w:val="12"/>
  </w:num>
  <w:num w:numId="31">
    <w:abstractNumId w:val="44"/>
  </w:num>
  <w:num w:numId="32">
    <w:abstractNumId w:val="36"/>
  </w:num>
  <w:num w:numId="33">
    <w:abstractNumId w:val="24"/>
  </w:num>
  <w:num w:numId="34">
    <w:abstractNumId w:val="37"/>
  </w:num>
  <w:num w:numId="35">
    <w:abstractNumId w:val="18"/>
  </w:num>
  <w:num w:numId="36">
    <w:abstractNumId w:val="6"/>
  </w:num>
  <w:num w:numId="37">
    <w:abstractNumId w:val="32"/>
  </w:num>
  <w:num w:numId="38">
    <w:abstractNumId w:val="7"/>
  </w:num>
  <w:num w:numId="39">
    <w:abstractNumId w:val="42"/>
  </w:num>
  <w:num w:numId="40">
    <w:abstractNumId w:val="20"/>
  </w:num>
  <w:num w:numId="41">
    <w:abstractNumId w:val="25"/>
  </w:num>
  <w:num w:numId="42">
    <w:abstractNumId w:val="41"/>
  </w:num>
  <w:num w:numId="43">
    <w:abstractNumId w:val="39"/>
  </w:num>
  <w:num w:numId="44">
    <w:abstractNumId w:val="17"/>
  </w:num>
  <w:num w:numId="45">
    <w:abstractNumId w:val="33"/>
  </w:num>
  <w:num w:numId="46">
    <w:abstractNumId w:val="43"/>
  </w:num>
  <w:num w:numId="47">
    <w:abstractNumId w:val="5"/>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AFA"/>
    <w:rsid w:val="000047E5"/>
    <w:rsid w:val="00032F26"/>
    <w:rsid w:val="0004609C"/>
    <w:rsid w:val="00077A08"/>
    <w:rsid w:val="00094426"/>
    <w:rsid w:val="000A5A77"/>
    <w:rsid w:val="000B0E83"/>
    <w:rsid w:val="000C1996"/>
    <w:rsid w:val="000D0D53"/>
    <w:rsid w:val="000D115A"/>
    <w:rsid w:val="000E70F1"/>
    <w:rsid w:val="000E7B74"/>
    <w:rsid w:val="000F5DB2"/>
    <w:rsid w:val="0012534A"/>
    <w:rsid w:val="00130305"/>
    <w:rsid w:val="00135161"/>
    <w:rsid w:val="00141EF7"/>
    <w:rsid w:val="001611D9"/>
    <w:rsid w:val="00177088"/>
    <w:rsid w:val="00185077"/>
    <w:rsid w:val="001916DC"/>
    <w:rsid w:val="001A7128"/>
    <w:rsid w:val="001C1A2E"/>
    <w:rsid w:val="001C26A6"/>
    <w:rsid w:val="001C3942"/>
    <w:rsid w:val="001C3F0A"/>
    <w:rsid w:val="001C4618"/>
    <w:rsid w:val="001D2413"/>
    <w:rsid w:val="001D3E37"/>
    <w:rsid w:val="00202E59"/>
    <w:rsid w:val="002152EA"/>
    <w:rsid w:val="00226A02"/>
    <w:rsid w:val="00227F58"/>
    <w:rsid w:val="002455BA"/>
    <w:rsid w:val="00246D45"/>
    <w:rsid w:val="00253B79"/>
    <w:rsid w:val="00255FAD"/>
    <w:rsid w:val="00266748"/>
    <w:rsid w:val="00285457"/>
    <w:rsid w:val="002863C1"/>
    <w:rsid w:val="00294AA3"/>
    <w:rsid w:val="00295E34"/>
    <w:rsid w:val="002B2374"/>
    <w:rsid w:val="002B4FBA"/>
    <w:rsid w:val="002C0512"/>
    <w:rsid w:val="002F595B"/>
    <w:rsid w:val="002F6AFA"/>
    <w:rsid w:val="0030132B"/>
    <w:rsid w:val="00302CFD"/>
    <w:rsid w:val="00316909"/>
    <w:rsid w:val="00316D82"/>
    <w:rsid w:val="00335ADA"/>
    <w:rsid w:val="00342F6F"/>
    <w:rsid w:val="00351DB6"/>
    <w:rsid w:val="003527DC"/>
    <w:rsid w:val="0036353E"/>
    <w:rsid w:val="003655DD"/>
    <w:rsid w:val="00373388"/>
    <w:rsid w:val="00373A08"/>
    <w:rsid w:val="003A2B89"/>
    <w:rsid w:val="003B576F"/>
    <w:rsid w:val="003B6AC5"/>
    <w:rsid w:val="003F64D8"/>
    <w:rsid w:val="003F78B0"/>
    <w:rsid w:val="003F7B48"/>
    <w:rsid w:val="00404980"/>
    <w:rsid w:val="00410A91"/>
    <w:rsid w:val="00421988"/>
    <w:rsid w:val="00436450"/>
    <w:rsid w:val="00452AEC"/>
    <w:rsid w:val="00463272"/>
    <w:rsid w:val="00474755"/>
    <w:rsid w:val="00486105"/>
    <w:rsid w:val="004A5526"/>
    <w:rsid w:val="004A5591"/>
    <w:rsid w:val="004B0B50"/>
    <w:rsid w:val="004C37B5"/>
    <w:rsid w:val="004C7C57"/>
    <w:rsid w:val="004E62C3"/>
    <w:rsid w:val="00534C9F"/>
    <w:rsid w:val="00536FCD"/>
    <w:rsid w:val="00537CE2"/>
    <w:rsid w:val="00540C98"/>
    <w:rsid w:val="00542330"/>
    <w:rsid w:val="00545021"/>
    <w:rsid w:val="00545026"/>
    <w:rsid w:val="0055750A"/>
    <w:rsid w:val="0056036B"/>
    <w:rsid w:val="00575CBF"/>
    <w:rsid w:val="005C0CAF"/>
    <w:rsid w:val="005D76DA"/>
    <w:rsid w:val="005E17AB"/>
    <w:rsid w:val="005E2D97"/>
    <w:rsid w:val="005E5765"/>
    <w:rsid w:val="006102C1"/>
    <w:rsid w:val="0065726E"/>
    <w:rsid w:val="006979F2"/>
    <w:rsid w:val="006A71F5"/>
    <w:rsid w:val="006A78FE"/>
    <w:rsid w:val="006C3CCF"/>
    <w:rsid w:val="006D0FE7"/>
    <w:rsid w:val="006E182E"/>
    <w:rsid w:val="006F2F9B"/>
    <w:rsid w:val="006F6D71"/>
    <w:rsid w:val="00703253"/>
    <w:rsid w:val="0070335B"/>
    <w:rsid w:val="007053C5"/>
    <w:rsid w:val="00740C16"/>
    <w:rsid w:val="007432CF"/>
    <w:rsid w:val="007A11B0"/>
    <w:rsid w:val="007A7D94"/>
    <w:rsid w:val="007C439C"/>
    <w:rsid w:val="007C46FB"/>
    <w:rsid w:val="007D0ACE"/>
    <w:rsid w:val="00801A0D"/>
    <w:rsid w:val="008470AF"/>
    <w:rsid w:val="00880965"/>
    <w:rsid w:val="0089164D"/>
    <w:rsid w:val="00893FE0"/>
    <w:rsid w:val="008A5DD3"/>
    <w:rsid w:val="008C632A"/>
    <w:rsid w:val="008F108B"/>
    <w:rsid w:val="009140D3"/>
    <w:rsid w:val="009246BC"/>
    <w:rsid w:val="0092796F"/>
    <w:rsid w:val="00946C13"/>
    <w:rsid w:val="00950E34"/>
    <w:rsid w:val="00955DDD"/>
    <w:rsid w:val="0096372F"/>
    <w:rsid w:val="00965E94"/>
    <w:rsid w:val="00967189"/>
    <w:rsid w:val="009C14F7"/>
    <w:rsid w:val="009C49D6"/>
    <w:rsid w:val="009D1132"/>
    <w:rsid w:val="009D53D2"/>
    <w:rsid w:val="009D79CF"/>
    <w:rsid w:val="009E4F73"/>
    <w:rsid w:val="009F7632"/>
    <w:rsid w:val="00A1254B"/>
    <w:rsid w:val="00A21F2D"/>
    <w:rsid w:val="00A34695"/>
    <w:rsid w:val="00A421D0"/>
    <w:rsid w:val="00A615BE"/>
    <w:rsid w:val="00A646C2"/>
    <w:rsid w:val="00A70428"/>
    <w:rsid w:val="00AA0129"/>
    <w:rsid w:val="00AA0B60"/>
    <w:rsid w:val="00AA4069"/>
    <w:rsid w:val="00AD2207"/>
    <w:rsid w:val="00AD32C1"/>
    <w:rsid w:val="00AE09F1"/>
    <w:rsid w:val="00AE15F4"/>
    <w:rsid w:val="00AF465E"/>
    <w:rsid w:val="00B02296"/>
    <w:rsid w:val="00B04ACE"/>
    <w:rsid w:val="00B068B0"/>
    <w:rsid w:val="00B11269"/>
    <w:rsid w:val="00B27D3C"/>
    <w:rsid w:val="00B313C5"/>
    <w:rsid w:val="00B469F4"/>
    <w:rsid w:val="00B51700"/>
    <w:rsid w:val="00B51E0E"/>
    <w:rsid w:val="00B6041D"/>
    <w:rsid w:val="00B70652"/>
    <w:rsid w:val="00B77B5D"/>
    <w:rsid w:val="00BA3F98"/>
    <w:rsid w:val="00BB3052"/>
    <w:rsid w:val="00BB70B7"/>
    <w:rsid w:val="00BC3AFB"/>
    <w:rsid w:val="00BC7AE1"/>
    <w:rsid w:val="00BE0FE9"/>
    <w:rsid w:val="00BE5A2D"/>
    <w:rsid w:val="00C172C7"/>
    <w:rsid w:val="00C23461"/>
    <w:rsid w:val="00C527DB"/>
    <w:rsid w:val="00C65408"/>
    <w:rsid w:val="00C969F4"/>
    <w:rsid w:val="00C971CB"/>
    <w:rsid w:val="00CA3063"/>
    <w:rsid w:val="00CA6329"/>
    <w:rsid w:val="00CB58B3"/>
    <w:rsid w:val="00CD487C"/>
    <w:rsid w:val="00CD73D5"/>
    <w:rsid w:val="00CF0C34"/>
    <w:rsid w:val="00D50209"/>
    <w:rsid w:val="00D8171E"/>
    <w:rsid w:val="00D83F4D"/>
    <w:rsid w:val="00D847AF"/>
    <w:rsid w:val="00D90B1A"/>
    <w:rsid w:val="00D91C08"/>
    <w:rsid w:val="00D957DE"/>
    <w:rsid w:val="00DA0068"/>
    <w:rsid w:val="00DB04BF"/>
    <w:rsid w:val="00DB2854"/>
    <w:rsid w:val="00DC2E6A"/>
    <w:rsid w:val="00DD5EE5"/>
    <w:rsid w:val="00DF71D1"/>
    <w:rsid w:val="00E11FAF"/>
    <w:rsid w:val="00E12B5E"/>
    <w:rsid w:val="00E30949"/>
    <w:rsid w:val="00E51E32"/>
    <w:rsid w:val="00E57AE4"/>
    <w:rsid w:val="00E85B48"/>
    <w:rsid w:val="00E861AC"/>
    <w:rsid w:val="00E90F5E"/>
    <w:rsid w:val="00EA2A87"/>
    <w:rsid w:val="00EB54EF"/>
    <w:rsid w:val="00F02481"/>
    <w:rsid w:val="00F16278"/>
    <w:rsid w:val="00F61256"/>
    <w:rsid w:val="00F66DE3"/>
    <w:rsid w:val="00FB2839"/>
    <w:rsid w:val="00FB33DD"/>
    <w:rsid w:val="00FC35A0"/>
    <w:rsid w:val="00FC719B"/>
    <w:rsid w:val="00FD7ADA"/>
    <w:rsid w:val="00FE3F90"/>
    <w:rsid w:val="00FF3AE0"/>
    <w:rsid w:val="00FF40BA"/>
    <w:rsid w:val="00FF7D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2ACA90"/>
  <w15:docId w15:val="{B4EC0178-721E-4E5B-8322-63131A2EE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jc w:val="both"/>
      <w:outlineLvl w:val="0"/>
    </w:pPr>
    <w:rPr>
      <w:sz w:val="24"/>
    </w:rPr>
  </w:style>
  <w:style w:type="paragraph" w:styleId="Nadpis2">
    <w:name w:val="heading 2"/>
    <w:basedOn w:val="Normln"/>
    <w:next w:val="Normln"/>
    <w:qFormat/>
    <w:pPr>
      <w:keepNext/>
      <w:jc w:val="center"/>
      <w:outlineLvl w:val="1"/>
    </w:pPr>
    <w:rPr>
      <w:b/>
      <w:sz w:val="28"/>
    </w:rPr>
  </w:style>
  <w:style w:type="paragraph" w:styleId="Nadpis3">
    <w:name w:val="heading 3"/>
    <w:basedOn w:val="Normln"/>
    <w:next w:val="Normln"/>
    <w:qFormat/>
    <w:pPr>
      <w:keepNext/>
      <w:spacing w:line="480" w:lineRule="auto"/>
      <w:ind w:firstLine="708"/>
      <w:jc w:val="both"/>
      <w:outlineLvl w:val="2"/>
    </w:pPr>
    <w:rPr>
      <w:sz w:val="24"/>
    </w:rPr>
  </w:style>
  <w:style w:type="paragraph" w:styleId="Nadpis4">
    <w:name w:val="heading 4"/>
    <w:basedOn w:val="Normln"/>
    <w:next w:val="Normln"/>
    <w:qFormat/>
    <w:pPr>
      <w:keepNext/>
      <w:spacing w:line="480" w:lineRule="auto"/>
      <w:ind w:firstLine="708"/>
      <w:jc w:val="center"/>
      <w:outlineLvl w:val="3"/>
    </w:pPr>
    <w:rPr>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Zkladntext">
    <w:name w:val="Body Text"/>
    <w:basedOn w:val="Normln"/>
    <w:pPr>
      <w:jc w:val="both"/>
    </w:pPr>
    <w:rPr>
      <w:sz w:val="24"/>
    </w:rPr>
  </w:style>
  <w:style w:type="paragraph" w:styleId="Zkladntext2">
    <w:name w:val="Body Text 2"/>
    <w:basedOn w:val="Normln"/>
    <w:rPr>
      <w:rFonts w:ascii="Arial" w:hAnsi="Arial" w:cs="Arial"/>
      <w:sz w:val="24"/>
    </w:rPr>
  </w:style>
  <w:style w:type="paragraph" w:styleId="Zhlav">
    <w:name w:val="header"/>
    <w:basedOn w:val="Normln"/>
    <w:link w:val="ZhlavChar"/>
    <w:rsid w:val="005E17AB"/>
    <w:pPr>
      <w:tabs>
        <w:tab w:val="center" w:pos="4536"/>
        <w:tab w:val="right" w:pos="9072"/>
      </w:tabs>
    </w:pPr>
  </w:style>
  <w:style w:type="character" w:customStyle="1" w:styleId="ZhlavChar">
    <w:name w:val="Záhlaví Char"/>
    <w:basedOn w:val="Standardnpsmoodstavce"/>
    <w:link w:val="Zhlav"/>
    <w:rsid w:val="005E17AB"/>
  </w:style>
  <w:style w:type="character" w:customStyle="1" w:styleId="ZpatChar">
    <w:name w:val="Zápatí Char"/>
    <w:basedOn w:val="Standardnpsmoodstavce"/>
    <w:link w:val="Zpat"/>
    <w:uiPriority w:val="99"/>
    <w:rsid w:val="005E17AB"/>
  </w:style>
  <w:style w:type="paragraph" w:styleId="Odstavecseseznamem">
    <w:name w:val="List Paragraph"/>
    <w:basedOn w:val="Normln"/>
    <w:qFormat/>
    <w:rsid w:val="00FB33DD"/>
    <w:pPr>
      <w:ind w:left="708"/>
    </w:pPr>
    <w:rPr>
      <w:rFonts w:ascii="Garamond" w:hAnsi="Garamond"/>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8</Pages>
  <Words>3360</Words>
  <Characters>19827</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Referáty na semináře z ústavního práva</vt:lpstr>
    </vt:vector>
  </TitlesOfParts>
  <Company>Ústavní soud ČR</Company>
  <LinksUpToDate>false</LinksUpToDate>
  <CharactersWithSpaces>23141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Referáty na semináře z ústavního práva</dc:title>
  <dc:creator>pc245</dc:creator>
  <cp:lastModifiedBy>Šimíček Vojtěch</cp:lastModifiedBy>
  <cp:revision>33</cp:revision>
  <cp:lastPrinted>2012-10-05T09:02:00Z</cp:lastPrinted>
  <dcterms:created xsi:type="dcterms:W3CDTF">2020-05-02T09:34:00Z</dcterms:created>
  <dcterms:modified xsi:type="dcterms:W3CDTF">2021-03-10T09:57:00Z</dcterms:modified>
</cp:coreProperties>
</file>