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8"/>
        <w:gridCol w:w="4120"/>
      </w:tblGrid>
      <w:tr w:rsidR="00D21BA1" w:rsidRPr="00D21BA1" w14:paraId="1AE8392E" w14:textId="77777777" w:rsidTr="00D21BA1">
        <w:trPr>
          <w:trHeight w:val="420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8AB" w14:textId="77777777" w:rsidR="00D21BA1" w:rsidRPr="00D21BA1" w:rsidRDefault="00D21BA1" w:rsidP="00D21BA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32"/>
                <w:szCs w:val="32"/>
                <w:lang w:eastAsia="cs-CZ"/>
              </w:rPr>
            </w:pPr>
            <w:r w:rsidRPr="00D21BA1">
              <w:rPr>
                <w:rFonts w:ascii="Calibri" w:eastAsia="Times New Roman" w:hAnsi="Calibri" w:cs="Calibri"/>
                <w:color w:val="C65911"/>
                <w:sz w:val="32"/>
                <w:szCs w:val="32"/>
                <w:lang w:eastAsia="cs-CZ"/>
              </w:rPr>
              <w:t>Právní a právnické frazeologismy jen Pokr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8B3" w14:textId="356932EE" w:rsidR="00D21BA1" w:rsidRPr="00D21BA1" w:rsidRDefault="00D21BA1" w:rsidP="00D2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1BA1">
              <w:rPr>
                <w:rFonts w:ascii="Calibri" w:eastAsia="Times New Roman" w:hAnsi="Calibri" w:cs="Calibri"/>
                <w:color w:val="000000"/>
                <w:lang w:eastAsia="cs-CZ"/>
              </w:rPr>
              <w:t>L 12_1</w:t>
            </w:r>
            <w:r w:rsidR="00EF173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21BA1" w:rsidRPr="00D21BA1" w14:paraId="7AFD244D" w14:textId="77777777" w:rsidTr="00D21BA1">
        <w:trPr>
          <w:trHeight w:val="300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5E7E" w14:textId="77777777" w:rsidR="00D21BA1" w:rsidRPr="00D21BA1" w:rsidRDefault="00D21BA1" w:rsidP="00D2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FE3B" w14:textId="2EE4EDB2" w:rsidR="00D21BA1" w:rsidRPr="00D21BA1" w:rsidRDefault="00EF1733" w:rsidP="00D2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+++</w:t>
            </w:r>
          </w:p>
        </w:tc>
      </w:tr>
      <w:tr w:rsidR="00D21BA1" w:rsidRPr="00D21BA1" w14:paraId="6789F932" w14:textId="77777777" w:rsidTr="00D21BA1">
        <w:trPr>
          <w:trHeight w:val="315"/>
        </w:trPr>
        <w:tc>
          <w:tcPr>
            <w:tcW w:w="1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9C60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Accūsātor post ratiōnābile tempus nōn est audiendus, nisi sē bene dē omissiōne excūsāverit.</w:t>
            </w:r>
          </w:p>
        </w:tc>
      </w:tr>
      <w:tr w:rsidR="00D21BA1" w:rsidRPr="00D21BA1" w14:paraId="5217ABC8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9E9B4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adhuc sub iudice lis* est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75F80" w14:textId="21CE3099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21BA1" w:rsidRPr="00D21BA1" w14:paraId="5647943F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260247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ad interim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249D7" w14:textId="28211890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21BA1" w:rsidRPr="00D21BA1" w14:paraId="3E3AF707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183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Aequitās in iūdiciīs inter lītigantēs servanda est.</w:t>
            </w: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D6D1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38446078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9EFB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Affirmantī, nōn negantī incumbit probātiō.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26A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60489821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ABC5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alibi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65AE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4F3CB9D6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49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annō currente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90B8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21BA1" w:rsidRPr="00D21BA1" w14:paraId="10AEBB51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1C29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  <w:t>Audiatur et altera pars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2D6F" w14:textId="48C230EF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77E61F77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CA8D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beati possidentes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B3892" w14:textId="163964EF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21BA1" w:rsidRPr="00D21BA1" w14:paraId="31F8C3CD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1FDA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Bona opīniō hominum tūtior pecūniā est.</w:t>
            </w:r>
            <w:r w:rsidRPr="00D21BA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DFA51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21BA1" w:rsidRPr="00D21BA1" w14:paraId="3E6678E8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7C692A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Bonī iūdicis est lītēs dirimere, nē līs ex līte oriātur, et interest reī pūblicae, ut sint fīnēs lītium.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33FE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0473AE55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9C1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 bonum vacans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CA46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21BA1" w:rsidRPr="00D21BA1" w14:paraId="63870458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B09E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Cavendum est, nē maior poena quam culpa sit.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10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09386D38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7F4E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>condiciōne pendente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D49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74C9ABC4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ACB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Cōnfessiō sōlī cōnfitentī nocet.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11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423A5F83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848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cuius vis hominis est errare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E2E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21BA1" w:rsidRPr="00D21BA1" w14:paraId="24ED5B14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EE18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  <w:t>culpa in omittendō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EFD4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40A54F3D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D78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  <w:t>Dare, id est rem accipientis facere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20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35A7E7AE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0DD9F51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>Dominus habētur, quī possidet, dōnec probētur contrārium.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5BD31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21BA1" w:rsidRPr="00D21BA1" w14:paraId="16958DFA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0D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Dōnātiō perficitur possessiōne accipientis.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247D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0291800D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7D00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do, ut 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1FEC" w14:textId="61778BAB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D21BA1" w:rsidRPr="00D21BA1" w14:paraId="25246AB6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EA18A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duobus litigantibus (tertius gaudet)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FB9D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21BA1" w:rsidRPr="00D21BA1" w14:paraId="520FA667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9632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 Fructūs pendentēs pars fundī videntur.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B9F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67B0B6A9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A90E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Furiōsus absentis locō est.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41F8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5E115CF6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5D12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Fūrtī cōnscius est reus sīcut agēns.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2FB0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7CFD288D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2F7E" w14:textId="77777777" w:rsidR="00D21BA1" w:rsidRPr="00D21BA1" w:rsidRDefault="00D21BA1" w:rsidP="00D2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E4B8" w14:textId="77777777" w:rsidR="00D21BA1" w:rsidRPr="00D21BA1" w:rsidRDefault="00D21BA1" w:rsidP="00D2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BA1" w:rsidRPr="00D21BA1" w14:paraId="7FE855B9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B4E4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  <w:t>Habeās corpus</w:t>
            </w:r>
            <w:r w:rsidRPr="00D21BA1">
              <w:rPr>
                <w:rFonts w:ascii="Cambria" w:eastAsia="Times New Roman" w:hAnsi="Cambria" w:cs="Calibri"/>
                <w:b/>
                <w:bCs/>
                <w:i/>
                <w:iCs/>
                <w:color w:val="833C0C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587B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63F0B778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A1C1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Habēmus optimum testem, cōnfitentem reum.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3337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421D7869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4BB656A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i/>
                <w:iCs/>
                <w:color w:val="833C0C"/>
                <w:sz w:val="24"/>
                <w:szCs w:val="24"/>
                <w:lang w:eastAsia="cs-CZ"/>
              </w:rPr>
              <w:t>Ibis, redibis, non, peribis in bello.</w:t>
            </w:r>
            <w:r w:rsidRPr="00D21BA1"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2E5FC9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  <w:t xml:space="preserve">= Půjdeš, vrátíš se, ne, zahyneš ve válce. </w:t>
            </w:r>
          </w:p>
        </w:tc>
      </w:tr>
      <w:tr w:rsidR="00D21BA1" w:rsidRPr="00D21BA1" w14:paraId="78221DA4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3E8A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 xml:space="preserve">impotentia generandī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31A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  <w:t> </w:t>
            </w:r>
          </w:p>
        </w:tc>
      </w:tr>
      <w:tr w:rsidR="00D21BA1" w:rsidRPr="00D21BA1" w14:paraId="243A6992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1E34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In crīminālibus probātiōnēs dēbent esse lūce clāriōrēs.</w:t>
            </w: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406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425A201F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D32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In dubiīs reus est absolvendus.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E266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1BCA0637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2087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 xml:space="preserve">īnsufficientia ad solvendum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97AA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77F5CF4B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AF6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>in vicem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4E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13839BB3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74C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  <w:t xml:space="preserve">iūs intercēdendī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7606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3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1F14836A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B7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Iūs est facultās agendī.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D30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1F6DABD7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F6A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Iūs summum saepe summa malitia est.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B167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253B5F2E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0E7A" w14:textId="62EE9A30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Iūstitia nēminī neganda.</w:t>
            </w: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411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4CB0A488" w14:textId="77777777" w:rsidTr="00D21BA1">
        <w:trPr>
          <w:trHeight w:val="315"/>
        </w:trPr>
        <w:tc>
          <w:tcPr>
            <w:tcW w:w="1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230D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Minimē sunt mūtanda, quae interpretātiōnem certam semper habuērunt.</w:t>
            </w:r>
          </w:p>
        </w:tc>
      </w:tr>
      <w:tr w:rsidR="00D21BA1" w:rsidRPr="00D21BA1" w14:paraId="05889086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C428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More maiorum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8B2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01D5682E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21D2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Multitūdō lītium dat locum vel vitiōsissimīs ōrātōribus.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5784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684D53D3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5EA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B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33C0B"/>
                <w:sz w:val="24"/>
                <w:szCs w:val="24"/>
                <w:lang w:eastAsia="cs-CZ"/>
              </w:rPr>
              <w:t>Lēgum servī sumus, ut līberī esse possīmus.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65B2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B"/>
                <w:sz w:val="24"/>
                <w:szCs w:val="24"/>
                <w:lang w:eastAsia="cs-CZ"/>
              </w:rPr>
            </w:pPr>
          </w:p>
        </w:tc>
      </w:tr>
      <w:tr w:rsidR="00D21BA1" w:rsidRPr="00D21BA1" w14:paraId="4B53EFA8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B0B9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  <w:t xml:space="preserve">Nihil habentī nihil dēest.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98B2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2DCBAB2D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D7C5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  <w:t>Onus probandī incumbit actori.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954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0AF9BB8F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F04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Optimus lēgum interpres cōnsuētūdō.</w:t>
            </w: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2C35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6D789FD7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94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lastRenderedPageBreak/>
              <w:t>Potior est condiciō dēfendentis.</w:t>
            </w: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38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34FA41AD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277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 Prior tempore, potior iūre.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6B5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0FDF4DDC" w14:textId="77777777" w:rsidTr="00D21BA1">
        <w:trPr>
          <w:trHeight w:val="315"/>
        </w:trPr>
        <w:tc>
          <w:tcPr>
            <w:tcW w:w="1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4E1B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Quaestiō factī in arbitriō est iūdicantis, quaestiō iūris lēgis auctōritātī reservatur.</w:t>
            </w:r>
          </w:p>
        </w:tc>
      </w:tr>
      <w:tr w:rsidR="00D21BA1" w:rsidRPr="00D21BA1" w14:paraId="7BF20AE4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A1B4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Quamvīs in bonīs marītī dōs sit, mulieris tamen est.</w:t>
            </w:r>
            <w:r w:rsidRPr="00D21BA1">
              <w:rPr>
                <w:rFonts w:ascii="Cambria" w:eastAsia="Times New Roman" w:hAnsi="Cambria" w:cs="Calibri"/>
                <w:color w:val="843C0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336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43D3A6CD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DA4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Quid faciant lēgēs, ubi sōla pecūnia rēgnat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46A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50CC9248" w14:textId="77777777" w:rsidTr="00D21BA1">
        <w:trPr>
          <w:trHeight w:val="315"/>
        </w:trPr>
        <w:tc>
          <w:tcPr>
            <w:tcW w:w="1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F0C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Quod īnfāns vel furiōsus possessor perdidit vel corrūpit, impūnītum est.</w:t>
            </w:r>
          </w:p>
        </w:tc>
      </w:tr>
      <w:tr w:rsidR="00D21BA1" w:rsidRPr="00D21BA1" w14:paraId="5D6F09C5" w14:textId="77777777" w:rsidTr="00D21BA1">
        <w:trPr>
          <w:trHeight w:val="315"/>
        </w:trPr>
        <w:tc>
          <w:tcPr>
            <w:tcW w:w="1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BBA2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Quod ipsīs, quī contrāxērunt, obstat, et successōribus eōrum obstābit.</w:t>
            </w:r>
          </w:p>
        </w:tc>
      </w:tr>
      <w:tr w:rsidR="00D21BA1" w:rsidRPr="00D21BA1" w14:paraId="23F1120A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B531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Quod semel sūmpsit, fiscus numquam reddit.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DE7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3FF91467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DF0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sectio legalis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D243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0B7D4CC0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19098DF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summum imperium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A9B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22B1B59B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1D51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Testāmenta lātissimam interpretātiōnem habēre dēbent.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95C6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0B546D99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CBA2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 xml:space="preserve">Testibus affirmantibus plūs crēditur, quam negantibus.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D4E7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39120011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4B97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Tū es iūdex, nē quid accusandus sis, vide!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4DC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7118E100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6558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  <w:t>venia aetatis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9A4A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43C0C"/>
                <w:sz w:val="24"/>
                <w:szCs w:val="24"/>
                <w:lang w:eastAsia="cs-CZ"/>
              </w:rPr>
            </w:pPr>
          </w:p>
        </w:tc>
      </w:tr>
      <w:tr w:rsidR="00D21BA1" w:rsidRPr="00D21BA1" w14:paraId="79E0B8B9" w14:textId="77777777" w:rsidTr="00D21BA1">
        <w:trPr>
          <w:trHeight w:val="31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9EDB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  <w:r w:rsidRPr="00D21BA1"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  <w:t>vitium latens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A16" w14:textId="77777777" w:rsidR="00D21BA1" w:rsidRPr="00D21BA1" w:rsidRDefault="00D21BA1" w:rsidP="00D21B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833C0C"/>
                <w:sz w:val="24"/>
                <w:szCs w:val="24"/>
                <w:lang w:eastAsia="cs-CZ"/>
              </w:rPr>
            </w:pPr>
          </w:p>
        </w:tc>
      </w:tr>
    </w:tbl>
    <w:p w14:paraId="1EDCAA5E" w14:textId="7F403505" w:rsidR="0002029F" w:rsidRDefault="0002029F"/>
    <w:p w14:paraId="5D3EFB19" w14:textId="5433D8B4" w:rsidR="004F3B16" w:rsidRDefault="004F3B16"/>
    <w:p w14:paraId="640D5D6F" w14:textId="26C78123" w:rsidR="004F3B16" w:rsidRDefault="004F3B16">
      <w:r>
        <w:t>Z dřívějška: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4F3B16" w:rsidRPr="004F3B16" w14:paraId="2BA09B8A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0"/>
            </w:tblGrid>
            <w:tr w:rsidR="004F3B16" w:rsidRPr="004F3B16" w14:paraId="12A84DB9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B5C13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color w:val="E26B0A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color w:val="E26B0A"/>
                      <w:sz w:val="24"/>
                      <w:szCs w:val="24"/>
                      <w:lang w:eastAsia="cs-CZ"/>
                    </w:rPr>
                    <w:t>Ab abusu ad usum non valet consequentia</w:t>
                  </w:r>
                </w:p>
              </w:tc>
            </w:tr>
            <w:tr w:rsidR="004F3B16" w:rsidRPr="004F3B16" w14:paraId="56C40F3D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A7FC2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Abūsus nōn tollit ūsum</w:t>
                  </w:r>
                </w:p>
              </w:tc>
            </w:tr>
            <w:tr w:rsidR="004F3B16" w:rsidRPr="004F3B16" w14:paraId="30C4A67A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8DB5F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Āctiō persōnālis moritur cum persōnā</w:t>
                  </w:r>
                </w:p>
              </w:tc>
            </w:tr>
            <w:tr w:rsidR="004F3B16" w:rsidRPr="004F3B16" w14:paraId="649406E5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35D6E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Āctōrī incumbit probātiō</w:t>
                  </w:r>
                </w:p>
              </w:tc>
            </w:tr>
          </w:tbl>
          <w:p w14:paraId="110C9AF0" w14:textId="1BA7EACB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>Aliquis non dēbet esse iūdex in propriā causā, quia nōn potest esse iūdex et pars.</w:t>
            </w:r>
          </w:p>
        </w:tc>
      </w:tr>
      <w:tr w:rsidR="004F3B16" w:rsidRPr="004F3B16" w14:paraId="694EDBFD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D95F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  <w:t xml:space="preserve">a mensa et toro </w:t>
            </w:r>
          </w:p>
        </w:tc>
      </w:tr>
      <w:tr w:rsidR="004F3B16" w:rsidRPr="004F3B16" w14:paraId="544FFCF3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67E2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  <w:t xml:space="preserve">Apud bonum iūdicem argūmenta plūs quam testēs valent. </w:t>
            </w:r>
          </w:p>
        </w:tc>
      </w:tr>
      <w:tr w:rsidR="004F3B16" w:rsidRPr="004F3B16" w14:paraId="33E0A562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0"/>
            </w:tblGrid>
            <w:tr w:rsidR="004F3B16" w:rsidRPr="004F3B16" w14:paraId="43206907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8E330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459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45911"/>
                      <w:sz w:val="24"/>
                      <w:szCs w:val="24"/>
                      <w:lang w:eastAsia="cs-CZ"/>
                    </w:rPr>
                    <w:t>Boni iudicis est ampliare iustitiam</w:t>
                  </w:r>
                </w:p>
              </w:tc>
            </w:tr>
            <w:tr w:rsidR="004F3B16" w:rsidRPr="004F3B16" w14:paraId="75D0DC77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9FB0C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Bonus iūdex variē ex persōnīs causīsque constituet.</w:t>
                  </w:r>
                </w:p>
              </w:tc>
            </w:tr>
            <w:tr w:rsidR="004F3B16" w:rsidRPr="004F3B16" w14:paraId="5CEDB862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6AAA7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Capitis dēminūtiō tribus modīs accidit. </w:t>
                  </w:r>
                </w:p>
              </w:tc>
            </w:tr>
          </w:tbl>
          <w:p w14:paraId="089E16E3" w14:textId="4C356CCE" w:rsidR="004F3B16" w:rsidRPr="004F3B16" w:rsidRDefault="004F3B16" w:rsidP="00235E21">
            <w:pPr>
              <w:spacing w:line="360" w:lineRule="auto"/>
              <w:rPr>
                <w:rFonts w:ascii="Cambria" w:hAnsi="Cambria" w:cs="Calibri"/>
                <w:b/>
                <w:bCs/>
                <w:color w:val="C55A11"/>
                <w:sz w:val="24"/>
                <w:szCs w:val="24"/>
              </w:rPr>
            </w:pPr>
            <w:r w:rsidRPr="004F3B16">
              <w:rPr>
                <w:rFonts w:ascii="Cambria" w:hAnsi="Cambria" w:cs="Calibri"/>
                <w:b/>
                <w:bCs/>
                <w:color w:val="C55A11"/>
                <w:sz w:val="24"/>
                <w:szCs w:val="24"/>
              </w:rPr>
              <w:t>Cōgitātiōnis* poenam nēmō patitur</w:t>
            </w:r>
          </w:p>
        </w:tc>
      </w:tr>
      <w:tr w:rsidR="004F3B16" w:rsidRPr="004F3B16" w14:paraId="25F77AE1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0"/>
            </w:tblGrid>
            <w:tr w:rsidR="004F3B16" w:rsidRPr="004F3B16" w14:paraId="0250CAE8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B7413" w14:textId="0AE38044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459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hAnsi="Cambria" w:cs="Calibri"/>
                      <w:b/>
                      <w:bCs/>
                      <w:color w:val="C55A11"/>
                      <w:sz w:val="24"/>
                      <w:szCs w:val="24"/>
                    </w:rPr>
                    <w:t>Commodum ex iniūriā suā nēmō habēre dēbet.</w:t>
                  </w:r>
                  <w:r w:rsidRPr="004F3B16">
                    <w:rPr>
                      <w:rFonts w:ascii="Cambria" w:hAnsi="Cambria" w:cs="Calibri"/>
                      <w:color w:val="C55A11"/>
                      <w:sz w:val="24"/>
                      <w:szCs w:val="24"/>
                    </w:rPr>
                    <w:t xml:space="preserve"> </w:t>
                  </w:r>
                  <w:r w:rsidR="00235E21">
                    <w:rPr>
                      <w:rFonts w:ascii="Cambria" w:hAnsi="Cambria" w:cs="Calibri"/>
                      <w:color w:val="C55A11"/>
                      <w:sz w:val="24"/>
                      <w:szCs w:val="24"/>
                    </w:rPr>
                    <w:br/>
                  </w: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45911"/>
                      <w:sz w:val="24"/>
                      <w:szCs w:val="24"/>
                      <w:lang w:eastAsia="cs-CZ"/>
                    </w:rPr>
                    <w:t>crimen laesae maiestatis</w:t>
                  </w:r>
                </w:p>
              </w:tc>
            </w:tr>
            <w:tr w:rsidR="004F3B16" w:rsidRPr="004F3B16" w14:paraId="34241355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4DD20" w14:textId="54BC5FAF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color w:val="C00000"/>
                      <w:sz w:val="24"/>
                      <w:szCs w:val="24"/>
                      <w:lang w:eastAsia="cs-CZ"/>
                    </w:rPr>
                    <w:t>cui prodest?</w:t>
                  </w:r>
                </w:p>
              </w:tc>
            </w:tr>
            <w:tr w:rsidR="004F3B16" w:rsidRPr="004F3B16" w14:paraId="7DA79DCF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67446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Cuius est condere lēgem, eius est abrogāre.</w:t>
                  </w:r>
                </w:p>
              </w:tc>
            </w:tr>
          </w:tbl>
          <w:p w14:paraId="41D86715" w14:textId="2231D2F2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>Dēbitor reī certae interitū reī līberātur</w:t>
            </w:r>
            <w:r w:rsidRPr="004F3B1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F3B16" w:rsidRPr="004F3B16" w14:paraId="1EDA4F6F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0"/>
            </w:tblGrid>
            <w:tr w:rsidR="004F3B16" w:rsidRPr="004F3B16" w14:paraId="09E92D5E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12305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Dērogātur lēgī, cum pars dētrahitur; abrogātur lēgī, cum prōrsus tollitur.</w:t>
                  </w:r>
                </w:p>
              </w:tc>
            </w:tr>
            <w:tr w:rsidR="004F3B16" w:rsidRPr="004F3B16" w14:paraId="705C1646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E2B9D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Diēī adiectiō in dubiō prō reō est.</w:t>
                  </w:r>
                  <w:r w:rsidRPr="004F3B16">
                    <w:rPr>
                      <w:rFonts w:ascii="Cambria" w:eastAsia="Times New Roman" w:hAnsi="Cambria" w:cs="Calibri"/>
                      <w:color w:val="C55A11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14:paraId="0C291369" w14:textId="5A108C5A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  <w:t>Dolus auctoris non nocet successori</w:t>
            </w:r>
          </w:p>
        </w:tc>
      </w:tr>
      <w:tr w:rsidR="004F3B16" w:rsidRPr="004F3B16" w14:paraId="25E15989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06D8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  <w:t>Dominus soli est dominus coeli et infernorum</w:t>
            </w:r>
          </w:p>
        </w:tc>
      </w:tr>
      <w:tr w:rsidR="004F3B16" w:rsidRPr="004F3B16" w14:paraId="6A631D7A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9C75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 xml:space="preserve">Dōs aut datur, aut dīcitur, aut prōmittitur. </w:t>
            </w:r>
          </w:p>
        </w:tc>
      </w:tr>
      <w:tr w:rsidR="004F3B16" w:rsidRPr="004F3B16" w14:paraId="6E6955E1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BD84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lastRenderedPageBreak/>
              <w:t>Duōbus modīs, id est aut vī aut fraude, fit iniūria</w:t>
            </w:r>
          </w:p>
        </w:tc>
      </w:tr>
      <w:tr w:rsidR="004F3B16" w:rsidRPr="004F3B16" w14:paraId="00F91B13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0"/>
            </w:tblGrid>
            <w:tr w:rsidR="004F3B16" w:rsidRPr="004F3B16" w14:paraId="611BC87D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02A19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Eius est interpretārī lēgem, cuius est condere. </w:t>
                  </w:r>
                </w:p>
              </w:tc>
            </w:tr>
            <w:tr w:rsidR="004F3B16" w:rsidRPr="004F3B16" w14:paraId="1FBDEB12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74139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459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45911"/>
                      <w:sz w:val="24"/>
                      <w:szCs w:val="24"/>
                      <w:lang w:eastAsia="cs-CZ"/>
                    </w:rPr>
                    <w:t>Emptor curiosus esse debet</w:t>
                  </w:r>
                </w:p>
              </w:tc>
            </w:tr>
          </w:tbl>
          <w:p w14:paraId="604CE4F9" w14:textId="53EFD055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 xml:space="preserve"> Fatētur facinus, quī iūdicium fugit.</w:t>
            </w:r>
          </w:p>
        </w:tc>
      </w:tr>
      <w:tr w:rsidR="004F3B16" w:rsidRPr="004F3B16" w14:paraId="0D652891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499E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>Fictiō iūris idem operātur, quod vēritās</w:t>
            </w:r>
            <w:r w:rsidRPr="004F3B16">
              <w:rPr>
                <w:rFonts w:ascii="Cambria" w:eastAsia="Times New Roman" w:hAnsi="Cambria" w:cs="Calibri"/>
                <w:color w:val="C55A11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F3B16" w:rsidRPr="004F3B16" w14:paraId="1C6D1865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EC8F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>Fictiō iūris nātūram imitātur, quantum potest</w:t>
            </w:r>
          </w:p>
        </w:tc>
      </w:tr>
      <w:tr w:rsidR="004F3B16" w:rsidRPr="004F3B16" w14:paraId="5E982826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AAA4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>Grande scelus grandī studiō dēbet superari</w:t>
            </w:r>
          </w:p>
        </w:tc>
      </w:tr>
      <w:tr w:rsidR="004F3B16" w:rsidRPr="004F3B16" w14:paraId="429781C2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2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5"/>
              <w:gridCol w:w="2601"/>
            </w:tblGrid>
            <w:tr w:rsidR="004F3B16" w:rsidRPr="004F3B16" w14:paraId="284DEC82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FBD46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u w:val="single"/>
                      <w:lang w:eastAsia="cs-CZ"/>
                    </w:rPr>
                    <w:t>Iūdicis est</w:t>
                  </w: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  <w:t xml:space="preserve"> semper in causīs vērum </w:t>
                  </w: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u w:val="single"/>
                      <w:lang w:eastAsia="cs-CZ"/>
                    </w:rPr>
                    <w:t>sequī.</w:t>
                  </w: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CD901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F3B16" w:rsidRPr="004F3B16" w14:paraId="19D474AE" w14:textId="77777777" w:rsidTr="004F3B16">
              <w:trPr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6F557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Iūrāre nōn cōgitur, quī sufficienter probat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EFAB2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F3B16" w:rsidRPr="004F3B16" w14:paraId="6792ADEB" w14:textId="77777777" w:rsidTr="004F3B16">
              <w:trPr>
                <w:trHeight w:val="402"/>
              </w:trPr>
              <w:tc>
                <w:tcPr>
                  <w:tcW w:w="12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CEDFD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  <w:t>Iuris praecepta haec sunt: honestē vīvere, nēminem laedere, suum cuique tribuere.</w:t>
                  </w:r>
                </w:p>
              </w:tc>
            </w:tr>
          </w:tbl>
          <w:p w14:paraId="2F1E906D" w14:textId="0126F441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 xml:space="preserve"> lege artis</w:t>
            </w:r>
          </w:p>
        </w:tc>
      </w:tr>
      <w:tr w:rsidR="004F3B16" w:rsidRPr="004F3B16" w14:paraId="16F41E6D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D95A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 xml:space="preserve">Lēgēs duodecim tabulārum sunt fōns omnis pūblicī prīvātīque iūris. </w:t>
            </w:r>
          </w:p>
        </w:tc>
      </w:tr>
      <w:tr w:rsidR="004F3B16" w:rsidRPr="004F3B16" w14:paraId="4B3D6D7A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0"/>
              <w:gridCol w:w="140"/>
            </w:tblGrid>
            <w:tr w:rsidR="004F3B16" w:rsidRPr="004F3B16" w14:paraId="7331F41E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88A64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Nam tua rēs agitur, pariēs cum proximus ardet.</w:t>
                  </w:r>
                </w:p>
              </w:tc>
            </w:tr>
            <w:tr w:rsidR="004F3B16" w:rsidRPr="004F3B16" w14:paraId="6882CF8A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F2246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color w:val="C55A11"/>
                      <w:sz w:val="24"/>
                      <w:szCs w:val="24"/>
                      <w:lang w:eastAsia="cs-CZ"/>
                    </w:rPr>
                    <w:t>nē bis in idem</w:t>
                  </w:r>
                </w:p>
              </w:tc>
            </w:tr>
            <w:tr w:rsidR="004F3B16" w:rsidRPr="004F3B16" w14:paraId="03EBC8E2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0C17D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Nēmō dēbet bis pūnīrī prō ūnō dēlictō.</w:t>
                  </w:r>
                  <w:r w:rsidRPr="004F3B16">
                    <w:rPr>
                      <w:rFonts w:ascii="Cambria" w:eastAsia="Times New Roman" w:hAnsi="Cambria" w:cs="Calibri"/>
                      <w:color w:val="C55A11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4F3B16" w:rsidRPr="004F3B16" w14:paraId="41508BFA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62BF2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Nemo dēbet lucrārī ex aliēnō damnō. </w:t>
                  </w:r>
                </w:p>
              </w:tc>
            </w:tr>
            <w:tr w:rsidR="004F3B16" w:rsidRPr="004F3B16" w14:paraId="6582F696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6BDFA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Nēmō nōn benignus est </w:t>
                  </w: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u w:val="single"/>
                      <w:lang w:eastAsia="cs-CZ"/>
                    </w:rPr>
                    <w:t xml:space="preserve">suī </w:t>
                  </w: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iūdex. </w:t>
                  </w:r>
                </w:p>
              </w:tc>
            </w:tr>
            <w:tr w:rsidR="004F3B16" w:rsidRPr="004F3B16" w14:paraId="693202DE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07A56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Nūdus ūsus est sine frūctū. </w:t>
                  </w:r>
                </w:p>
              </w:tc>
            </w:tr>
            <w:tr w:rsidR="004F3B16" w:rsidRPr="004F3B16" w14:paraId="561A792F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4DF62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Obligātiō contrāriō cōnsēnsū dissolvitur. </w:t>
                  </w:r>
                </w:p>
              </w:tc>
            </w:tr>
            <w:tr w:rsidR="004F3B16" w:rsidRPr="004F3B16" w14:paraId="52FAF0B2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7DDF5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u w:val="single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u w:val="single"/>
                      <w:lang w:eastAsia="cs-CZ"/>
                    </w:rPr>
                    <w:t>Omnis</w:t>
                  </w: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 enim obligātiō aut ex contractū aut ex dēlictō nāscitur</w:t>
                  </w:r>
                </w:p>
              </w:tc>
            </w:tr>
            <w:tr w:rsidR="004F3B16" w:rsidRPr="004F3B16" w14:paraId="3896C58F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F337C" w14:textId="00662525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459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hAnsi="Cambria" w:cs="Calibri"/>
                      <w:b/>
                      <w:bCs/>
                      <w:color w:val="C55A11"/>
                      <w:sz w:val="24"/>
                      <w:szCs w:val="24"/>
                    </w:rPr>
                    <w:t>Orīgō reī īnspicī dēbet</w:t>
                  </w: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45911"/>
                      <w:sz w:val="24"/>
                      <w:szCs w:val="24"/>
                      <w:lang w:eastAsia="cs-CZ"/>
                    </w:rPr>
                    <w:t>periculum in mora</w:t>
                  </w:r>
                </w:p>
              </w:tc>
            </w:tr>
            <w:tr w:rsidR="004F3B16" w:rsidRPr="004F3B16" w14:paraId="43D867A0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5CA8E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  <w:t>Per līberam persōnam nōbīs acquīrī nōn potest.</w:t>
                  </w:r>
                  <w:r w:rsidRPr="004F3B16">
                    <w:rPr>
                      <w:rFonts w:ascii="Cambria" w:eastAsia="Times New Roman" w:hAnsi="Cambria" w:cs="Calibri"/>
                      <w:color w:val="E26B0A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4F3B16" w:rsidRPr="004F3B16" w14:paraId="28438A54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EB21B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Plēbs est cēterī cīvēs sine</w:t>
                  </w:r>
                </w:p>
              </w:tc>
            </w:tr>
            <w:tr w:rsidR="004F3B16" w:rsidRPr="004F3B16" w14:paraId="294085F9" w14:textId="77777777" w:rsidTr="004F3B16">
              <w:trPr>
                <w:gridAfter w:val="1"/>
                <w:wAfter w:w="140" w:type="dxa"/>
                <w:trHeight w:val="402"/>
              </w:trPr>
              <w:tc>
                <w:tcPr>
                  <w:tcW w:w="9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E8E29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 xml:space="preserve">Poena illīus huius praemium esse nōn dēbet. </w:t>
                  </w:r>
                </w:p>
              </w:tc>
            </w:tr>
            <w:tr w:rsidR="004F3B16" w:rsidRPr="004F3B16" w14:paraId="6B52295D" w14:textId="77777777" w:rsidTr="004F3B16">
              <w:trPr>
                <w:trHeight w:val="402"/>
              </w:trPr>
              <w:tc>
                <w:tcPr>
                  <w:tcW w:w="9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90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0"/>
                  </w:tblGrid>
                  <w:tr w:rsidR="004F3B16" w:rsidRPr="004F3B16" w14:paraId="3EDB8AFA" w14:textId="77777777" w:rsidTr="004F3B16">
                    <w:trPr>
                      <w:trHeight w:val="402"/>
                    </w:trPr>
                    <w:tc>
                      <w:tcPr>
                        <w:tcW w:w="9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3D9DCE" w14:textId="77777777" w:rsidR="004F3B16" w:rsidRPr="004F3B16" w:rsidRDefault="004F3B16" w:rsidP="00235E21">
                        <w:pPr>
                          <w:spacing w:after="0" w:line="360" w:lineRule="auto"/>
                          <w:rPr>
                            <w:rFonts w:ascii="Cambria" w:eastAsia="Times New Roman" w:hAnsi="Cambria" w:cs="Calibri"/>
                            <w:b/>
                            <w:bCs/>
                            <w:color w:val="C55A11"/>
                            <w:sz w:val="24"/>
                            <w:szCs w:val="24"/>
                            <w:lang w:eastAsia="cs-CZ"/>
                          </w:rPr>
                        </w:pPr>
                        <w:r w:rsidRPr="004F3B16">
                          <w:rPr>
                            <w:rFonts w:ascii="Cambria" w:eastAsia="Times New Roman" w:hAnsi="Cambria" w:cs="Calibri"/>
                            <w:b/>
                            <w:bCs/>
                            <w:color w:val="C55A11"/>
                            <w:sz w:val="24"/>
                            <w:szCs w:val="24"/>
                            <w:lang w:eastAsia="cs-CZ"/>
                          </w:rPr>
                          <w:t xml:space="preserve">Procurator causae nōn potest prōdūcī in testem, nē cōgī ad hoc. </w:t>
                        </w:r>
                      </w:p>
                    </w:tc>
                  </w:tr>
                </w:tbl>
                <w:p w14:paraId="2E1EB6A8" w14:textId="560CC2D9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E26B0A"/>
                      <w:sz w:val="24"/>
                      <w:szCs w:val="24"/>
                      <w:lang w:eastAsia="cs-CZ"/>
                    </w:rPr>
                    <w:t>Res familiaris debet cōnservārī dīligentiā et parsimōniā.</w:t>
                  </w:r>
                </w:p>
              </w:tc>
            </w:tr>
            <w:tr w:rsidR="004F3B16" w:rsidRPr="004F3B16" w14:paraId="746DF48D" w14:textId="77777777" w:rsidTr="004F3B16">
              <w:trPr>
                <w:trHeight w:val="402"/>
              </w:trPr>
              <w:tc>
                <w:tcPr>
                  <w:tcW w:w="9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9C8EC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color w:val="E26B0A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color w:val="E26B0A"/>
                      <w:sz w:val="24"/>
                      <w:szCs w:val="24"/>
                      <w:lang w:eastAsia="cs-CZ"/>
                    </w:rPr>
                    <w:t xml:space="preserve">rēs pūblica </w:t>
                  </w:r>
                  <w:r w:rsidRPr="004F3B16">
                    <w:rPr>
                      <w:rFonts w:ascii="Cambria" w:eastAsia="Times New Roman" w:hAnsi="Cambria" w:cs="Calibri"/>
                      <w:sz w:val="24"/>
                      <w:szCs w:val="24"/>
                      <w:lang w:eastAsia="cs-CZ"/>
                    </w:rPr>
                    <w:t>X res publica libera</w:t>
                  </w:r>
                </w:p>
              </w:tc>
            </w:tr>
            <w:tr w:rsidR="004F3B16" w:rsidRPr="004F3B16" w14:paraId="28D96FD4" w14:textId="77777777" w:rsidTr="004F3B16">
              <w:trPr>
                <w:trHeight w:val="402"/>
              </w:trPr>
              <w:tc>
                <w:tcPr>
                  <w:tcW w:w="9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BB7DD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rigor mortis</w:t>
                  </w:r>
                </w:p>
              </w:tc>
            </w:tr>
            <w:tr w:rsidR="004F3B16" w:rsidRPr="004F3B16" w14:paraId="03545DD0" w14:textId="77777777" w:rsidTr="004F3B16">
              <w:trPr>
                <w:trHeight w:val="402"/>
              </w:trPr>
              <w:tc>
                <w:tcPr>
                  <w:tcW w:w="9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3E9FD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color w:val="C55A11"/>
                      <w:sz w:val="24"/>
                      <w:szCs w:val="24"/>
                      <w:lang w:eastAsia="cs-CZ"/>
                    </w:rPr>
                    <w:t>senātus populusque Rōmānus</w:t>
                  </w:r>
                </w:p>
              </w:tc>
            </w:tr>
            <w:tr w:rsidR="004F3B16" w:rsidRPr="004F3B16" w14:paraId="47882797" w14:textId="77777777" w:rsidTr="004F3B16">
              <w:trPr>
                <w:trHeight w:val="402"/>
              </w:trPr>
              <w:tc>
                <w:tcPr>
                  <w:tcW w:w="9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FB24D" w14:textId="77777777" w:rsidR="004F3B16" w:rsidRPr="004F3B16" w:rsidRDefault="004F3B16" w:rsidP="00235E21">
                  <w:pPr>
                    <w:spacing w:after="0" w:line="360" w:lineRule="auto"/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</w:pPr>
                  <w:r w:rsidRPr="004F3B16">
                    <w:rPr>
                      <w:rFonts w:ascii="Cambria" w:eastAsia="Times New Roman" w:hAnsi="Cambria" w:cs="Calibri"/>
                      <w:b/>
                      <w:bCs/>
                      <w:color w:val="C55A11"/>
                      <w:sz w:val="24"/>
                      <w:szCs w:val="24"/>
                      <w:lang w:eastAsia="cs-CZ"/>
                    </w:rPr>
                    <w:t>Sequī dēbet potentia iūstitiam, nōn praecēdere.</w:t>
                  </w:r>
                </w:p>
              </w:tc>
            </w:tr>
          </w:tbl>
          <w:p w14:paraId="42B23F91" w14:textId="5E3C5F7D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 xml:space="preserve">Superficiēs solō cēdit. </w:t>
            </w:r>
          </w:p>
        </w:tc>
      </w:tr>
      <w:tr w:rsidR="004F3B16" w:rsidRPr="004F3B16" w14:paraId="52AC3661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B16C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 xml:space="preserve">Testāmenta lātissimam interpretātiōnem habēre dēbent. </w:t>
            </w:r>
          </w:p>
        </w:tc>
      </w:tr>
      <w:tr w:rsidR="004F3B16" w:rsidRPr="004F3B16" w14:paraId="2570CC0F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BD9C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>Ubi eadem ratiō, ibi idem iūs, et dē similibus idem est iūdicium.</w:t>
            </w:r>
          </w:p>
        </w:tc>
      </w:tr>
      <w:tr w:rsidR="004F3B16" w:rsidRPr="004F3B16" w14:paraId="0D146DF5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32BD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color w:val="C55A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 xml:space="preserve">Ubi iūdicat, quī accūsat, </w:t>
            </w: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u w:val="single"/>
                <w:lang w:eastAsia="cs-CZ"/>
              </w:rPr>
              <w:t>vīs</w:t>
            </w:r>
            <w:r w:rsidRPr="004F3B16">
              <w:rPr>
                <w:rFonts w:ascii="Cambria" w:eastAsia="Times New Roman" w:hAnsi="Cambria" w:cs="Calibri"/>
                <w:b/>
                <w:bCs/>
                <w:color w:val="C55A11"/>
                <w:sz w:val="24"/>
                <w:szCs w:val="24"/>
                <w:lang w:eastAsia="cs-CZ"/>
              </w:rPr>
              <w:t>, nōn lēx valet.</w:t>
            </w:r>
            <w:r w:rsidRPr="004F3B16">
              <w:rPr>
                <w:rFonts w:ascii="Cambria" w:eastAsia="Times New Roman" w:hAnsi="Cambria" w:cs="Calibri"/>
                <w:color w:val="C55A1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F3B16" w:rsidRPr="004F3B16" w14:paraId="7C406F26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F5B1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C45911"/>
                <w:sz w:val="24"/>
                <w:szCs w:val="24"/>
                <w:lang w:eastAsia="cs-CZ"/>
              </w:rPr>
              <w:t>Ultra posse nemo obligatur (tenetur)</w:t>
            </w:r>
            <w:r w:rsidRPr="004F3B1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F3B16" w:rsidRPr="004F3B16" w14:paraId="2763BFC5" w14:textId="77777777" w:rsidTr="004F3B16">
        <w:trPr>
          <w:trHeight w:val="402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FB91" w14:textId="77777777" w:rsidR="004F3B16" w:rsidRPr="004F3B16" w:rsidRDefault="004F3B16" w:rsidP="00235E21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cs-CZ"/>
              </w:rPr>
            </w:pPr>
            <w:r w:rsidRPr="004F3B16">
              <w:rPr>
                <w:rFonts w:ascii="Cambria" w:eastAsia="Times New Roman" w:hAnsi="Cambria" w:cs="Calibri"/>
                <w:b/>
                <w:bCs/>
                <w:color w:val="E26B0A"/>
                <w:sz w:val="24"/>
                <w:szCs w:val="24"/>
                <w:lang w:eastAsia="cs-CZ"/>
              </w:rPr>
              <w:t xml:space="preserve">Ūniversitās vice persōnae fungitur. </w:t>
            </w:r>
          </w:p>
        </w:tc>
      </w:tr>
    </w:tbl>
    <w:p w14:paraId="67E963D7" w14:textId="77777777" w:rsidR="004F3B16" w:rsidRPr="004F3B16" w:rsidRDefault="004F3B16" w:rsidP="00235E21">
      <w:pPr>
        <w:spacing w:line="360" w:lineRule="auto"/>
        <w:rPr>
          <w:rFonts w:ascii="Cambria" w:hAnsi="Cambria"/>
          <w:sz w:val="24"/>
          <w:szCs w:val="24"/>
        </w:rPr>
      </w:pPr>
    </w:p>
    <w:sectPr w:rsidR="004F3B16" w:rsidRPr="004F3B16" w:rsidSect="00D21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1"/>
    <w:rsid w:val="0002029F"/>
    <w:rsid w:val="000622F4"/>
    <w:rsid w:val="00235E21"/>
    <w:rsid w:val="004F3B16"/>
    <w:rsid w:val="005C16A3"/>
    <w:rsid w:val="00D21BA1"/>
    <w:rsid w:val="00D56A19"/>
    <w:rsid w:val="00E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988F"/>
  <w15:chartTrackingRefBased/>
  <w15:docId w15:val="{E0B39A90-CB39-4E63-87D5-CD48FA2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Kamila</cp:lastModifiedBy>
  <cp:revision>2</cp:revision>
  <dcterms:created xsi:type="dcterms:W3CDTF">2023-04-28T21:31:00Z</dcterms:created>
  <dcterms:modified xsi:type="dcterms:W3CDTF">2023-04-28T21:31:00Z</dcterms:modified>
</cp:coreProperties>
</file>