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144E" w14:textId="77777777" w:rsidR="000A631C" w:rsidRPr="00886DDA" w:rsidRDefault="000A631C" w:rsidP="005B66AF">
      <w:pPr>
        <w:pStyle w:val="Odstavecseseznamem"/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40"/>
          <w:szCs w:val="40"/>
          <w:u w:val="single"/>
          <w:lang w:eastAsia="cs-CZ"/>
        </w:rPr>
      </w:pPr>
      <w:r w:rsidRPr="00886DDA">
        <w:rPr>
          <w:rFonts w:ascii="Garamond" w:eastAsia="Times New Roman" w:hAnsi="Garamond" w:cs="Times New Roman"/>
          <w:b/>
          <w:spacing w:val="30"/>
          <w:sz w:val="40"/>
          <w:szCs w:val="40"/>
          <w:u w:val="single"/>
          <w:lang w:eastAsia="cs-CZ"/>
        </w:rPr>
        <w:t>PROGRAM PŘEDNÁŠEK</w:t>
      </w:r>
    </w:p>
    <w:p w14:paraId="21B8F524" w14:textId="7F98CA30" w:rsidR="000A631C" w:rsidRPr="008A4D07" w:rsidRDefault="000A631C" w:rsidP="000A631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(</w:t>
      </w:r>
      <w:r w:rsidR="0035322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lichá 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středa</w:t>
      </w:r>
      <w:r w:rsidR="0035322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18:00 – 19:40</w:t>
      </w:r>
      <w:r w:rsidR="0035322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učebna č. </w:t>
      </w:r>
      <w:r w:rsidR="005B66AF">
        <w:rPr>
          <w:rFonts w:ascii="Garamond" w:eastAsia="Times New Roman" w:hAnsi="Garamond" w:cs="Times New Roman"/>
          <w:sz w:val="24"/>
          <w:szCs w:val="24"/>
          <w:lang w:eastAsia="cs-CZ"/>
        </w:rPr>
        <w:t>209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4FA122D8" w14:textId="77777777" w:rsidR="000A631C" w:rsidRPr="008A4D07" w:rsidRDefault="000A631C" w:rsidP="000A631C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</w:p>
    <w:p w14:paraId="73C29E38" w14:textId="0F8D9FA9" w:rsidR="000A631C" w:rsidRPr="008A4D07" w:rsidRDefault="000A631C" w:rsidP="000A631C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 xml:space="preserve">1. přednáška 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A15269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12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. </w:t>
      </w:r>
      <w:r w:rsidR="00A15269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3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202</w:t>
      </w:r>
      <w:r w:rsidR="00A15269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A15269"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(d</w:t>
      </w:r>
      <w:r w:rsidR="00A15269">
        <w:rPr>
          <w:rFonts w:ascii="Garamond" w:eastAsia="Times New Roman" w:hAnsi="Garamond" w:cs="Times New Roman"/>
          <w:sz w:val="24"/>
          <w:szCs w:val="24"/>
          <w:lang w:eastAsia="cs-CZ"/>
        </w:rPr>
        <w:t>oc</w:t>
      </w:r>
      <w:r w:rsidR="00A15269" w:rsidRPr="008A4D0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A15269">
        <w:rPr>
          <w:rFonts w:ascii="Garamond" w:eastAsia="Times New Roman" w:hAnsi="Garamond" w:cs="Times New Roman"/>
          <w:sz w:val="24"/>
          <w:szCs w:val="24"/>
          <w:lang w:eastAsia="cs-CZ"/>
        </w:rPr>
        <w:t>Potěšil</w:t>
      </w:r>
      <w:r w:rsidR="00A15269" w:rsidRPr="008A4D0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</w:t>
      </w:r>
    </w:p>
    <w:p w14:paraId="0A4CA4BA" w14:textId="77777777" w:rsidR="00A15269" w:rsidRPr="008A4D07" w:rsidRDefault="00A15269" w:rsidP="00A15269">
      <w:pPr>
        <w:tabs>
          <w:tab w:val="left" w:pos="708"/>
        </w:tabs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</w:pP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>Pojem evropské správní právo. E</w:t>
      </w:r>
      <w:r w:rsidRPr="008A4D07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uropeizace národního (domácího) správního práva. Rada Evropy a Evropská unie </w:t>
      </w:r>
      <w:r w:rsidRPr="008A4D07">
        <w:rPr>
          <w:rFonts w:ascii="Garamond" w:eastAsia="Times New Roman" w:hAnsi="Garamond" w:cs="Arial"/>
          <w:sz w:val="24"/>
          <w:szCs w:val="24"/>
          <w:lang w:eastAsia="cs-CZ"/>
        </w:rPr>
        <w:t>(jejich vliv na domácí právní úpravu).</w:t>
      </w:r>
      <w:r w:rsidRPr="008A4D07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 Pojetí europeizace v domácím právním řádu </w:t>
      </w:r>
      <w:r w:rsidRPr="008A4D07">
        <w:rPr>
          <w:rFonts w:ascii="Garamond" w:eastAsia="Times New Roman" w:hAnsi="Garamond" w:cs="Arial"/>
          <w:sz w:val="24"/>
          <w:szCs w:val="24"/>
          <w:lang w:eastAsia="cs-CZ"/>
        </w:rPr>
        <w:t>(dokumenty Rady Evropy; příklady a judikatura)</w:t>
      </w:r>
    </w:p>
    <w:p w14:paraId="114A8498" w14:textId="77777777" w:rsidR="000A631C" w:rsidRPr="008A4D07" w:rsidRDefault="000A631C" w:rsidP="000A631C">
      <w:pPr>
        <w:tabs>
          <w:tab w:val="left" w:pos="708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</w:p>
    <w:p w14:paraId="2C02B4D4" w14:textId="2D9A43B9" w:rsidR="000A654E" w:rsidRPr="008A4D07" w:rsidRDefault="000A631C" w:rsidP="000A654E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2. přednáška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 xml:space="preserve"> 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0A654E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26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3. 202</w:t>
      </w:r>
      <w:r w:rsidR="000A654E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41158D">
        <w:rPr>
          <w:rFonts w:ascii="Garamond" w:eastAsia="Times New Roman" w:hAnsi="Garamond" w:cs="Times New Roman"/>
          <w:sz w:val="24"/>
          <w:szCs w:val="24"/>
          <w:lang w:eastAsia="cs-CZ"/>
        </w:rPr>
        <w:t>(</w:t>
      </w:r>
      <w:r w:rsidR="0041158D" w:rsidRPr="008A4D0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dr. </w:t>
      </w:r>
      <w:r w:rsidR="0041158D">
        <w:rPr>
          <w:rFonts w:ascii="Garamond" w:eastAsia="Times New Roman" w:hAnsi="Garamond" w:cs="Times New Roman"/>
          <w:sz w:val="24"/>
          <w:szCs w:val="24"/>
          <w:lang w:eastAsia="cs-CZ"/>
        </w:rPr>
        <w:t>Svoboda</w:t>
      </w:r>
      <w:r w:rsidR="0041158D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64A70B10" w14:textId="77777777" w:rsidR="0041158D" w:rsidRDefault="0041158D" w:rsidP="0041158D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</w:pP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Regionální a kohezní politika Evropské unie. </w:t>
      </w:r>
      <w:r w:rsidRPr="008A4D07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Východiska evropské </w:t>
      </w:r>
      <w:proofErr w:type="spellStart"/>
      <w:r w:rsidRPr="008A4D07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nevrchnostenské</w:t>
      </w:r>
      <w:proofErr w:type="spellEnd"/>
      <w:r w:rsidRPr="008A4D07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 správy</w:t>
      </w:r>
    </w:p>
    <w:p w14:paraId="67714A8B" w14:textId="77777777" w:rsidR="000A631C" w:rsidRPr="008A4D07" w:rsidRDefault="000A631C" w:rsidP="000A631C">
      <w:pPr>
        <w:tabs>
          <w:tab w:val="left" w:pos="0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</w:pPr>
    </w:p>
    <w:p w14:paraId="5F15ACE1" w14:textId="4DAD39DF" w:rsidR="00B17F54" w:rsidRPr="008A4D07" w:rsidRDefault="000A631C" w:rsidP="00B17F54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3. přednáška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 xml:space="preserve"> 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B17F54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9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. </w:t>
      </w:r>
      <w:r w:rsidR="00B17F54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4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202</w:t>
      </w:r>
      <w:r w:rsidR="00B17F54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B17F54"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(</w:t>
      </w:r>
      <w:r w:rsidR="0041158D">
        <w:rPr>
          <w:rFonts w:ascii="Garamond" w:eastAsia="Times New Roman" w:hAnsi="Garamond" w:cs="Times New Roman"/>
          <w:sz w:val="24"/>
          <w:szCs w:val="24"/>
          <w:lang w:eastAsia="cs-CZ"/>
        </w:rPr>
        <w:t>dr. Bražina</w:t>
      </w:r>
      <w:r w:rsidR="00B17F54"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2615011D" w14:textId="77777777" w:rsidR="0041158D" w:rsidRPr="008A4D07" w:rsidRDefault="0041158D" w:rsidP="0041158D">
      <w:pPr>
        <w:tabs>
          <w:tab w:val="left" w:pos="0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</w:pP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Správní právo a evropské správní právo </w:t>
      </w:r>
      <w:r w:rsidRPr="008A4D07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(komparativní pohled). </w:t>
      </w: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Bližší komparace pojetí správního práva v okolních evropských státech. </w:t>
      </w:r>
    </w:p>
    <w:p w14:paraId="75663A52" w14:textId="77777777" w:rsidR="000A631C" w:rsidRPr="008A4D07" w:rsidRDefault="000A631C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</w:pPr>
    </w:p>
    <w:p w14:paraId="6DD83F82" w14:textId="5510648D" w:rsidR="000A631C" w:rsidRPr="008A4D07" w:rsidRDefault="000A631C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4. přednáška</w:t>
      </w: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ab/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="00841576">
        <w:rPr>
          <w:rFonts w:ascii="Garamond" w:eastAsia="Times New Roman" w:hAnsi="Garamond" w:cs="Times New Roman"/>
          <w:bCs/>
          <w:sz w:val="24"/>
          <w:szCs w:val="24"/>
          <w:lang w:eastAsia="cs-CZ"/>
        </w:rPr>
        <w:t>23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4. 202</w:t>
      </w:r>
      <w:r w:rsidR="008227AE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(dr. </w:t>
      </w:r>
      <w:r w:rsidR="006B1888">
        <w:rPr>
          <w:rFonts w:ascii="Garamond" w:eastAsia="Times New Roman" w:hAnsi="Garamond" w:cs="Times New Roman"/>
          <w:sz w:val="24"/>
          <w:szCs w:val="24"/>
          <w:lang w:eastAsia="cs-CZ"/>
        </w:rPr>
        <w:t>Richterová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517D1637" w14:textId="77777777" w:rsidR="006B1888" w:rsidRPr="008A4D07" w:rsidRDefault="006B1888" w:rsidP="006B1888">
      <w:pPr>
        <w:tabs>
          <w:tab w:val="left" w:pos="0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cs-CZ"/>
        </w:rPr>
      </w:pP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Evropský veřejný ochránce práv. Princip dobré správy </w:t>
      </w:r>
      <w:r w:rsidRPr="008A4D07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(pojem, podstata, prameny, judikatura). </w:t>
      </w:r>
    </w:p>
    <w:p w14:paraId="2AD51D9C" w14:textId="77777777" w:rsidR="000A631C" w:rsidRPr="008A4D07" w:rsidRDefault="000A631C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</w:p>
    <w:p w14:paraId="4CDDC289" w14:textId="67AA27DC" w:rsidR="000A631C" w:rsidRPr="008A4D07" w:rsidRDefault="000A631C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5. přednáška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 xml:space="preserve"> </w:t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9B2A49" w:rsidRPr="009B2A49">
        <w:rPr>
          <w:rFonts w:ascii="Garamond" w:eastAsia="Times New Roman" w:hAnsi="Garamond" w:cs="Times New Roman"/>
          <w:bCs/>
          <w:sz w:val="24"/>
          <w:szCs w:val="24"/>
          <w:lang w:eastAsia="cs-CZ"/>
        </w:rPr>
        <w:t>7</w:t>
      </w:r>
      <w:r w:rsidRPr="009B2A49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="009B2A49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202</w:t>
      </w:r>
      <w:r w:rsidR="008227AE"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="00F247E9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(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d</w:t>
      </w:r>
      <w:r w:rsidR="008227AE">
        <w:rPr>
          <w:rFonts w:ascii="Garamond" w:eastAsia="Times New Roman" w:hAnsi="Garamond" w:cs="Times New Roman"/>
          <w:sz w:val="24"/>
          <w:szCs w:val="24"/>
          <w:lang w:eastAsia="cs-CZ"/>
        </w:rPr>
        <w:t>r. Svoboda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3D746527" w14:textId="76B26545" w:rsidR="000A631C" w:rsidRDefault="007407B3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</w:pPr>
      <w:r w:rsidRPr="007407B3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>Regulace digitálních platforem a umělé inteligence</w:t>
      </w:r>
      <w:r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 </w:t>
      </w:r>
      <w:r w:rsidRPr="007407B3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(</w:t>
      </w:r>
      <w:r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v</w:t>
      </w:r>
      <w:r w:rsidRPr="007407B3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ybrané </w:t>
      </w:r>
      <w:proofErr w:type="spellStart"/>
      <w:r w:rsidRPr="007407B3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správněprávní</w:t>
      </w:r>
      <w:proofErr w:type="spellEnd"/>
      <w:r w:rsidRPr="007407B3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 aspekty europeizace v této oblasti</w:t>
      </w:r>
      <w:r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)</w:t>
      </w:r>
      <w:r w:rsidRPr="007407B3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.</w:t>
      </w:r>
    </w:p>
    <w:p w14:paraId="27350A5E" w14:textId="77777777" w:rsidR="008227AE" w:rsidRDefault="008227AE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</w:pPr>
    </w:p>
    <w:p w14:paraId="35595286" w14:textId="72140BE8" w:rsidR="000A631C" w:rsidRPr="008A4D07" w:rsidRDefault="000A631C" w:rsidP="000A631C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6</w:t>
      </w: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. přednáška</w:t>
      </w:r>
      <w:r w:rsidRPr="008A4D07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ab/>
      </w:r>
      <w:r w:rsidRPr="008A4D0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BD2D25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="009B2A49">
        <w:rPr>
          <w:rFonts w:ascii="Garamond" w:eastAsia="Times New Roman" w:hAnsi="Garamond" w:cs="Times New Roman"/>
          <w:bCs/>
          <w:sz w:val="24"/>
          <w:szCs w:val="24"/>
          <w:lang w:eastAsia="cs-CZ"/>
        </w:rPr>
        <w:t>21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5. 202</w:t>
      </w:r>
      <w:r w:rsidR="00BD2D25">
        <w:rPr>
          <w:rFonts w:ascii="Garamond" w:eastAsia="Times New Roman" w:hAnsi="Garamond" w:cs="Times New Roman"/>
          <w:bCs/>
          <w:sz w:val="24"/>
          <w:szCs w:val="24"/>
          <w:lang w:eastAsia="cs-CZ"/>
        </w:rPr>
        <w:t>5</w:t>
      </w:r>
      <w:r w:rsidRPr="008227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  <w:t>(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d</w:t>
      </w:r>
      <w:r w:rsidR="006B1888">
        <w:rPr>
          <w:rFonts w:ascii="Garamond" w:eastAsia="Times New Roman" w:hAnsi="Garamond" w:cs="Times New Roman"/>
          <w:sz w:val="24"/>
          <w:szCs w:val="24"/>
          <w:lang w:eastAsia="cs-CZ"/>
        </w:rPr>
        <w:t>oc</w:t>
      </w:r>
      <w:r w:rsidRPr="008A4D07">
        <w:rPr>
          <w:rFonts w:ascii="Garamond" w:eastAsia="Times New Roman" w:hAnsi="Garamond" w:cs="Times New Roman"/>
          <w:sz w:val="24"/>
          <w:szCs w:val="24"/>
          <w:lang w:eastAsia="cs-CZ"/>
        </w:rPr>
        <w:t>. Potěšil)</w:t>
      </w:r>
    </w:p>
    <w:p w14:paraId="56D80A17" w14:textId="739F3A6E" w:rsidR="006B1888" w:rsidRPr="008A4D07" w:rsidRDefault="008227AE" w:rsidP="008227AE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cs-CZ"/>
        </w:rPr>
      </w:pP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Správní právo Evropské unie. Správní pravomoc Evropské </w:t>
      </w:r>
      <w:r w:rsidRPr="006B1888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unie (orgány a agentury</w:t>
      </w:r>
      <w:r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, </w:t>
      </w:r>
      <w:r w:rsidRPr="006B1888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>tzv. správní sítě);</w:t>
      </w:r>
      <w:r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 s</w:t>
      </w:r>
      <w:r w:rsidRPr="008A4D07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>právní řád Evropské unie</w:t>
      </w:r>
      <w:r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. </w:t>
      </w:r>
      <w:r w:rsidR="006B1888" w:rsidRPr="00C619CA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Zásada spolupráce ve správním právu </w:t>
      </w:r>
      <w:r w:rsidR="006B1888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Evropské unie. </w:t>
      </w:r>
      <w:r w:rsidR="006B1888" w:rsidRPr="00323FE4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>Ochrana subjektivních práv ve správním právu Evropské unie</w:t>
      </w:r>
      <w:r w:rsidR="006B1888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 xml:space="preserve"> a </w:t>
      </w:r>
      <w:r w:rsidR="006B1888" w:rsidRPr="00AE1E73"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  <w:t>evropské správní soudnictví</w:t>
      </w:r>
      <w:r w:rsidR="006B1888" w:rsidRPr="008A4D07">
        <w:rPr>
          <w:rFonts w:ascii="Garamond" w:eastAsia="Times New Roman" w:hAnsi="Garamond" w:cs="Arial"/>
          <w:bCs/>
          <w:iCs/>
          <w:sz w:val="24"/>
          <w:szCs w:val="24"/>
          <w:lang w:eastAsia="cs-CZ"/>
        </w:rPr>
        <w:t xml:space="preserve"> </w:t>
      </w:r>
    </w:p>
    <w:p w14:paraId="7521C10E" w14:textId="2A738C26" w:rsidR="006B1888" w:rsidRPr="00C619CA" w:rsidRDefault="006B1888" w:rsidP="006B1888">
      <w:pPr>
        <w:tabs>
          <w:tab w:val="left" w:pos="-142"/>
          <w:tab w:val="left" w:pos="340"/>
        </w:tabs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sz w:val="24"/>
          <w:szCs w:val="24"/>
          <w:lang w:eastAsia="cs-CZ"/>
        </w:rPr>
      </w:pPr>
    </w:p>
    <w:sectPr w:rsidR="006B1888" w:rsidRPr="00C619CA" w:rsidSect="00425324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51C5" w14:textId="77777777" w:rsidR="000A0210" w:rsidRDefault="000A0210">
      <w:pPr>
        <w:spacing w:after="0" w:line="240" w:lineRule="auto"/>
      </w:pPr>
      <w:r>
        <w:separator/>
      </w:r>
    </w:p>
  </w:endnote>
  <w:endnote w:type="continuationSeparator" w:id="0">
    <w:p w14:paraId="4E927804" w14:textId="77777777" w:rsidR="000A0210" w:rsidRDefault="000A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7DEF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B418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B418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EEE1" w14:textId="77777777" w:rsidR="00CA321A" w:rsidRDefault="00204644" w:rsidP="00D54496">
    <w:pPr>
      <w:pStyle w:val="Zpat-univerzita4dkyadresy"/>
    </w:pPr>
    <w:r w:rsidRPr="00204644">
      <w:t>Masarykova univerzita, Právnická fakulta</w:t>
    </w:r>
  </w:p>
  <w:p w14:paraId="1468FD8A" w14:textId="77777777" w:rsidR="003E1EB5" w:rsidRPr="003E1EB5" w:rsidRDefault="003E1EB5" w:rsidP="003E1EB5">
    <w:pPr>
      <w:pStyle w:val="Zpat"/>
    </w:pPr>
  </w:p>
  <w:p w14:paraId="1AD35BC5" w14:textId="77777777"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397456BB" w14:textId="77777777"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3F300652" w14:textId="77777777"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306F4F15" w14:textId="3F9970F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D4D1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1158D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84FB" w14:textId="77777777" w:rsidR="000A0210" w:rsidRDefault="000A0210">
      <w:pPr>
        <w:spacing w:after="0" w:line="240" w:lineRule="auto"/>
      </w:pPr>
      <w:r>
        <w:separator/>
      </w:r>
    </w:p>
  </w:footnote>
  <w:footnote w:type="continuationSeparator" w:id="0">
    <w:p w14:paraId="105AF665" w14:textId="77777777" w:rsidR="000A0210" w:rsidRDefault="000A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F933" w14:textId="77777777" w:rsidR="003E0170" w:rsidRDefault="003E0170" w:rsidP="000A631C">
    <w:pPr>
      <w:keepNext/>
      <w:snapToGrid w:val="0"/>
      <w:spacing w:after="0" w:line="240" w:lineRule="auto"/>
      <w:ind w:left="284" w:right="-455"/>
      <w:jc w:val="center"/>
      <w:outlineLvl w:val="7"/>
      <w:rPr>
        <w:rFonts w:ascii="Garamond" w:eastAsia="Times New Roman" w:hAnsi="Garamond" w:cs="Arial"/>
        <w:b/>
        <w:i/>
        <w:sz w:val="24"/>
        <w:szCs w:val="24"/>
        <w:lang w:eastAsia="cs-CZ"/>
      </w:rPr>
    </w:pPr>
  </w:p>
  <w:p w14:paraId="3A91DD7F" w14:textId="77777777" w:rsidR="003E0170" w:rsidRDefault="003E0170" w:rsidP="000A631C">
    <w:pPr>
      <w:keepNext/>
      <w:snapToGrid w:val="0"/>
      <w:spacing w:after="0" w:line="240" w:lineRule="auto"/>
      <w:ind w:left="284" w:right="-455"/>
      <w:jc w:val="center"/>
      <w:outlineLvl w:val="7"/>
      <w:rPr>
        <w:rFonts w:ascii="Garamond" w:eastAsia="Times New Roman" w:hAnsi="Garamond" w:cs="Arial"/>
        <w:b/>
        <w:i/>
        <w:sz w:val="24"/>
        <w:szCs w:val="24"/>
        <w:lang w:eastAsia="cs-CZ"/>
      </w:rPr>
    </w:pPr>
  </w:p>
  <w:p w14:paraId="56F8FE6C" w14:textId="77777777" w:rsidR="003E0170" w:rsidRDefault="003E0170" w:rsidP="000A631C">
    <w:pPr>
      <w:keepNext/>
      <w:snapToGrid w:val="0"/>
      <w:spacing w:after="0" w:line="240" w:lineRule="auto"/>
      <w:ind w:left="284" w:right="-455"/>
      <w:jc w:val="center"/>
      <w:outlineLvl w:val="7"/>
      <w:rPr>
        <w:rFonts w:ascii="Garamond" w:eastAsia="Times New Roman" w:hAnsi="Garamond" w:cs="Arial"/>
        <w:b/>
        <w:i/>
        <w:sz w:val="24"/>
        <w:szCs w:val="24"/>
        <w:lang w:eastAsia="cs-CZ"/>
      </w:rPr>
    </w:pPr>
  </w:p>
  <w:p w14:paraId="2657F57A" w14:textId="77777777" w:rsidR="003E0170" w:rsidRDefault="003E0170" w:rsidP="000A631C">
    <w:pPr>
      <w:keepNext/>
      <w:snapToGrid w:val="0"/>
      <w:spacing w:after="0" w:line="240" w:lineRule="auto"/>
      <w:ind w:left="284" w:right="-455"/>
      <w:jc w:val="center"/>
      <w:outlineLvl w:val="7"/>
      <w:rPr>
        <w:rFonts w:ascii="Garamond" w:eastAsia="Times New Roman" w:hAnsi="Garamond" w:cs="Arial"/>
        <w:b/>
        <w:i/>
        <w:sz w:val="24"/>
        <w:szCs w:val="24"/>
        <w:lang w:eastAsia="cs-CZ"/>
      </w:rPr>
    </w:pPr>
  </w:p>
  <w:p w14:paraId="6D961CC5" w14:textId="6DCB2BB0" w:rsidR="000A631C" w:rsidRPr="00C35CFC" w:rsidRDefault="000A631C" w:rsidP="000A631C">
    <w:pPr>
      <w:keepNext/>
      <w:snapToGrid w:val="0"/>
      <w:spacing w:after="0" w:line="240" w:lineRule="auto"/>
      <w:ind w:left="284" w:right="-455"/>
      <w:jc w:val="center"/>
      <w:outlineLvl w:val="7"/>
      <w:rPr>
        <w:rFonts w:ascii="Garamond" w:eastAsia="Times New Roman" w:hAnsi="Garamond" w:cs="Arial"/>
        <w:b/>
        <w:i/>
        <w:sz w:val="24"/>
        <w:szCs w:val="24"/>
        <w:lang w:eastAsia="cs-CZ"/>
      </w:rPr>
    </w:pPr>
    <w:r w:rsidRPr="00F116CC">
      <w:rPr>
        <w:rFonts w:ascii="Garamond" w:eastAsia="Times New Roman" w:hAnsi="Garamond" w:cs="Arial"/>
        <w:b/>
        <w:i/>
        <w:sz w:val="24"/>
        <w:szCs w:val="24"/>
        <w:lang w:eastAsia="cs-CZ"/>
      </w:rPr>
      <w:sym w:font="Wingdings" w:char="F0F0"/>
    </w:r>
    <w:r w:rsidRPr="00F116CC">
      <w:rPr>
        <w:rFonts w:ascii="Garamond" w:eastAsia="Times New Roman" w:hAnsi="Garamond" w:cs="Arial"/>
        <w:b/>
        <w:i/>
        <w:sz w:val="24"/>
        <w:szCs w:val="24"/>
        <w:lang w:eastAsia="cs-CZ"/>
      </w:rPr>
      <w:t xml:space="preserve"> </w:t>
    </w:r>
    <w:r w:rsidRPr="00C35CFC">
      <w:rPr>
        <w:rFonts w:ascii="Garamond" w:eastAsia="Times New Roman" w:hAnsi="Garamond" w:cs="Arial"/>
        <w:b/>
        <w:i/>
        <w:sz w:val="24"/>
        <w:szCs w:val="24"/>
        <w:lang w:eastAsia="cs-CZ"/>
      </w:rPr>
      <w:t>Magisterský studijní program „Právo a právní věda“, jaro 202</w:t>
    </w:r>
    <w:r w:rsidR="00A37692">
      <w:rPr>
        <w:rFonts w:ascii="Garamond" w:eastAsia="Times New Roman" w:hAnsi="Garamond" w:cs="Arial"/>
        <w:b/>
        <w:i/>
        <w:sz w:val="24"/>
        <w:szCs w:val="24"/>
        <w:lang w:eastAsia="cs-CZ"/>
      </w:rPr>
      <w:t>5</w:t>
    </w:r>
    <w:r w:rsidRPr="00C35CFC">
      <w:rPr>
        <w:rFonts w:ascii="Garamond" w:eastAsia="Times New Roman" w:hAnsi="Garamond" w:cs="Arial"/>
        <w:b/>
        <w:i/>
        <w:sz w:val="24"/>
        <w:szCs w:val="24"/>
        <w:lang w:eastAsia="cs-CZ"/>
      </w:rPr>
      <w:t xml:space="preserve">, 8. semestr </w:t>
    </w:r>
    <w:r w:rsidRPr="00C35CFC">
      <w:rPr>
        <w:rFonts w:ascii="Garamond" w:eastAsia="Times New Roman" w:hAnsi="Garamond" w:cs="Arial"/>
        <w:b/>
        <w:i/>
        <w:sz w:val="24"/>
        <w:szCs w:val="24"/>
        <w:lang w:eastAsia="cs-CZ"/>
      </w:rPr>
      <w:sym w:font="Wingdings" w:char="F0EF"/>
    </w:r>
  </w:p>
  <w:p w14:paraId="32DA98E5" w14:textId="77777777" w:rsidR="000A631C" w:rsidRPr="00C35CFC" w:rsidRDefault="000A631C" w:rsidP="000A631C">
    <w:pPr>
      <w:tabs>
        <w:tab w:val="left" w:pos="340"/>
      </w:tabs>
      <w:spacing w:after="0" w:line="240" w:lineRule="auto"/>
      <w:ind w:firstLine="340"/>
      <w:jc w:val="center"/>
      <w:rPr>
        <w:rFonts w:ascii="Garamond" w:eastAsia="Times New Roman" w:hAnsi="Garamond" w:cs="Arial"/>
        <w:b/>
        <w:sz w:val="24"/>
        <w:szCs w:val="24"/>
        <w:u w:val="single"/>
        <w:lang w:eastAsia="cs-CZ"/>
      </w:rPr>
    </w:pPr>
    <w:r w:rsidRPr="00C35CFC">
      <w:rPr>
        <w:rFonts w:ascii="Garamond" w:eastAsia="Times New Roman" w:hAnsi="Garamond" w:cs="Arial"/>
        <w:b/>
        <w:sz w:val="24"/>
        <w:szCs w:val="24"/>
        <w:u w:val="single"/>
        <w:lang w:eastAsia="cs-CZ"/>
      </w:rPr>
      <w:t>MV858K Evropské správní právo</w:t>
    </w:r>
  </w:p>
  <w:p w14:paraId="30751DB9" w14:textId="18020306" w:rsidR="000A631C" w:rsidRPr="00C35CFC" w:rsidRDefault="000A631C" w:rsidP="000A631C">
    <w:pPr>
      <w:tabs>
        <w:tab w:val="left" w:pos="340"/>
      </w:tabs>
      <w:spacing w:after="0" w:line="240" w:lineRule="auto"/>
      <w:ind w:firstLine="340"/>
      <w:jc w:val="center"/>
      <w:rPr>
        <w:rFonts w:ascii="Garamond" w:eastAsia="Times New Roman" w:hAnsi="Garamond" w:cs="Arial"/>
        <w:sz w:val="24"/>
        <w:szCs w:val="24"/>
        <w:lang w:eastAsia="cs-CZ"/>
      </w:rPr>
    </w:pPr>
    <w:r w:rsidRPr="00C35CFC">
      <w:rPr>
        <w:rFonts w:ascii="Garamond" w:eastAsia="Times New Roman" w:hAnsi="Garamond" w:cs="Arial"/>
        <w:sz w:val="24"/>
        <w:szCs w:val="24"/>
        <w:lang w:eastAsia="cs-CZ"/>
      </w:rPr>
      <w:t xml:space="preserve">Garant: </w:t>
    </w:r>
    <w:r w:rsidRPr="00C35CFC">
      <w:rPr>
        <w:rFonts w:ascii="Garamond" w:eastAsia="Times New Roman" w:hAnsi="Garamond" w:cs="Arial"/>
        <w:b/>
        <w:sz w:val="24"/>
        <w:szCs w:val="24"/>
        <w:lang w:eastAsia="cs-CZ"/>
      </w:rPr>
      <w:t>doc.</w:t>
    </w:r>
    <w:r w:rsidRPr="00C35CFC">
      <w:rPr>
        <w:rFonts w:ascii="Garamond" w:eastAsia="Times New Roman" w:hAnsi="Garamond" w:cs="Arial"/>
        <w:sz w:val="24"/>
        <w:szCs w:val="24"/>
        <w:lang w:eastAsia="cs-CZ"/>
      </w:rPr>
      <w:t xml:space="preserve"> </w:t>
    </w:r>
    <w:r w:rsidRPr="00C35CFC">
      <w:rPr>
        <w:rFonts w:ascii="Garamond" w:eastAsia="Times New Roman" w:hAnsi="Garamond" w:cs="Arial"/>
        <w:b/>
        <w:sz w:val="24"/>
        <w:szCs w:val="24"/>
        <w:lang w:eastAsia="cs-CZ"/>
      </w:rPr>
      <w:t>JUDr. Lukáš Potěšil, Ph.D.</w:t>
    </w:r>
  </w:p>
  <w:p w14:paraId="58E7D92B" w14:textId="3BC30F7D" w:rsidR="00D4417E" w:rsidRPr="006E7DD3" w:rsidRDefault="003E0170" w:rsidP="000A631C">
    <w:pPr>
      <w:pStyle w:val="Zhlav"/>
      <w:ind w:right="-455"/>
    </w:pPr>
    <w:r>
      <w:rPr>
        <w:noProof/>
        <w:lang w:eastAsia="cs-CZ"/>
      </w:rPr>
      <w:drawing>
        <wp:anchor distT="0" distB="360045" distL="114300" distR="114300" simplePos="0" relativeHeight="251659264" behindDoc="1" locked="1" layoutInCell="1" allowOverlap="1" wp14:anchorId="4535F6A4" wp14:editId="1F83D9AE">
          <wp:simplePos x="0" y="0"/>
          <wp:positionH relativeFrom="page">
            <wp:posOffset>321310</wp:posOffset>
          </wp:positionH>
          <wp:positionV relativeFrom="page">
            <wp:posOffset>264795</wp:posOffset>
          </wp:positionV>
          <wp:extent cx="2890520" cy="964565"/>
          <wp:effectExtent l="0" t="0" r="0" b="0"/>
          <wp:wrapTopAndBottom/>
          <wp:docPr id="725845867" name="Obrázek 725845867" descr="Obsah obrázku Písmo, snímek obrazovky, text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845867" name="Obrázek 725845867" descr="Obsah obrázku Písmo, snímek obrazovky, text, Grafik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52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42C26"/>
    <w:multiLevelType w:val="hybridMultilevel"/>
    <w:tmpl w:val="F62C9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A27FC"/>
    <w:multiLevelType w:val="hybridMultilevel"/>
    <w:tmpl w:val="4C82A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14733">
    <w:abstractNumId w:val="2"/>
  </w:num>
  <w:num w:numId="2" w16cid:durableId="1442801209">
    <w:abstractNumId w:val="0"/>
  </w:num>
  <w:num w:numId="3" w16cid:durableId="2092434304">
    <w:abstractNumId w:val="3"/>
  </w:num>
  <w:num w:numId="4" w16cid:durableId="97545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C0"/>
    <w:rsid w:val="00003AEB"/>
    <w:rsid w:val="000218B9"/>
    <w:rsid w:val="000306AF"/>
    <w:rsid w:val="00042835"/>
    <w:rsid w:val="00086D29"/>
    <w:rsid w:val="000A0210"/>
    <w:rsid w:val="000A478B"/>
    <w:rsid w:val="000A5AD7"/>
    <w:rsid w:val="000A631C"/>
    <w:rsid w:val="000A654E"/>
    <w:rsid w:val="000C6547"/>
    <w:rsid w:val="000F6900"/>
    <w:rsid w:val="00102F12"/>
    <w:rsid w:val="00121DC6"/>
    <w:rsid w:val="001300AC"/>
    <w:rsid w:val="0013516D"/>
    <w:rsid w:val="00142099"/>
    <w:rsid w:val="00150B9D"/>
    <w:rsid w:val="00152F82"/>
    <w:rsid w:val="00157ACD"/>
    <w:rsid w:val="001636D3"/>
    <w:rsid w:val="0019353C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3FE4"/>
    <w:rsid w:val="00332338"/>
    <w:rsid w:val="00342316"/>
    <w:rsid w:val="00353223"/>
    <w:rsid w:val="0036682E"/>
    <w:rsid w:val="00371A95"/>
    <w:rsid w:val="00380A0F"/>
    <w:rsid w:val="00394B2D"/>
    <w:rsid w:val="003C0210"/>
    <w:rsid w:val="003C2B73"/>
    <w:rsid w:val="003D4425"/>
    <w:rsid w:val="003D51E4"/>
    <w:rsid w:val="003E0170"/>
    <w:rsid w:val="003E1EB5"/>
    <w:rsid w:val="003F2066"/>
    <w:rsid w:val="004050DD"/>
    <w:rsid w:val="004055F9"/>
    <w:rsid w:val="004067DE"/>
    <w:rsid w:val="0041158D"/>
    <w:rsid w:val="0041218C"/>
    <w:rsid w:val="004174DC"/>
    <w:rsid w:val="00421B09"/>
    <w:rsid w:val="0042387A"/>
    <w:rsid w:val="00425324"/>
    <w:rsid w:val="00466430"/>
    <w:rsid w:val="00490F37"/>
    <w:rsid w:val="004A652F"/>
    <w:rsid w:val="004B5E58"/>
    <w:rsid w:val="004F3B9D"/>
    <w:rsid w:val="00511E3C"/>
    <w:rsid w:val="00514560"/>
    <w:rsid w:val="00532849"/>
    <w:rsid w:val="005464C0"/>
    <w:rsid w:val="0056170E"/>
    <w:rsid w:val="00582DFC"/>
    <w:rsid w:val="00592634"/>
    <w:rsid w:val="005A7AB4"/>
    <w:rsid w:val="005B357E"/>
    <w:rsid w:val="005B615F"/>
    <w:rsid w:val="005B66AF"/>
    <w:rsid w:val="005C1BC3"/>
    <w:rsid w:val="005D1F84"/>
    <w:rsid w:val="005E54A1"/>
    <w:rsid w:val="005F4CB2"/>
    <w:rsid w:val="005F57B0"/>
    <w:rsid w:val="00611EAC"/>
    <w:rsid w:val="00616507"/>
    <w:rsid w:val="006401C0"/>
    <w:rsid w:val="006509F1"/>
    <w:rsid w:val="00652548"/>
    <w:rsid w:val="00653BC4"/>
    <w:rsid w:val="0067390A"/>
    <w:rsid w:val="00683507"/>
    <w:rsid w:val="006A39DF"/>
    <w:rsid w:val="006A4F1F"/>
    <w:rsid w:val="006B1888"/>
    <w:rsid w:val="006D0AE9"/>
    <w:rsid w:val="006E7DD3"/>
    <w:rsid w:val="00700BDD"/>
    <w:rsid w:val="00702F1D"/>
    <w:rsid w:val="007068F7"/>
    <w:rsid w:val="00710003"/>
    <w:rsid w:val="007127EB"/>
    <w:rsid w:val="00721AA4"/>
    <w:rsid w:val="007272DA"/>
    <w:rsid w:val="0073428B"/>
    <w:rsid w:val="007407B3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6E61"/>
    <w:rsid w:val="00810299"/>
    <w:rsid w:val="008227AE"/>
    <w:rsid w:val="008229DE"/>
    <w:rsid w:val="00824279"/>
    <w:rsid w:val="008300B3"/>
    <w:rsid w:val="00841576"/>
    <w:rsid w:val="00860CFB"/>
    <w:rsid w:val="008640E6"/>
    <w:rsid w:val="008758CC"/>
    <w:rsid w:val="00886DDA"/>
    <w:rsid w:val="008A1753"/>
    <w:rsid w:val="008A6EBC"/>
    <w:rsid w:val="008B5304"/>
    <w:rsid w:val="00927D65"/>
    <w:rsid w:val="0093108E"/>
    <w:rsid w:val="00935080"/>
    <w:rsid w:val="00935EEE"/>
    <w:rsid w:val="00944A0C"/>
    <w:rsid w:val="009645A8"/>
    <w:rsid w:val="009929DF"/>
    <w:rsid w:val="00993F65"/>
    <w:rsid w:val="009A05B9"/>
    <w:rsid w:val="009B2A49"/>
    <w:rsid w:val="009C4152"/>
    <w:rsid w:val="009F27E4"/>
    <w:rsid w:val="00A02235"/>
    <w:rsid w:val="00A15269"/>
    <w:rsid w:val="00A27490"/>
    <w:rsid w:val="00A328D9"/>
    <w:rsid w:val="00A37692"/>
    <w:rsid w:val="00A63644"/>
    <w:rsid w:val="00A71A6E"/>
    <w:rsid w:val="00A767BD"/>
    <w:rsid w:val="00AB451F"/>
    <w:rsid w:val="00AC2D36"/>
    <w:rsid w:val="00AC6B6B"/>
    <w:rsid w:val="00AD4D13"/>
    <w:rsid w:val="00AD4F8E"/>
    <w:rsid w:val="00AE1E73"/>
    <w:rsid w:val="00B17F54"/>
    <w:rsid w:val="00B32E13"/>
    <w:rsid w:val="00B43F1E"/>
    <w:rsid w:val="00B44F80"/>
    <w:rsid w:val="00B835B6"/>
    <w:rsid w:val="00B904AA"/>
    <w:rsid w:val="00BC1CE3"/>
    <w:rsid w:val="00BD2D25"/>
    <w:rsid w:val="00BE0B78"/>
    <w:rsid w:val="00C06373"/>
    <w:rsid w:val="00C20847"/>
    <w:rsid w:val="00C35CFC"/>
    <w:rsid w:val="00C3745F"/>
    <w:rsid w:val="00C44C72"/>
    <w:rsid w:val="00C619C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4186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84D7B"/>
    <w:rsid w:val="00EB0CFF"/>
    <w:rsid w:val="00EC6F09"/>
    <w:rsid w:val="00EC70A0"/>
    <w:rsid w:val="00EF1356"/>
    <w:rsid w:val="00F02D6F"/>
    <w:rsid w:val="00F1232B"/>
    <w:rsid w:val="00F15F08"/>
    <w:rsid w:val="00F247E9"/>
    <w:rsid w:val="00F32999"/>
    <w:rsid w:val="00F53B0F"/>
    <w:rsid w:val="00F65574"/>
    <w:rsid w:val="00F870DB"/>
    <w:rsid w:val="00F940B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51F80"/>
  <w15:docId w15:val="{1810FDB1-DDBC-4905-8AD9-D8F3B781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1C0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DC28-B103-4D0D-8FED-77ED0C7BF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Lukas Potesil</dc:creator>
  <cp:lastModifiedBy>Lukáš Potěšil</cp:lastModifiedBy>
  <cp:revision>5</cp:revision>
  <cp:lastPrinted>2018-09-12T18:48:00Z</cp:lastPrinted>
  <dcterms:created xsi:type="dcterms:W3CDTF">2025-02-05T13:35:00Z</dcterms:created>
  <dcterms:modified xsi:type="dcterms:W3CDTF">2025-02-24T14:56:00Z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