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1" w:rsidRPr="006F7586" w:rsidRDefault="00026231" w:rsidP="007D70F1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6F7586">
        <w:rPr>
          <w:rFonts w:ascii="Arial" w:hAnsi="Arial" w:cs="Arial"/>
          <w:b/>
        </w:rPr>
        <w:t>Doplňková ochrana</w:t>
      </w:r>
    </w:p>
    <w:p w:rsidR="00026231" w:rsidRPr="006F7586" w:rsidRDefault="00026231" w:rsidP="005C2FD4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6F7586">
        <w:rPr>
          <w:rFonts w:ascii="Arial" w:hAnsi="Arial" w:cs="Arial"/>
          <w:i/>
        </w:rPr>
        <w:t xml:space="preserve">Úprava: </w:t>
      </w:r>
    </w:p>
    <w:p w:rsidR="00026231" w:rsidRPr="006F7586" w:rsidRDefault="00026231" w:rsidP="005C2FD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§ 14a, § 14b, § 15a, § 17a, § 18, § 28 zákona o azylu</w:t>
      </w:r>
      <w:r>
        <w:rPr>
          <w:rFonts w:ascii="Arial" w:hAnsi="Arial" w:cs="Arial"/>
        </w:rPr>
        <w:t xml:space="preserve"> (předchůdcem jsou „překážky vycestování“ v § 91 AZ ve znění před 1. 9. 2006; nejsou úplně totožné s doplňkovou ochranou! Pozor při aplikaci judikatury k překážkám vycestování na doplňkovou ochranu)</w:t>
      </w:r>
    </w:p>
    <w:p w:rsidR="00026231" w:rsidRPr="006F7586" w:rsidRDefault="00026231" w:rsidP="005C2FD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Čl. 1 – 8 směrnice 2004/83/ES o minimálních normách, které musí splňovat státní příslušníci třetích zemí nebo osoby bez státní příslušnosti, aby mohli žádat o postavení uprchlíka nebo osoby, která z jiných důvodů potřebuje mezinárodní ochranu, a o obsahu poskytované ochrany („kvalifikační směrnice“)</w:t>
      </w:r>
    </w:p>
    <w:p w:rsidR="00026231" w:rsidRPr="006F7586" w:rsidRDefault="00026231" w:rsidP="005C2FD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Čl. 3 (a další) Úmluvy o ochraně lidských práv</w:t>
      </w:r>
    </w:p>
    <w:p w:rsidR="00026231" w:rsidRPr="006F7586" w:rsidRDefault="00026231" w:rsidP="005C2FD4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Úmluva proti mučení a další mezinárodní úmluvy</w:t>
      </w:r>
    </w:p>
    <w:p w:rsidR="00026231" w:rsidRPr="006F7586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</w:p>
    <w:p w:rsidR="00026231" w:rsidRPr="006F7586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Osnova:</w:t>
      </w:r>
    </w:p>
    <w:p w:rsidR="00026231" w:rsidRPr="006F7586" w:rsidRDefault="00026231" w:rsidP="005C2FD4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Kvalifikační směrnice (a tomu odpovídající úprava v zákoně o azylu)</w:t>
      </w:r>
    </w:p>
    <w:p w:rsidR="00026231" w:rsidRPr="006F7586" w:rsidRDefault="00026231" w:rsidP="005C2FD4">
      <w:pPr>
        <w:pStyle w:val="ListParagraph"/>
        <w:numPr>
          <w:ilvl w:val="1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Důvody pro udělení doplnkové ochrany</w:t>
      </w:r>
    </w:p>
    <w:p w:rsidR="00026231" w:rsidRPr="006F7586" w:rsidRDefault="00026231" w:rsidP="005C2FD4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hAnsi="Arial" w:cs="Arial"/>
          <w:vanish/>
        </w:rPr>
      </w:pPr>
      <w:r w:rsidRPr="006F7586">
        <w:rPr>
          <w:rFonts w:ascii="Arial" w:hAnsi="Arial" w:cs="Arial"/>
        </w:rPr>
        <w:t>Mezinárodní závazky nad rámec kvalifikační směrnice</w:t>
      </w:r>
    </w:p>
    <w:p w:rsidR="00026231" w:rsidRPr="006F7586" w:rsidRDefault="00026231" w:rsidP="005C2FD4">
      <w:pPr>
        <w:pStyle w:val="ListParagraph"/>
        <w:numPr>
          <w:ilvl w:val="1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 </w:t>
      </w:r>
    </w:p>
    <w:p w:rsidR="00026231" w:rsidRPr="006F7586" w:rsidRDefault="00026231" w:rsidP="005C2FD4">
      <w:pPr>
        <w:pStyle w:val="ListParagraph"/>
        <w:numPr>
          <w:ilvl w:val="1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Úmluva o ochraně lidských práv – žádné důvody pro vyloučení</w:t>
      </w:r>
    </w:p>
    <w:p w:rsidR="00026231" w:rsidRDefault="00026231" w:rsidP="005C2FD4">
      <w:pPr>
        <w:pStyle w:val="ListParagraph"/>
        <w:numPr>
          <w:ilvl w:val="1"/>
          <w:numId w:val="15"/>
        </w:num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Zákon o pobytu cizinců</w:t>
      </w:r>
    </w:p>
    <w:p w:rsidR="00026231" w:rsidRPr="006F7586" w:rsidRDefault="00026231" w:rsidP="005C2FD4">
      <w:pPr>
        <w:pStyle w:val="ListParagraph"/>
        <w:spacing w:before="120" w:after="120" w:line="240" w:lineRule="auto"/>
        <w:ind w:left="1440"/>
        <w:jc w:val="both"/>
        <w:rPr>
          <w:rFonts w:ascii="Arial" w:hAnsi="Arial" w:cs="Arial"/>
        </w:rPr>
      </w:pPr>
    </w:p>
    <w:p w:rsidR="00026231" w:rsidRPr="006F7586" w:rsidRDefault="00026231" w:rsidP="005C2FD4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F7586">
        <w:rPr>
          <w:rFonts w:ascii="Arial" w:hAnsi="Arial" w:cs="Arial"/>
          <w:b/>
        </w:rPr>
        <w:t>A.1 Důvod</w:t>
      </w:r>
      <w:r>
        <w:rPr>
          <w:rFonts w:ascii="Arial" w:hAnsi="Arial" w:cs="Arial"/>
          <w:b/>
        </w:rPr>
        <w:t>y pro udělení doplňkové ochrany</w:t>
      </w:r>
    </w:p>
    <w:p w:rsidR="00026231" w:rsidRPr="006F7586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Čl. 2 písm. e) KS:</w:t>
      </w:r>
    </w:p>
    <w:p w:rsidR="00026231" w:rsidRPr="006F7586" w:rsidRDefault="00026231" w:rsidP="005C2FD4">
      <w:pPr>
        <w:pStyle w:val="ListParagraph"/>
        <w:numPr>
          <w:ilvl w:val="0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Státní příslušník třetí země / osoba bez státní příslušnosti (§ 14a odst. 1 AZ)</w:t>
      </w:r>
    </w:p>
    <w:p w:rsidR="00026231" w:rsidRPr="006F7586" w:rsidRDefault="00026231" w:rsidP="005C2FD4">
      <w:pPr>
        <w:pStyle w:val="ListParagraph"/>
        <w:numPr>
          <w:ilvl w:val="0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Která nesplňuje podmínky pro uznání za uprchlíka (§ 14a odst. 1 AZ, § 28 AZ)</w:t>
      </w:r>
    </w:p>
    <w:p w:rsidR="00026231" w:rsidRPr="002F1148" w:rsidRDefault="00026231" w:rsidP="005C2FD4">
      <w:pPr>
        <w:pStyle w:val="ListParagraph"/>
        <w:numPr>
          <w:ilvl w:val="0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2F1148">
        <w:rPr>
          <w:rFonts w:ascii="Arial" w:hAnsi="Arial" w:cs="Arial"/>
        </w:rPr>
        <w:t>U které existují závažné důvody se domnívat, že v případě návratu by byla vystavena reálné hrozbě, že utrpí vážnou újmu (§ 14a odst. 1 AZ, § 14a odst. 2 AZ)</w:t>
      </w:r>
    </w:p>
    <w:p w:rsidR="00026231" w:rsidRPr="006F7586" w:rsidRDefault="00026231" w:rsidP="005C2FD4">
      <w:pPr>
        <w:pStyle w:val="ListParagraph"/>
        <w:numPr>
          <w:ilvl w:val="0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Ale na kterou se nevztahují důvody vylučující udělení doplňkové ochrany (§ 15 AZ)</w:t>
      </w:r>
    </w:p>
    <w:p w:rsidR="00026231" w:rsidRPr="006F7586" w:rsidRDefault="00026231" w:rsidP="005C2FD4">
      <w:pPr>
        <w:pStyle w:val="ListParagraph"/>
        <w:numPr>
          <w:ilvl w:val="0"/>
          <w:numId w:val="5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Přičemž tato osoba nemůže nebo (vzhledem k hrozbě vážné újmy) nechce přijmout ochranu dotyčné země (§ 14a odst. 1 AZ, § 2 odst. 8 AZ)</w:t>
      </w:r>
    </w:p>
    <w:p w:rsidR="00026231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</w:p>
    <w:p w:rsidR="00026231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  <w:r w:rsidRPr="00034993">
        <w:rPr>
          <w:rFonts w:ascii="Arial" w:hAnsi="Arial" w:cs="Arial"/>
          <w:b/>
        </w:rPr>
        <w:t>Judikatura:</w:t>
      </w:r>
      <w:r>
        <w:rPr>
          <w:rFonts w:ascii="Arial" w:hAnsi="Arial" w:cs="Arial"/>
        </w:rPr>
        <w:t xml:space="preserve"> rozsudek NSS z 31. 10. 2008, sp. zn. 5 Azs 50/2008. </w:t>
      </w:r>
    </w:p>
    <w:p w:rsidR="00026231" w:rsidRPr="00DA21D1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  <w:r w:rsidRPr="00DA21D1">
        <w:rPr>
          <w:rFonts w:ascii="Arial" w:hAnsi="Arial" w:cs="Arial"/>
        </w:rPr>
        <w:t>°°°°°°°°°°°°°°°°°°°°°°°°°°°°°°°°°°°°°°°°°°°°°°°°°°°°°°°°°°°°°°°°°°°°°°°°°°°°°°°°°°°°°°°°°°°°°°°°°°°°</w:t>
      </w:r>
    </w:p>
    <w:p w:rsidR="00026231" w:rsidRPr="00F62360" w:rsidRDefault="00026231" w:rsidP="005C2FD4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2360">
        <w:rPr>
          <w:rFonts w:ascii="Arial" w:hAnsi="Arial" w:cs="Arial"/>
          <w:b/>
          <w:sz w:val="24"/>
          <w:szCs w:val="24"/>
        </w:rPr>
        <w:t>A.1 Doplňková ochrana podle KS (§ 14a AZ)</w:t>
      </w:r>
    </w:p>
    <w:p w:rsidR="00026231" w:rsidRPr="006F7586" w:rsidRDefault="00026231" w:rsidP="005C2FD4">
      <w:pPr>
        <w:pStyle w:val="ListParagraph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Státní příslušník třetí země</w:t>
      </w:r>
    </w:p>
    <w:p w:rsidR="00026231" w:rsidRPr="006F7586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993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312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Který nesplňuje podmínky pro uznání uprchlíka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Subsidiární (doplňková) ochrana </w:t>
      </w:r>
      <w:r w:rsidRPr="006F7586">
        <w:rPr>
          <w:rFonts w:ascii="Arial" w:hAnsi="Arial" w:cs="Arial"/>
          <w:lang w:val="en-US"/>
        </w:rPr>
        <w:t>[subsidiary, complementary]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Může se posuzovat v jednom řízení (společně s azylem) nebo samostatně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ČR posuzuje v jednom řízení (mezinárodní ochrana = azyl a dopl</w:t>
      </w:r>
      <w:r w:rsidRPr="006F7586">
        <w:rPr>
          <w:rFonts w:ascii="Arial" w:hAnsi="Arial" w:cs="Arial"/>
          <w:lang w:val="sk-SK"/>
        </w:rPr>
        <w:t>ňková ochrana</w:t>
      </w:r>
      <w:r w:rsidRPr="006F7586">
        <w:rPr>
          <w:rFonts w:ascii="Arial" w:hAnsi="Arial" w:cs="Arial"/>
        </w:rPr>
        <w:t>) – srov. § 28 AZ (</w:t>
      </w:r>
      <w:r w:rsidRPr="006F7586">
        <w:rPr>
          <w:rFonts w:ascii="Arial" w:hAnsi="Arial" w:cs="Arial"/>
          <w:i/>
        </w:rPr>
        <w:t>„shledá-li ministerstvo při svém rozhodování, že jsou naplněny důvody pro udělení azylu ..., udělí azyl přednostně“</w:t>
      </w:r>
      <w:r w:rsidRPr="006F7586">
        <w:rPr>
          <w:rFonts w:ascii="Arial" w:hAnsi="Arial" w:cs="Arial"/>
        </w:rPr>
        <w:t>)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Se statusem doplňkové ochrany jsou spojena v některých ohledech nižší práva (čl. 20-34 KS, ČR: různé zákony).</w:t>
      </w:r>
    </w:p>
    <w:p w:rsidR="00026231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Uděluje se na dobu minimálně jednoho roku (§ 53a AZ)</w:t>
      </w:r>
    </w:p>
    <w:p w:rsidR="00026231" w:rsidRPr="006F7586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312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U které existují závažné důvody se domnívat, že v případě návratu by byla vystavena reálné hrozbě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Důkazní standard</w:t>
      </w:r>
    </w:p>
    <w:p w:rsidR="00026231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1B1CB0">
        <w:rPr>
          <w:rFonts w:ascii="Arial" w:hAnsi="Arial" w:cs="Arial"/>
        </w:rPr>
        <w:t>Reálná hrozba = „real risk“ v judikatuře ESLP pro čl. 3 EÚLP (viz dál „vážná újma“ mučení, nelidského či ponižujícího zacházení), jde o mírně vyšší standard než přiměřená pravděpodobnost (rozsudek z 26. 3. 2008, sp. zn. 2 Azs 71/200</w:t>
      </w:r>
      <w:r>
        <w:rPr>
          <w:rFonts w:ascii="Arial" w:hAnsi="Arial" w:cs="Arial"/>
        </w:rPr>
        <w:t xml:space="preserve">6: </w:t>
      </w:r>
      <w:r w:rsidRPr="001B1CB0">
        <w:rPr>
          <w:rFonts w:ascii="Arial" w:hAnsi="Arial" w:cs="Arial"/>
          <w:i/>
        </w:rPr>
        <w:t>„reálným nebezpečím ... nutno rozumět, že ve významném procentu případů obdobných situaci stěžovatele dojde k nežádoucímu následku, takže stěžovatel má dobré důvody se domnívat, že takovýto následek může s významnou pravděpodobností postihnout i jeho“</w:t>
      </w:r>
      <w:r>
        <w:rPr>
          <w:rFonts w:ascii="Arial" w:hAnsi="Arial" w:cs="Arial"/>
        </w:rPr>
        <w:t xml:space="preserve">); </w:t>
      </w:r>
      <w:r w:rsidRPr="00034993">
        <w:rPr>
          <w:rFonts w:ascii="Arial" w:hAnsi="Arial" w:cs="Arial"/>
          <w:i/>
        </w:rPr>
        <w:t>ale</w:t>
      </w:r>
      <w:r>
        <w:rPr>
          <w:rFonts w:ascii="Arial" w:hAnsi="Arial" w:cs="Arial"/>
        </w:rPr>
        <w:t xml:space="preserve"> specifický důkazní standard pro § 14a odst. 2 písm. c).</w:t>
      </w:r>
    </w:p>
    <w:p w:rsidR="00026231" w:rsidRPr="001B1CB0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312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 Vážná újma (hrozící v zemi původu):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Uložení nebo vykonání </w:t>
      </w:r>
      <w:r w:rsidRPr="00C27F63">
        <w:rPr>
          <w:rFonts w:ascii="Arial" w:hAnsi="Arial" w:cs="Arial"/>
          <w:b/>
        </w:rPr>
        <w:t>trestu smrti</w:t>
      </w:r>
      <w:r w:rsidRPr="006F7586">
        <w:rPr>
          <w:rFonts w:ascii="Arial" w:hAnsi="Arial" w:cs="Arial"/>
        </w:rPr>
        <w:t xml:space="preserve"> (x popravy) (§ 14a odst. 2 písm. a) AZ, čl. 15 písm. a) KS)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C27F63">
        <w:rPr>
          <w:rFonts w:ascii="Arial" w:hAnsi="Arial" w:cs="Arial"/>
          <w:b/>
        </w:rPr>
        <w:t>Mučení nebo nelidské či ponižující zacházení nebo trestání</w:t>
      </w:r>
      <w:r w:rsidRPr="006F7586">
        <w:rPr>
          <w:rFonts w:ascii="Arial" w:hAnsi="Arial" w:cs="Arial"/>
        </w:rPr>
        <w:t xml:space="preserve"> (§ 14a odst. 2 písm. b) AZ, čl. 15 písm. b) KS)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Vážné ohrožení života nebo lidské důstojnosti z důvodu svévolného násilí v situacích </w:t>
      </w:r>
      <w:r w:rsidRPr="00C27F63">
        <w:rPr>
          <w:rFonts w:ascii="Arial" w:hAnsi="Arial" w:cs="Arial"/>
          <w:b/>
        </w:rPr>
        <w:t>mezinárodního nebo vnitřního ozbrojeného konfliktu</w:t>
      </w:r>
      <w:r w:rsidRPr="006F7586">
        <w:rPr>
          <w:rFonts w:ascii="Arial" w:hAnsi="Arial" w:cs="Arial"/>
        </w:rPr>
        <w:t xml:space="preserve"> (§ 14a odst. 2 písm. c) AZ, čl. 15 písm. c) KS)</w:t>
      </w:r>
    </w:p>
    <w:p w:rsidR="00026231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Pokud by vycestování cizince bylo v </w:t>
      </w:r>
      <w:r w:rsidRPr="00C27F63">
        <w:rPr>
          <w:rFonts w:ascii="Arial" w:hAnsi="Arial" w:cs="Arial"/>
          <w:b/>
        </w:rPr>
        <w:t>rozporu s mezinárodními závazky</w:t>
      </w:r>
      <w:r w:rsidRPr="006F7586">
        <w:rPr>
          <w:rFonts w:ascii="Arial" w:hAnsi="Arial" w:cs="Arial"/>
        </w:rPr>
        <w:t xml:space="preserve"> České republiky (§ 14a odst. 2 písm. d) AZ; nemá protiváhu v KS)</w:t>
      </w:r>
    </w:p>
    <w:p w:rsidR="00026231" w:rsidRDefault="00026231" w:rsidP="00C27F63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//////////////////////////////////////////////////////////////////////////////////////////////</w:t>
      </w:r>
    </w:p>
    <w:p w:rsidR="00026231" w:rsidRDefault="00026231" w:rsidP="005C2FD4">
      <w:pPr>
        <w:pStyle w:val="ListParagraph"/>
        <w:numPr>
          <w:ilvl w:val="0"/>
          <w:numId w:val="20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Srov. „pronásledování“ u azylu (čl. 9 KS x čl. 15 KS): jiná lidská práva, intenzita jejich porušení je u vážné újmy vyšší.</w:t>
      </w:r>
    </w:p>
    <w:p w:rsidR="00026231" w:rsidRDefault="00026231" w:rsidP="00C27F63">
      <w:pPr>
        <w:pStyle w:val="ListParagraph"/>
        <w:tabs>
          <w:tab w:val="left" w:pos="1418"/>
        </w:tabs>
        <w:spacing w:before="120" w:after="120" w:line="312" w:lineRule="auto"/>
        <w:ind w:left="1353"/>
        <w:jc w:val="both"/>
        <w:rPr>
          <w:rFonts w:ascii="Arial" w:hAnsi="Arial" w:cs="Arial"/>
        </w:rPr>
      </w:pPr>
    </w:p>
    <w:p w:rsidR="00026231" w:rsidRDefault="00026231" w:rsidP="00C27F63">
      <w:pPr>
        <w:pStyle w:val="ListParagraph"/>
        <w:numPr>
          <w:ilvl w:val="0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b/>
        </w:rPr>
      </w:pPr>
      <w:r w:rsidRPr="00C27F63">
        <w:rPr>
          <w:rFonts w:ascii="Arial" w:hAnsi="Arial" w:cs="Arial"/>
          <w:b/>
        </w:rPr>
        <w:t>Uložení nebo vykonání trestu smrti</w:t>
      </w:r>
      <w:r>
        <w:rPr>
          <w:rFonts w:ascii="Arial" w:hAnsi="Arial" w:cs="Arial"/>
          <w:b/>
        </w:rPr>
        <w:t xml:space="preserve"> (správně „uložení trestu smrti nebo poprava“)</w:t>
      </w:r>
    </w:p>
    <w:p w:rsidR="00026231" w:rsidRDefault="00026231" w:rsidP="00C27F63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 w:rsidRPr="008927E1">
        <w:rPr>
          <w:rFonts w:ascii="Arial" w:hAnsi="Arial" w:cs="Arial"/>
        </w:rPr>
        <w:t>Čl. 1 protokolu č. 6 k EÚLP, čl. 1 protokolu č. 13 k</w:t>
      </w:r>
      <w:r>
        <w:rPr>
          <w:rFonts w:ascii="Arial" w:hAnsi="Arial" w:cs="Arial"/>
        </w:rPr>
        <w:t> </w:t>
      </w:r>
      <w:r w:rsidRPr="008927E1">
        <w:rPr>
          <w:rFonts w:ascii="Arial" w:hAnsi="Arial" w:cs="Arial"/>
        </w:rPr>
        <w:t>EÚLP</w:t>
      </w:r>
      <w:r>
        <w:rPr>
          <w:rFonts w:ascii="Arial" w:hAnsi="Arial" w:cs="Arial"/>
        </w:rPr>
        <w:t xml:space="preserve"> – zákaz trestu smrti v době míru a za všech okolností x extrateritoriální účinek (</w:t>
      </w:r>
      <w:r w:rsidRPr="0055238A">
        <w:rPr>
          <w:rFonts w:ascii="Arial" w:hAnsi="Arial" w:cs="Arial"/>
          <w:i/>
        </w:rPr>
        <w:t>Al Sadoon proti Spojenému království</w:t>
      </w:r>
      <w:r>
        <w:rPr>
          <w:rFonts w:ascii="Arial" w:hAnsi="Arial" w:cs="Arial"/>
        </w:rPr>
        <w:t xml:space="preserve"> )</w:t>
      </w:r>
    </w:p>
    <w:p w:rsidR="00026231" w:rsidRPr="003E0A06" w:rsidRDefault="00026231" w:rsidP="00C27F63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ohledu na to, ve které zemi uvedené hrozí (včetně USA) – případ ESLP ve věci </w:t>
      </w:r>
      <w:r w:rsidRPr="008927E1">
        <w:rPr>
          <w:rFonts w:ascii="Arial" w:hAnsi="Arial" w:cs="Arial"/>
          <w:i/>
        </w:rPr>
        <w:t>Soering proti Spojenému království</w:t>
      </w:r>
      <w:r>
        <w:rPr>
          <w:rFonts w:ascii="Arial" w:hAnsi="Arial" w:cs="Arial"/>
        </w:rPr>
        <w:t xml:space="preserve"> (čl. 3 EÚLP)</w:t>
      </w:r>
    </w:p>
    <w:p w:rsidR="00026231" w:rsidRPr="008927E1" w:rsidRDefault="00026231" w:rsidP="00C27F63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 ohledu na to, jakým způsobem má být osoba navrácena (vyhoštění, extradikce)</w:t>
      </w:r>
    </w:p>
    <w:p w:rsidR="00026231" w:rsidRPr="008927E1" w:rsidRDefault="00026231" w:rsidP="008927E1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 w:rsidRPr="003E0A06">
        <w:rPr>
          <w:rFonts w:ascii="Arial" w:hAnsi="Arial" w:cs="Arial"/>
          <w:b/>
        </w:rPr>
        <w:t>Judikatura:</w:t>
      </w:r>
      <w:r>
        <w:rPr>
          <w:rFonts w:ascii="Arial" w:hAnsi="Arial" w:cs="Arial"/>
        </w:rPr>
        <w:t xml:space="preserve"> rozsudek NSS z 28. 7. 2009, sp. zn. 5 Azs 40/2009 (k pojmu „poprava“) – není nutné čekat na uložení trestu smrti a uprchnout až před hrozbou vykonání trestu smrti, může uprchnout již před hrozbou „popravy“ (i ze strany nestátních subjektů).</w:t>
      </w:r>
    </w:p>
    <w:p w:rsidR="00026231" w:rsidRDefault="00026231" w:rsidP="00C27F63">
      <w:pPr>
        <w:pStyle w:val="ListParagraph"/>
        <w:numPr>
          <w:ilvl w:val="0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b/>
        </w:rPr>
      </w:pPr>
      <w:r w:rsidRPr="00C27F63">
        <w:rPr>
          <w:rFonts w:ascii="Arial" w:hAnsi="Arial" w:cs="Arial"/>
          <w:b/>
        </w:rPr>
        <w:t>Mučení nebo nelidské či ponižující zacházení nebo trestání</w:t>
      </w:r>
    </w:p>
    <w:p w:rsidR="00026231" w:rsidRDefault="00026231" w:rsidP="000569D2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Nederogovatelné právo (čl. 15 EÚLP), srov. též čl. 9 KS</w:t>
      </w:r>
    </w:p>
    <w:p w:rsidR="00026231" w:rsidRDefault="00026231" w:rsidP="000569D2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Obsah nalezneme převážně v judikatuře k čl. 3 EÚLP (ale také např.  v rozhodovací činnosti Výboru proti mučení)</w:t>
      </w:r>
    </w:p>
    <w:p w:rsidR="00026231" w:rsidRDefault="00026231" w:rsidP="000569D2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Rozdíly proti čl. 3 EÚLP: (a) pouze země mimo EU (srov. </w:t>
      </w:r>
      <w:r w:rsidRPr="001E14B0">
        <w:rPr>
          <w:rFonts w:ascii="Arial" w:hAnsi="Arial" w:cs="Arial"/>
          <w:i/>
          <w:iCs/>
        </w:rPr>
        <w:t>Protokol</w:t>
      </w:r>
      <w:r w:rsidRPr="001E14B0">
        <w:rPr>
          <w:rFonts w:ascii="Arial" w:hAnsi="Arial" w:cs="Arial"/>
        </w:rPr>
        <w:t xml:space="preserve"> (č. 29) o poskytování </w:t>
      </w:r>
      <w:r w:rsidRPr="001E14B0">
        <w:rPr>
          <w:rFonts w:ascii="Arial" w:hAnsi="Arial" w:cs="Arial"/>
          <w:i/>
          <w:iCs/>
        </w:rPr>
        <w:t>azylu státním příslušníkům členských států Evropské</w:t>
      </w:r>
      <w:r w:rsidRPr="001E14B0">
        <w:rPr>
          <w:rFonts w:ascii="Arial" w:hAnsi="Arial" w:cs="Arial"/>
        </w:rPr>
        <w:t xml:space="preserve"> unie (1997)</w:t>
      </w:r>
      <w:r>
        <w:rPr>
          <w:rFonts w:ascii="Arial" w:hAnsi="Arial" w:cs="Arial"/>
        </w:rPr>
        <w:t xml:space="preserve"> ale srov. též nová judikatura ESLP!), (b) absolutní ochrana vyplývající z čl. 3 EÚLP (žádné důvody pro vyloučení z ochrany), (c) podle KS mučení, nelidské či ponižující zacházení musí hrozit </w:t>
      </w:r>
      <w:r w:rsidRPr="001E14B0">
        <w:rPr>
          <w:rFonts w:ascii="Arial" w:hAnsi="Arial" w:cs="Arial"/>
          <w:i/>
        </w:rPr>
        <w:t>v zemi původu</w:t>
      </w:r>
      <w:r>
        <w:rPr>
          <w:rFonts w:ascii="Arial" w:hAnsi="Arial" w:cs="Arial"/>
          <w:i/>
        </w:rPr>
        <w:t>.</w:t>
      </w:r>
    </w:p>
    <w:p w:rsidR="00026231" w:rsidRDefault="00026231" w:rsidP="00160299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Judikatura ESLP:</w:t>
      </w:r>
    </w:p>
    <w:p w:rsidR="00026231" w:rsidRPr="00160299" w:rsidRDefault="00026231" w:rsidP="00160299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 w:rsidRPr="001E14B0">
        <w:rPr>
          <w:rFonts w:ascii="Arial" w:hAnsi="Arial" w:cs="Arial"/>
        </w:rPr>
        <w:t>Pojem „mučení, nelidské či ponižující zacházení nebo trestání“</w:t>
      </w:r>
      <w:r>
        <w:rPr>
          <w:rFonts w:ascii="Arial" w:hAnsi="Arial" w:cs="Arial"/>
        </w:rPr>
        <w:t xml:space="preserve">: </w:t>
      </w:r>
      <w:r w:rsidRPr="00160299">
        <w:rPr>
          <w:rFonts w:ascii="Arial" w:hAnsi="Arial" w:cs="Arial"/>
          <w:i/>
        </w:rPr>
        <w:t>„posouzení minimálního stupně závažnosti je relativní, odvíjí se od všech okolností případu, jeho délky předmětného zacházení, jeho fyzických a psychických následků, a v některých případech i od pohlaví, věku a zdravotního stavu oběti“</w:t>
      </w:r>
      <w:r>
        <w:rPr>
          <w:rFonts w:ascii="Arial" w:hAnsi="Arial" w:cs="Arial"/>
        </w:rPr>
        <w:t xml:space="preserve"> (komentář AZ, str. 183, převzato z N. proti Spojenému království). Srov. též </w:t>
      </w:r>
      <w:r>
        <w:rPr>
          <w:rFonts w:ascii="Arial" w:hAnsi="Arial" w:cs="Arial"/>
          <w:i/>
        </w:rPr>
        <w:t>Jalloh proti Německu.</w:t>
      </w:r>
    </w:p>
    <w:p w:rsidR="00026231" w:rsidRDefault="00026231" w:rsidP="000569D2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Individualizace rizika mučení, nelidského či ponižujícího zacházení: rozsudky ESLP ve věcech </w:t>
      </w:r>
      <w:r w:rsidRPr="00160299">
        <w:rPr>
          <w:rFonts w:ascii="Arial" w:hAnsi="Arial" w:cs="Arial"/>
          <w:i/>
        </w:rPr>
        <w:t>Vilvarajah proti Spojenému království</w:t>
      </w:r>
      <w:r>
        <w:rPr>
          <w:rFonts w:ascii="Arial" w:hAnsi="Arial" w:cs="Arial"/>
        </w:rPr>
        <w:t xml:space="preserve"> --</w:t>
      </w:r>
      <w:r>
        <w:rPr>
          <w:rFonts w:ascii="Arial" w:hAnsi="Arial" w:cs="Arial"/>
          <w:lang w:val="en-US"/>
        </w:rPr>
        <w:t xml:space="preserve">&gt; </w:t>
      </w:r>
      <w:r>
        <w:rPr>
          <w:rFonts w:ascii="Arial" w:hAnsi="Arial" w:cs="Arial"/>
        </w:rPr>
        <w:t xml:space="preserve">posun ve věci </w:t>
      </w:r>
      <w:r w:rsidRPr="00160299">
        <w:rPr>
          <w:rFonts w:ascii="Arial" w:hAnsi="Arial" w:cs="Arial"/>
          <w:i/>
        </w:rPr>
        <w:t>Salah Sheekh proti Nizozemí</w:t>
      </w:r>
      <w:r>
        <w:rPr>
          <w:rFonts w:ascii="Arial" w:hAnsi="Arial" w:cs="Arial"/>
        </w:rPr>
        <w:t xml:space="preserve"> a ve věci </w:t>
      </w:r>
      <w:r w:rsidRPr="00160299">
        <w:rPr>
          <w:rFonts w:ascii="Arial" w:hAnsi="Arial" w:cs="Arial"/>
          <w:i/>
        </w:rPr>
        <w:t>NA proti Spojenému království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(srov. komentář AZ str. 185-186).</w:t>
      </w:r>
    </w:p>
    <w:p w:rsidR="00026231" w:rsidRPr="001E14B0" w:rsidRDefault="00026231" w:rsidP="000569D2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Důkazní standard „real risk“ (reálná hrozba).</w:t>
      </w:r>
    </w:p>
    <w:p w:rsidR="00026231" w:rsidRDefault="00026231" w:rsidP="00C27F63">
      <w:pPr>
        <w:pStyle w:val="ListParagraph"/>
        <w:numPr>
          <w:ilvl w:val="0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b/>
        </w:rPr>
      </w:pPr>
      <w:r w:rsidRPr="00C27F63">
        <w:rPr>
          <w:rFonts w:ascii="Arial" w:hAnsi="Arial" w:cs="Arial"/>
          <w:b/>
        </w:rPr>
        <w:t>Vážné ohrožení života nebo lidské důstojnosti z důvodu svévolného násilí v situacích mezinárodního nebo vnitřního ozbrojeného konfliktu</w:t>
      </w:r>
    </w:p>
    <w:p w:rsidR="00026231" w:rsidRPr="00FC217C" w:rsidRDefault="00026231" w:rsidP="0063247E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Rozsudek ESD ve věci </w:t>
      </w:r>
      <w:r w:rsidRPr="002A6BB7">
        <w:rPr>
          <w:rFonts w:ascii="Arial" w:hAnsi="Arial" w:cs="Arial"/>
          <w:i/>
        </w:rPr>
        <w:t>Elgafaji proti Staatssecretaris van Justitie</w:t>
      </w:r>
      <w:r w:rsidRPr="0063247E">
        <w:rPr>
          <w:rFonts w:ascii="Arial" w:hAnsi="Arial" w:cs="Arial"/>
        </w:rPr>
        <w:t xml:space="preserve"> (C-465/07)</w:t>
      </w:r>
    </w:p>
    <w:p w:rsidR="00026231" w:rsidRPr="0063247E" w:rsidRDefault="00026231" w:rsidP="0063247E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Rozsudek ESLP ve věci </w:t>
      </w:r>
      <w:r w:rsidRPr="00FC217C">
        <w:rPr>
          <w:rFonts w:ascii="Arial" w:hAnsi="Arial" w:cs="Arial"/>
          <w:i/>
        </w:rPr>
        <w:t>NA proti Spojenému království</w:t>
      </w:r>
    </w:p>
    <w:p w:rsidR="00026231" w:rsidRPr="000E5491" w:rsidRDefault="00026231" w:rsidP="0063247E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Rozsudek NSS z 13. 3. 2009, sp. zn. 5 Azs 28/2008: žadatel z kurdské části Iráku (sever při hranicích), který byl celníkem.</w:t>
      </w:r>
    </w:p>
    <w:p w:rsidR="00026231" w:rsidRPr="000E5491" w:rsidRDefault="00026231" w:rsidP="000E5491">
      <w:pPr>
        <w:pStyle w:val="ListParagraph"/>
        <w:numPr>
          <w:ilvl w:val="2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 w:rsidRPr="000E5491">
        <w:rPr>
          <w:rFonts w:ascii="Arial" w:hAnsi="Arial" w:cs="Arial"/>
          <w:i/>
        </w:rPr>
        <w:t xml:space="preserve">Třístupňový test: </w:t>
      </w:r>
    </w:p>
    <w:p w:rsidR="00026231" w:rsidRPr="000E5491" w:rsidRDefault="00026231" w:rsidP="000E5491">
      <w:pPr>
        <w:pStyle w:val="ListParagraph"/>
        <w:numPr>
          <w:ilvl w:val="2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1) nachází se žadatelova země původu v situaci mezinárodního nebo vnitřního ozbrojeného konfliktu?, </w:t>
      </w:r>
    </w:p>
    <w:p w:rsidR="00026231" w:rsidRPr="000E5491" w:rsidRDefault="00026231" w:rsidP="000E5491">
      <w:pPr>
        <w:pStyle w:val="ListParagraph"/>
        <w:numPr>
          <w:ilvl w:val="2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2) je žadatel o mezinárodní ochranu civilistou?, </w:t>
      </w:r>
    </w:p>
    <w:p w:rsidR="00026231" w:rsidRPr="0063247E" w:rsidRDefault="00026231" w:rsidP="000E5491">
      <w:pPr>
        <w:pStyle w:val="ListParagraph"/>
        <w:numPr>
          <w:ilvl w:val="2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3) hrozí žadateli o mezinárodní ochranu vážné a individuální ohrožení života nebo tělesné integrity z důvodu svévolného (nerozlišujícího) násilí?</w:t>
      </w:r>
    </w:p>
    <w:p w:rsidR="00026231" w:rsidRDefault="00026231" w:rsidP="00C27F63">
      <w:pPr>
        <w:pStyle w:val="ListParagraph"/>
        <w:numPr>
          <w:ilvl w:val="0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  <w:b/>
        </w:rPr>
      </w:pPr>
      <w:r w:rsidRPr="00C27F63">
        <w:rPr>
          <w:rFonts w:ascii="Arial" w:hAnsi="Arial" w:cs="Arial"/>
          <w:b/>
        </w:rPr>
        <w:t>Rozpor s mezinárodními závazky ČR</w:t>
      </w:r>
    </w:p>
    <w:p w:rsidR="00026231" w:rsidRDefault="00026231" w:rsidP="00C313C0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 w:rsidRPr="00072465">
        <w:rPr>
          <w:rFonts w:ascii="Arial" w:hAnsi="Arial" w:cs="Arial"/>
        </w:rPr>
        <w:t xml:space="preserve">Čl. 3 EÚLP: humanitární případy </w:t>
      </w:r>
    </w:p>
    <w:p w:rsidR="00026231" w:rsidRPr="00072465" w:rsidRDefault="00026231" w:rsidP="00C313C0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 w:rsidRPr="00072465">
        <w:rPr>
          <w:rFonts w:ascii="Arial" w:hAnsi="Arial" w:cs="Arial"/>
        </w:rPr>
        <w:t>Čl. 6 EÚLP</w:t>
      </w:r>
      <w:r>
        <w:rPr>
          <w:rFonts w:ascii="Arial" w:hAnsi="Arial" w:cs="Arial"/>
        </w:rPr>
        <w:t>: „flagrant denial of fair trial“ (</w:t>
      </w:r>
      <w:r w:rsidRPr="0055238A">
        <w:rPr>
          <w:rFonts w:ascii="Arial" w:hAnsi="Arial" w:cs="Arial"/>
          <w:i/>
        </w:rPr>
        <w:t>Mamatkulov and Askarov v. Russia</w:t>
      </w:r>
      <w:r w:rsidRPr="0055238A">
        <w:rPr>
          <w:rFonts w:ascii="Arial" w:hAnsi="Arial" w:cs="Arial"/>
        </w:rPr>
        <w:t>)</w:t>
      </w:r>
    </w:p>
    <w:p w:rsidR="00026231" w:rsidRDefault="00026231" w:rsidP="00C313C0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 w:rsidRPr="00C313C0">
        <w:rPr>
          <w:rFonts w:ascii="Arial" w:hAnsi="Arial" w:cs="Arial"/>
        </w:rPr>
        <w:t>Čl. 8 EÚLP</w:t>
      </w:r>
    </w:p>
    <w:p w:rsidR="00026231" w:rsidRPr="00C313C0" w:rsidRDefault="00026231" w:rsidP="00C313C0">
      <w:pPr>
        <w:pStyle w:val="ListParagraph"/>
        <w:numPr>
          <w:ilvl w:val="1"/>
          <w:numId w:val="22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4 EÚLP, Úmluva o právech dítěte atd.</w:t>
      </w:r>
    </w:p>
    <w:p w:rsidR="00026231" w:rsidRPr="006F7586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312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Ale na kterou se nevztahují důvody vylučující udělení doplňkové ochrany (§ 15a AZ)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Dopustil se trestného činu proti míru, válečného trestného činu nebo trestného činu proti lidskosti 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Spáchal zvlášť závažný zločin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Dopustil se činů, které jsou v rozporu se zásadami a cíli OSN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Představuje nebezpečí pro bezpečnost státu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Podněcoval ke spáchání výše uvedených činů nebo nebo se účastnil na jejich spáchání</w:t>
      </w:r>
    </w:p>
    <w:p w:rsidR="00026231" w:rsidRDefault="00026231" w:rsidP="005C2FD4">
      <w:pPr>
        <w:pStyle w:val="ListParagraph"/>
        <w:numPr>
          <w:ilvl w:val="3"/>
          <w:numId w:val="18"/>
        </w:numPr>
        <w:tabs>
          <w:tab w:val="left" w:pos="1418"/>
        </w:tabs>
        <w:spacing w:before="120" w:after="120" w:line="312" w:lineRule="auto"/>
        <w:ind w:left="1418" w:hanging="425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Opustil stát pouze s cílem vyhnout se trestnímu stíhání, jde-li o skutky, za něž by bylo možno uložit trest odnětí svodody i v</w:t>
      </w:r>
      <w:r>
        <w:rPr>
          <w:rFonts w:ascii="Arial" w:hAnsi="Arial" w:cs="Arial"/>
        </w:rPr>
        <w:t> </w:t>
      </w:r>
      <w:r w:rsidRPr="006F7586">
        <w:rPr>
          <w:rFonts w:ascii="Arial" w:hAnsi="Arial" w:cs="Arial"/>
        </w:rPr>
        <w:t>ČR</w:t>
      </w:r>
    </w:p>
    <w:p w:rsidR="00026231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///////////////////////////////////////////////////////////////////////////////////////////////</w:t>
      </w:r>
    </w:p>
    <w:p w:rsidR="00026231" w:rsidRDefault="00026231" w:rsidP="005C2FD4">
      <w:pPr>
        <w:pStyle w:val="ListParagraph"/>
        <w:numPr>
          <w:ilvl w:val="0"/>
          <w:numId w:val="21"/>
        </w:numPr>
        <w:tabs>
          <w:tab w:val="left" w:pos="1418"/>
        </w:tabs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 totožné s vylučujícími důvody z azylu</w:t>
      </w:r>
    </w:p>
    <w:p w:rsidR="00026231" w:rsidRPr="006F7586" w:rsidRDefault="00026231" w:rsidP="005C2FD4">
      <w:pPr>
        <w:pStyle w:val="ListParagraph"/>
        <w:tabs>
          <w:tab w:val="left" w:pos="1418"/>
        </w:tabs>
        <w:spacing w:before="120" w:after="120" w:line="312" w:lineRule="auto"/>
        <w:ind w:left="1418"/>
        <w:jc w:val="both"/>
        <w:rPr>
          <w:rFonts w:ascii="Arial" w:hAnsi="Arial" w:cs="Arial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clear" w:pos="567"/>
          <w:tab w:val="left" w:pos="993"/>
        </w:tabs>
        <w:spacing w:before="120" w:after="120" w:line="312" w:lineRule="auto"/>
        <w:ind w:left="993" w:hanging="426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Přičemž tato osoba nemůže nebo (vzhledem k hrozbě vážné újmy) nechce přijmout ochranu dotyčné země (§ 15a AZ, § 2 odst. 8 AZ, čl. 6-8 KS)</w:t>
      </w:r>
    </w:p>
    <w:p w:rsidR="00026231" w:rsidRPr="005C2FD4" w:rsidRDefault="00026231" w:rsidP="005C2FD4">
      <w:pPr>
        <w:pStyle w:val="ListParagraph"/>
        <w:numPr>
          <w:ilvl w:val="3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5C2FD4">
        <w:rPr>
          <w:rFonts w:ascii="Arial" w:hAnsi="Arial" w:cs="Arial"/>
        </w:rPr>
        <w:t xml:space="preserve">Vážná újma může hrozit také od nestátních původců (srov. azyl) – zkoumá se, zda stát je schopen / ochoten poskytnout ochranu před vážnou újmou; V KS: </w:t>
      </w:r>
      <w:r>
        <w:rPr>
          <w:rFonts w:ascii="Arial" w:hAnsi="Arial" w:cs="Arial"/>
        </w:rPr>
        <w:t>původci vážné újmy (čl. 6</w:t>
      </w:r>
      <w:r w:rsidRPr="005C2FD4">
        <w:rPr>
          <w:rFonts w:ascii="Arial" w:hAnsi="Arial" w:cs="Arial"/>
        </w:rPr>
        <w:t xml:space="preserve">); poskytovatelé ochrany (čl. </w:t>
      </w:r>
      <w:r>
        <w:rPr>
          <w:rFonts w:ascii="Arial" w:hAnsi="Arial" w:cs="Arial"/>
        </w:rPr>
        <w:t>7</w:t>
      </w:r>
      <w:r w:rsidRPr="005C2FD4">
        <w:rPr>
          <w:rFonts w:ascii="Arial" w:hAnsi="Arial" w:cs="Arial"/>
        </w:rPr>
        <w:t>)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Alternativa vnitřního přesídlení (</w:t>
      </w:r>
      <w:r w:rsidRPr="006F7586">
        <w:rPr>
          <w:rFonts w:ascii="Arial" w:hAnsi="Arial" w:cs="Arial"/>
          <w:i/>
        </w:rPr>
        <w:t>Internal Flight Alternative, Internal Protection Alternative</w:t>
      </w:r>
      <w:r w:rsidRPr="006F758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(čl. 8 KS)</w:t>
      </w:r>
      <w:r w:rsidRPr="006F7586">
        <w:rPr>
          <w:rFonts w:ascii="Arial" w:hAnsi="Arial" w:cs="Arial"/>
        </w:rPr>
        <w:t xml:space="preserve"> – zkoumá se stejným způsobem jako v případě azylu.</w:t>
      </w:r>
    </w:p>
    <w:p w:rsidR="00026231" w:rsidRDefault="00026231" w:rsidP="005C2FD4">
      <w:pPr>
        <w:pStyle w:val="ListParagraph"/>
        <w:tabs>
          <w:tab w:val="left" w:pos="993"/>
        </w:tabs>
        <w:spacing w:before="120" w:after="120" w:line="312" w:lineRule="auto"/>
        <w:ind w:left="1134"/>
        <w:jc w:val="both"/>
        <w:rPr>
          <w:rFonts w:ascii="Arial" w:hAnsi="Arial" w:cs="Arial"/>
        </w:rPr>
      </w:pPr>
    </w:p>
    <w:p w:rsidR="00026231" w:rsidRDefault="00026231" w:rsidP="005C2FD4">
      <w:p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5C2FD4">
        <w:rPr>
          <w:rFonts w:ascii="Arial" w:hAnsi="Arial" w:cs="Arial"/>
          <w:b/>
        </w:rPr>
        <w:t>Judikatura:</w:t>
      </w:r>
      <w:r w:rsidRPr="005C2FD4">
        <w:rPr>
          <w:rFonts w:ascii="Arial" w:hAnsi="Arial" w:cs="Arial"/>
        </w:rPr>
        <w:t xml:space="preserve"> rozsudek NSS z 16. 9. 2008, sp. zn. 3 Azs 48/2008 a rozsudek NSS z 30. 9. 2008, sp. zn. 5 Azs 66/2008 (původci vážné újmy)</w:t>
      </w:r>
      <w:r>
        <w:rPr>
          <w:rFonts w:ascii="Arial" w:hAnsi="Arial" w:cs="Arial"/>
        </w:rPr>
        <w:t xml:space="preserve">; rozsudek z 28. 7. 2009, sp. zn. 5 Azs 40/2009 (alternativa vnitřního přesídlení); rozsudek ESLP </w:t>
      </w:r>
      <w:r w:rsidRPr="00340A82">
        <w:rPr>
          <w:rFonts w:ascii="Arial" w:hAnsi="Arial" w:cs="Arial"/>
          <w:i/>
        </w:rPr>
        <w:t>Salah Sheekh proti Nizozemí</w:t>
      </w:r>
      <w:r>
        <w:rPr>
          <w:rFonts w:ascii="Arial" w:hAnsi="Arial" w:cs="Arial"/>
        </w:rPr>
        <w:t>.</w:t>
      </w:r>
    </w:p>
    <w:p w:rsidR="00026231" w:rsidRPr="005C2FD4" w:rsidRDefault="00026231" w:rsidP="005C2FD4">
      <w:p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</w:p>
    <w:p w:rsidR="00026231" w:rsidRDefault="00026231" w:rsidP="005C2FD4">
      <w:pPr>
        <w:pStyle w:val="ListParagraph"/>
        <w:numPr>
          <w:ilvl w:val="1"/>
          <w:numId w:val="18"/>
        </w:numPr>
        <w:tabs>
          <w:tab w:val="left" w:pos="284"/>
        </w:tabs>
        <w:spacing w:before="120" w:after="120" w:line="312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62360">
        <w:rPr>
          <w:rFonts w:ascii="Arial" w:hAnsi="Arial" w:cs="Arial"/>
          <w:b/>
          <w:sz w:val="24"/>
          <w:szCs w:val="24"/>
        </w:rPr>
        <w:t>Doplňková ochrana za účelem sloučení rodiny (§ 14b AZ; nevyplývá z KS)</w:t>
      </w:r>
    </w:p>
    <w:p w:rsidR="00026231" w:rsidRPr="00F62360" w:rsidRDefault="00026231" w:rsidP="005C2FD4">
      <w:pPr>
        <w:pStyle w:val="ListParagraph"/>
        <w:tabs>
          <w:tab w:val="left" w:pos="284"/>
        </w:tabs>
        <w:spacing w:before="120" w:after="120" w:line="312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F7586">
        <w:rPr>
          <w:rFonts w:ascii="Arial" w:hAnsi="Arial" w:cs="Arial"/>
        </w:rPr>
        <w:t>soby, v jejichž případě nebyl zjištěn důvod pro udělení mezinárodní ochrany</w:t>
      </w:r>
    </w:p>
    <w:p w:rsidR="00026231" w:rsidRPr="006F7586" w:rsidRDefault="00026231" w:rsidP="005C2FD4">
      <w:pPr>
        <w:pStyle w:val="ListParagraph"/>
        <w:numPr>
          <w:ilvl w:val="2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 xml:space="preserve"> Kdo je rodinným příslušníkem - § 14b odst. 2 AZ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„jádro rodiny“</w:t>
      </w:r>
    </w:p>
    <w:p w:rsidR="00026231" w:rsidRPr="006F7586" w:rsidRDefault="00026231" w:rsidP="005C2FD4">
      <w:pPr>
        <w:pStyle w:val="ListParagraph"/>
        <w:numPr>
          <w:ilvl w:val="3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Manželství/partnerství musí trvat před udělením doplňkové ochrany</w:t>
      </w:r>
    </w:p>
    <w:p w:rsidR="00026231" w:rsidRDefault="00026231" w:rsidP="005C2FD4">
      <w:pPr>
        <w:pStyle w:val="ListParagraph"/>
        <w:numPr>
          <w:ilvl w:val="3"/>
          <w:numId w:val="18"/>
        </w:numPr>
        <w:tabs>
          <w:tab w:val="left" w:pos="993"/>
        </w:tabs>
        <w:spacing w:before="120" w:after="120" w:line="312" w:lineRule="auto"/>
        <w:jc w:val="both"/>
        <w:rPr>
          <w:rFonts w:ascii="Arial" w:hAnsi="Arial" w:cs="Arial"/>
        </w:rPr>
      </w:pPr>
      <w:r w:rsidRPr="006F7586">
        <w:rPr>
          <w:rFonts w:ascii="Arial" w:hAnsi="Arial" w:cs="Arial"/>
        </w:rPr>
        <w:t>Polygamní manželství (§ 14b odst. 4 AZ)</w:t>
      </w:r>
    </w:p>
    <w:p w:rsidR="00026231" w:rsidRPr="006F7586" w:rsidRDefault="00026231" w:rsidP="005C2FD4">
      <w:pPr>
        <w:pStyle w:val="ListParagraph"/>
        <w:tabs>
          <w:tab w:val="left" w:pos="993"/>
        </w:tabs>
        <w:spacing w:before="120" w:after="120" w:line="312" w:lineRule="auto"/>
        <w:ind w:left="1134"/>
        <w:jc w:val="both"/>
        <w:rPr>
          <w:rFonts w:ascii="Arial" w:hAnsi="Arial" w:cs="Arial"/>
        </w:rPr>
      </w:pPr>
    </w:p>
    <w:p w:rsidR="00026231" w:rsidRDefault="00026231" w:rsidP="005C2FD4">
      <w:pPr>
        <w:pStyle w:val="ListParagraph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3AA1">
        <w:rPr>
          <w:rFonts w:ascii="Arial" w:hAnsi="Arial" w:cs="Arial"/>
          <w:b/>
          <w:sz w:val="24"/>
          <w:szCs w:val="24"/>
        </w:rPr>
        <w:t>Mezinárodní závazky nad rámec kvalifikační směrnice</w:t>
      </w:r>
    </w:p>
    <w:p w:rsidR="00026231" w:rsidRDefault="00026231" w:rsidP="005C2FD4">
      <w:pPr>
        <w:pStyle w:val="ListParagraph"/>
        <w:spacing w:before="120" w:after="12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26231" w:rsidRPr="00072465" w:rsidRDefault="00026231" w:rsidP="005C2FD4">
      <w:pPr>
        <w:pStyle w:val="ListParagraph"/>
        <w:numPr>
          <w:ilvl w:val="1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072465">
        <w:rPr>
          <w:rFonts w:ascii="Arial" w:hAnsi="Arial" w:cs="Arial"/>
        </w:rPr>
        <w:t>Úmluva o ochraně lidských práv</w:t>
      </w:r>
    </w:p>
    <w:p w:rsidR="00026231" w:rsidRPr="00F41D77" w:rsidRDefault="00026231" w:rsidP="005C2FD4">
      <w:pPr>
        <w:pStyle w:val="ListParagraph"/>
        <w:spacing w:before="120" w:after="120" w:line="240" w:lineRule="auto"/>
        <w:ind w:left="1080"/>
        <w:jc w:val="both"/>
        <w:rPr>
          <w:rFonts w:ascii="Arial" w:hAnsi="Arial" w:cs="Arial"/>
        </w:rPr>
      </w:pPr>
    </w:p>
    <w:p w:rsidR="00026231" w:rsidRPr="00F41D77" w:rsidRDefault="00026231" w:rsidP="005C2FD4">
      <w:pPr>
        <w:pStyle w:val="ListParagraph"/>
        <w:numPr>
          <w:ilvl w:val="2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 xml:space="preserve"> Čl. 3 EÚLP </w:t>
      </w:r>
    </w:p>
    <w:p w:rsidR="00026231" w:rsidRDefault="00026231" w:rsidP="00072465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 xml:space="preserve">absolutní charakter zákazu v čl. 3 </w:t>
      </w:r>
    </w:p>
    <w:p w:rsidR="00026231" w:rsidRPr="00072465" w:rsidRDefault="00026231" w:rsidP="00072465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72465">
        <w:rPr>
          <w:rFonts w:ascii="Arial" w:hAnsi="Arial" w:cs="Arial"/>
        </w:rPr>
        <w:t xml:space="preserve">ěc D. proti Spojenému království, </w:t>
      </w:r>
      <w:r w:rsidRPr="0069691F">
        <w:rPr>
          <w:rFonts w:ascii="Arial" w:hAnsi="Arial" w:cs="Arial"/>
        </w:rPr>
        <w:t>N. proti Spojenému království</w:t>
      </w:r>
      <w:r>
        <w:rPr>
          <w:rFonts w:ascii="Arial" w:hAnsi="Arial" w:cs="Arial"/>
        </w:rPr>
        <w:t xml:space="preserve">; srov. česká judikatura (rozsudek NSS z 9. 10. 2009, č. j.  </w:t>
      </w:r>
      <w:hyperlink r:id="rId5" w:tgtFrame="_blank" w:history="1">
        <w:r w:rsidRPr="00DA050F">
          <w:rPr>
            <w:rFonts w:ascii="Arial" w:hAnsi="Arial" w:cs="Arial"/>
          </w:rPr>
          <w:t>6 Azs 34/2009-89</w:t>
        </w:r>
      </w:hyperlink>
      <w:r w:rsidRPr="00DA050F">
        <w:rPr>
          <w:rFonts w:ascii="Arial" w:hAnsi="Arial" w:cs="Arial"/>
        </w:rPr>
        <w:t>)</w:t>
      </w:r>
    </w:p>
    <w:p w:rsidR="00026231" w:rsidRDefault="00026231" w:rsidP="005C2FD4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 xml:space="preserve">širší než doplňková ochrana vztahující se vážné újmě mučení, nelidského či ponižujícího zacházení  (případ </w:t>
      </w:r>
      <w:r w:rsidRPr="00F41D77">
        <w:rPr>
          <w:rFonts w:ascii="Arial" w:hAnsi="Arial" w:cs="Arial"/>
          <w:i/>
        </w:rPr>
        <w:t>Saadi proti Itálii</w:t>
      </w:r>
      <w:r w:rsidRPr="00F41D77">
        <w:rPr>
          <w:rFonts w:ascii="Arial" w:hAnsi="Arial" w:cs="Arial"/>
        </w:rPr>
        <w:t>)</w:t>
      </w:r>
    </w:p>
    <w:p w:rsidR="00026231" w:rsidRPr="00F41D77" w:rsidRDefault="00026231" w:rsidP="005C2FD4">
      <w:pPr>
        <w:pStyle w:val="ListParagraph"/>
        <w:spacing w:before="120" w:after="120" w:line="240" w:lineRule="auto"/>
        <w:ind w:left="1134"/>
        <w:jc w:val="both"/>
        <w:rPr>
          <w:rFonts w:ascii="Arial" w:hAnsi="Arial" w:cs="Arial"/>
        </w:rPr>
      </w:pPr>
    </w:p>
    <w:p w:rsidR="00026231" w:rsidRPr="00F41D77" w:rsidRDefault="00026231" w:rsidP="005C2FD4">
      <w:pPr>
        <w:pStyle w:val="ListParagraph"/>
        <w:numPr>
          <w:ilvl w:val="2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 xml:space="preserve"> Čl. 8 EÚLP</w:t>
      </w:r>
    </w:p>
    <w:p w:rsidR="00026231" w:rsidRPr="00F41D77" w:rsidRDefault="00026231" w:rsidP="005C2FD4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 xml:space="preserve"> nemá absolutní charakter </w:t>
      </w:r>
    </w:p>
    <w:p w:rsidR="00026231" w:rsidRDefault="00026231" w:rsidP="005C2FD4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 w:rsidRPr="00F41D77">
        <w:rPr>
          <w:rFonts w:ascii="Arial" w:hAnsi="Arial" w:cs="Arial"/>
        </w:rPr>
        <w:t>možné podřazení pod § 14a odst. 2 písm. d) AZ?</w:t>
      </w:r>
    </w:p>
    <w:p w:rsidR="00026231" w:rsidRPr="00F41D77" w:rsidRDefault="00026231" w:rsidP="005C2FD4">
      <w:pPr>
        <w:pStyle w:val="ListParagraph"/>
        <w:spacing w:before="120" w:after="120" w:line="240" w:lineRule="auto"/>
        <w:ind w:left="1134"/>
        <w:jc w:val="both"/>
        <w:rPr>
          <w:rFonts w:ascii="Arial" w:hAnsi="Arial" w:cs="Arial"/>
        </w:rPr>
      </w:pPr>
    </w:p>
    <w:p w:rsidR="00026231" w:rsidRPr="00F41D77" w:rsidRDefault="00026231" w:rsidP="005C2FD4">
      <w:pPr>
        <w:pStyle w:val="ListParagraph"/>
        <w:numPr>
          <w:ilvl w:val="2"/>
          <w:numId w:val="18"/>
        </w:numPr>
        <w:spacing w:before="120" w:after="120" w:line="240" w:lineRule="auto"/>
        <w:jc w:val="both"/>
        <w:rPr>
          <w:rFonts w:ascii="Arial" w:hAnsi="Arial" w:cs="Arial"/>
          <w:i/>
        </w:rPr>
      </w:pPr>
      <w:r w:rsidRPr="00F41D77">
        <w:rPr>
          <w:rFonts w:ascii="Arial" w:hAnsi="Arial" w:cs="Arial"/>
        </w:rPr>
        <w:t xml:space="preserve">  Čl. 6 EÚLP </w:t>
      </w:r>
    </w:p>
    <w:p w:rsidR="00026231" w:rsidRPr="00F41D77" w:rsidRDefault="00026231" w:rsidP="005C2FD4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  <w:i/>
        </w:rPr>
      </w:pPr>
      <w:r w:rsidRPr="00F41D77">
        <w:rPr>
          <w:rFonts w:ascii="Arial" w:hAnsi="Arial" w:cs="Arial"/>
        </w:rPr>
        <w:t>doposud nebyl judikován</w:t>
      </w:r>
    </w:p>
    <w:p w:rsidR="00026231" w:rsidRPr="00F41D77" w:rsidRDefault="00026231" w:rsidP="005C2FD4">
      <w:pPr>
        <w:pStyle w:val="ListParagraph"/>
        <w:numPr>
          <w:ilvl w:val="3"/>
          <w:numId w:val="18"/>
        </w:numPr>
        <w:spacing w:before="120" w:after="120" w:line="240" w:lineRule="auto"/>
        <w:jc w:val="both"/>
        <w:rPr>
          <w:rFonts w:ascii="Arial" w:hAnsi="Arial" w:cs="Arial"/>
          <w:i/>
        </w:rPr>
      </w:pPr>
      <w:r w:rsidRPr="00F41D77">
        <w:rPr>
          <w:rFonts w:ascii="Arial" w:hAnsi="Arial" w:cs="Arial"/>
        </w:rPr>
        <w:t xml:space="preserve">ESLP stanovil standard: </w:t>
      </w:r>
      <w:r w:rsidRPr="00F41D77">
        <w:rPr>
          <w:rFonts w:ascii="Arial" w:hAnsi="Arial" w:cs="Arial"/>
          <w:i/>
        </w:rPr>
        <w:t>„flagrant denial of fair trial“</w:t>
      </w:r>
    </w:p>
    <w:p w:rsidR="00026231" w:rsidRPr="00F41D77" w:rsidRDefault="00026231" w:rsidP="005C2FD4">
      <w:pPr>
        <w:pStyle w:val="ListParagraph"/>
        <w:spacing w:before="120" w:after="120" w:line="240" w:lineRule="auto"/>
        <w:ind w:left="1134"/>
        <w:jc w:val="both"/>
        <w:rPr>
          <w:rFonts w:ascii="Arial" w:hAnsi="Arial" w:cs="Arial"/>
          <w:i/>
        </w:rPr>
      </w:pPr>
    </w:p>
    <w:p w:rsidR="00026231" w:rsidRDefault="00026231" w:rsidP="00072465">
      <w:pPr>
        <w:pStyle w:val="ListParagraph"/>
        <w:numPr>
          <w:ilvl w:val="1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Česká úprava</w:t>
      </w:r>
    </w:p>
    <w:p w:rsidR="00026231" w:rsidRDefault="00026231" w:rsidP="00072465">
      <w:pPr>
        <w:pStyle w:val="ListParagraph"/>
        <w:spacing w:before="120" w:after="120" w:line="240" w:lineRule="auto"/>
        <w:ind w:left="1080"/>
        <w:jc w:val="both"/>
        <w:rPr>
          <w:rFonts w:ascii="Arial" w:hAnsi="Arial" w:cs="Arial"/>
        </w:rPr>
      </w:pPr>
    </w:p>
    <w:p w:rsidR="00026231" w:rsidRPr="00072465" w:rsidRDefault="00026231" w:rsidP="00072465">
      <w:pPr>
        <w:pStyle w:val="ListParagraph"/>
        <w:numPr>
          <w:ilvl w:val="2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72465">
        <w:rPr>
          <w:rFonts w:ascii="Arial" w:hAnsi="Arial" w:cs="Arial"/>
        </w:rPr>
        <w:t xml:space="preserve">Zákon o azylu: </w:t>
      </w:r>
      <w:r>
        <w:rPr>
          <w:rFonts w:ascii="Arial" w:hAnsi="Arial" w:cs="Arial"/>
        </w:rPr>
        <w:t xml:space="preserve">Doplňková ochrana </w:t>
      </w:r>
      <w:r w:rsidRPr="00072465">
        <w:rPr>
          <w:rFonts w:ascii="Arial" w:hAnsi="Arial" w:cs="Arial"/>
        </w:rPr>
        <w:t xml:space="preserve">§ 14a odst. 2 písm. d) </w:t>
      </w:r>
      <w:r w:rsidRPr="00072465">
        <w:rPr>
          <w:rFonts w:ascii="Arial" w:hAnsi="Arial" w:cs="Arial"/>
          <w:i/>
        </w:rPr>
        <w:t>respektive</w:t>
      </w:r>
    </w:p>
    <w:p w:rsidR="00026231" w:rsidRPr="00072465" w:rsidRDefault="00026231" w:rsidP="00072465">
      <w:pPr>
        <w:pStyle w:val="ListParagraph"/>
        <w:numPr>
          <w:ilvl w:val="2"/>
          <w:numId w:val="18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</w:t>
      </w:r>
      <w:r w:rsidRPr="00072465">
        <w:rPr>
          <w:rFonts w:ascii="Arial" w:hAnsi="Arial" w:cs="Arial"/>
        </w:rPr>
        <w:t>Zákon o pobytu cizinců:  Důvody znemožňující vycestování (§ 179 ZPC)</w:t>
      </w:r>
      <w:r>
        <w:rPr>
          <w:rFonts w:ascii="Arial" w:hAnsi="Arial" w:cs="Arial"/>
        </w:rPr>
        <w:t>.</w:t>
      </w:r>
      <w:r w:rsidRPr="00072465">
        <w:rPr>
          <w:rFonts w:ascii="Arial" w:hAnsi="Arial" w:cs="Arial"/>
        </w:rPr>
        <w:t xml:space="preserve"> Zjišťuje je odbor azylové a migrační politiky v závazném stanovisku ke správnímu vyhoštění (§ 120a ZPC)</w:t>
      </w:r>
    </w:p>
    <w:p w:rsidR="00026231" w:rsidRPr="00583AA1" w:rsidRDefault="00026231" w:rsidP="005C2FD4">
      <w:pPr>
        <w:spacing w:before="120" w:after="120" w:line="312" w:lineRule="auto"/>
        <w:jc w:val="both"/>
        <w:rPr>
          <w:rFonts w:ascii="Arial" w:hAnsi="Arial" w:cs="Arial"/>
        </w:rPr>
      </w:pPr>
    </w:p>
    <w:p w:rsidR="00026231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Kontrolní otázky:</w:t>
      </w:r>
    </w:p>
    <w:p w:rsidR="00026231" w:rsidRPr="00887103" w:rsidRDefault="00026231" w:rsidP="005C2FD4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887103">
        <w:rPr>
          <w:rFonts w:ascii="Arial" w:hAnsi="Arial" w:cs="Arial"/>
          <w:b/>
        </w:rPr>
        <w:t>Jaký je rozdíl mezi azylem a doplňkovou ochranou?</w:t>
      </w:r>
    </w:p>
    <w:p w:rsidR="00026231" w:rsidRDefault="00026231" w:rsidP="005C2FD4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Důvody pronásledování</w:t>
      </w:r>
    </w:p>
    <w:p w:rsidR="00026231" w:rsidRDefault="00026231" w:rsidP="005C2FD4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Důkazní standard (rozsudky NSS z 26. 3. 2008, sp. zn. 2 Azs 71/2006, z 21. 5. 2008, sp. zn. 2 Azs 48/2007, sp. zn. 5 Azs 66/2008)</w:t>
      </w:r>
    </w:p>
    <w:p w:rsidR="00026231" w:rsidRDefault="00026231" w:rsidP="005C2FD4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Pronásledování x Vážná újma  (rozsah lidských práv a intenzita jejich porušení – srov. Battjes)</w:t>
      </w:r>
    </w:p>
    <w:p w:rsidR="00026231" w:rsidRDefault="00026231" w:rsidP="005C2FD4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Status uprchlíka x status osoby s doplňkovou ochranou</w:t>
      </w:r>
    </w:p>
    <w:p w:rsidR="00026231" w:rsidRDefault="00026231" w:rsidP="005C2FD4">
      <w:pPr>
        <w:spacing w:before="120" w:after="120" w:line="240" w:lineRule="auto"/>
        <w:jc w:val="both"/>
        <w:rPr>
          <w:rFonts w:ascii="Arial" w:hAnsi="Arial" w:cs="Arial"/>
        </w:rPr>
      </w:pPr>
    </w:p>
    <w:p w:rsidR="00026231" w:rsidRDefault="00026231" w:rsidP="005C2FD4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Algoritmus posouzení azylu a doplňkové ochrany (§ 28 AZ)</w:t>
      </w:r>
    </w:p>
    <w:p w:rsidR="00026231" w:rsidRDefault="00026231" w:rsidP="00CB7BC3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Přípustnost žádosti o mezinárodní ochranu (§ 10a AZ)</w:t>
      </w:r>
    </w:p>
    <w:p w:rsidR="00026231" w:rsidRPr="00CB7BC3" w:rsidRDefault="00026231" w:rsidP="00CB7BC3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Azyl</w:t>
      </w:r>
    </w:p>
    <w:p w:rsidR="00026231" w:rsidRPr="00CB7BC3" w:rsidRDefault="00026231" w:rsidP="00CB7BC3">
      <w:pPr>
        <w:pStyle w:val="ListParagraph"/>
        <w:numPr>
          <w:ilvl w:val="1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Podle § 12a a § 12b zákona o azylu</w:t>
      </w:r>
    </w:p>
    <w:p w:rsidR="00026231" w:rsidRPr="00CB7BC3" w:rsidRDefault="00026231" w:rsidP="00CB7BC3">
      <w:pPr>
        <w:pStyle w:val="ListParagraph"/>
        <w:numPr>
          <w:ilvl w:val="1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Podle § 14 zákona o azylu (humanitární azyl)</w:t>
      </w:r>
    </w:p>
    <w:p w:rsidR="00026231" w:rsidRDefault="00026231" w:rsidP="00CB7BC3">
      <w:pPr>
        <w:pStyle w:val="ListParagraph"/>
        <w:numPr>
          <w:ilvl w:val="1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Podle § 13 zákona o azylu (za účelem sloučení rodiny)</w:t>
      </w:r>
    </w:p>
    <w:p w:rsidR="00026231" w:rsidRPr="00CB7BC3" w:rsidRDefault="00026231" w:rsidP="004E0316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Doplňková ochrana</w:t>
      </w:r>
    </w:p>
    <w:p w:rsidR="00026231" w:rsidRPr="00CB7BC3" w:rsidRDefault="00026231" w:rsidP="00CB7BC3">
      <w:pPr>
        <w:pStyle w:val="ListParagraph"/>
        <w:numPr>
          <w:ilvl w:val="1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Podle § 14a zákona o azylu (doplňková ochrana)</w:t>
      </w:r>
    </w:p>
    <w:p w:rsidR="00026231" w:rsidRPr="00CB7BC3" w:rsidRDefault="00026231" w:rsidP="00CB7BC3">
      <w:pPr>
        <w:pStyle w:val="ListParagraph"/>
        <w:numPr>
          <w:ilvl w:val="1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CB7BC3">
        <w:rPr>
          <w:rFonts w:ascii="Arial" w:hAnsi="Arial" w:cs="Arial"/>
        </w:rPr>
        <w:t>Podle § 14b zákona o azylu (doplňková ochrana za účelem sloučení rodiny)</w:t>
      </w:r>
    </w:p>
    <w:p w:rsidR="00026231" w:rsidRDefault="00026231" w:rsidP="004E0316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Pozn.: </w:t>
      </w:r>
    </w:p>
    <w:p w:rsidR="00026231" w:rsidRPr="004E0316" w:rsidRDefault="00026231" w:rsidP="004E0316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 w:rsidRPr="004E0316">
        <w:rPr>
          <w:rFonts w:ascii="Arial" w:hAnsi="Arial" w:cs="Arial"/>
        </w:rPr>
        <w:t>V rámci a-e se zkoumají důvody vylučující udělení azylu resp. doplňkové ochrany (blíže viz usnesení rozšířeného senátu sp. zn. 4 Azs 60/2007, zatím nepublikováno)</w:t>
      </w:r>
    </w:p>
    <w:p w:rsidR="00026231" w:rsidRPr="004E0316" w:rsidRDefault="00026231" w:rsidP="004E0316">
      <w:pPr>
        <w:pStyle w:val="ListParagraph"/>
        <w:numPr>
          <w:ilvl w:val="0"/>
          <w:numId w:val="24"/>
        </w:numPr>
        <w:spacing w:before="120" w:after="120" w:line="240" w:lineRule="auto"/>
        <w:jc w:val="both"/>
        <w:rPr>
          <w:rFonts w:ascii="Arial" w:hAnsi="Arial" w:cs="Arial"/>
        </w:rPr>
      </w:pPr>
      <w:r w:rsidRPr="004E0316">
        <w:rPr>
          <w:rFonts w:ascii="Arial" w:hAnsi="Arial" w:cs="Arial"/>
        </w:rPr>
        <w:t>Je-li žádost zjevně nedůvodná, lze ji zamítnout jako zjevně nedůvodnou ve lhůtě 30 dnů. I v těchto případech však musí být žádost také „nedůvodná“ z pohledu azylu a doplňkové ochrany (srov. čl. 28 směrnice 2005/85/ES). Důvody zjevné nedůvodnosti upravuje taxativně § 16 AZ.</w:t>
      </w:r>
    </w:p>
    <w:sectPr w:rsidR="00026231" w:rsidRPr="004E0316" w:rsidSect="009B672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924"/>
    <w:multiLevelType w:val="hybridMultilevel"/>
    <w:tmpl w:val="B9964D24"/>
    <w:lvl w:ilvl="0" w:tplc="79E01F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B025020">
      <w:start w:val="1"/>
      <w:numFmt w:val="decimal"/>
      <w:lvlText w:val="A.%2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D5E4688"/>
    <w:multiLevelType w:val="multilevel"/>
    <w:tmpl w:val="EAB6D81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03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211"/>
        </w:tabs>
        <w:ind w:left="2160" w:hanging="17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F4958C2"/>
    <w:multiLevelType w:val="multilevel"/>
    <w:tmpl w:val="21D06CF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03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624" w:hanging="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51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216020BD"/>
    <w:multiLevelType w:val="hybridMultilevel"/>
    <w:tmpl w:val="768E861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55027"/>
    <w:multiLevelType w:val="multilevel"/>
    <w:tmpl w:val="20F2487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03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211"/>
        </w:tabs>
        <w:ind w:left="2160" w:hanging="17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2DA722B1"/>
    <w:multiLevelType w:val="hybridMultilevel"/>
    <w:tmpl w:val="31ECA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06A39"/>
    <w:multiLevelType w:val="multilevel"/>
    <w:tmpl w:val="EAB6D81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03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211"/>
        </w:tabs>
        <w:ind w:left="2160" w:hanging="17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32EC38DA"/>
    <w:multiLevelType w:val="hybridMultilevel"/>
    <w:tmpl w:val="910AC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B2D17"/>
    <w:multiLevelType w:val="hybridMultilevel"/>
    <w:tmpl w:val="A59E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46035B"/>
    <w:multiLevelType w:val="hybridMultilevel"/>
    <w:tmpl w:val="94ECAF7C"/>
    <w:lvl w:ilvl="0" w:tplc="79E01F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B920080">
      <w:start w:val="1"/>
      <w:numFmt w:val="decimal"/>
      <w:lvlText w:val="B.%2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DDD142E"/>
    <w:multiLevelType w:val="hybridMultilevel"/>
    <w:tmpl w:val="2278A3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86A8F"/>
    <w:multiLevelType w:val="hybridMultilevel"/>
    <w:tmpl w:val="7D56C7E2"/>
    <w:lvl w:ilvl="0" w:tplc="3B025020">
      <w:start w:val="1"/>
      <w:numFmt w:val="decimal"/>
      <w:lvlText w:val="A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0A0DD5"/>
    <w:multiLevelType w:val="hybridMultilevel"/>
    <w:tmpl w:val="A26C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025020">
      <w:start w:val="1"/>
      <w:numFmt w:val="decimal"/>
      <w:lvlText w:val="A.%2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A82E96"/>
    <w:multiLevelType w:val="hybridMultilevel"/>
    <w:tmpl w:val="C41ACA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16EBB"/>
    <w:multiLevelType w:val="hybridMultilevel"/>
    <w:tmpl w:val="8E1A27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A01672"/>
    <w:multiLevelType w:val="hybridMultilevel"/>
    <w:tmpl w:val="2188E91A"/>
    <w:lvl w:ilvl="0" w:tplc="122EF1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87170"/>
    <w:multiLevelType w:val="hybridMultilevel"/>
    <w:tmpl w:val="621AF08E"/>
    <w:lvl w:ilvl="0" w:tplc="79E01F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A747600">
      <w:start w:val="1"/>
      <w:numFmt w:val="bullet"/>
      <w:lvlText w:val="-"/>
      <w:lvlJc w:val="left"/>
      <w:pPr>
        <w:ind w:left="2700" w:hanging="360"/>
      </w:pPr>
      <w:rPr>
        <w:rFonts w:ascii="Calibri" w:eastAsia="Times New Roman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E731D66"/>
    <w:multiLevelType w:val="hybridMultilevel"/>
    <w:tmpl w:val="A1886B5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626A4F1A"/>
    <w:multiLevelType w:val="hybridMultilevel"/>
    <w:tmpl w:val="A7EA467E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66E0610F"/>
    <w:multiLevelType w:val="hybridMultilevel"/>
    <w:tmpl w:val="F4A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57B84"/>
    <w:multiLevelType w:val="hybridMultilevel"/>
    <w:tmpl w:val="414697F6"/>
    <w:lvl w:ilvl="0" w:tplc="D38AD3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E0873"/>
    <w:multiLevelType w:val="hybridMultilevel"/>
    <w:tmpl w:val="903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84B2D"/>
    <w:multiLevelType w:val="hybridMultilevel"/>
    <w:tmpl w:val="6F94248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B3E5996"/>
    <w:multiLevelType w:val="hybridMultilevel"/>
    <w:tmpl w:val="499E9EBE"/>
    <w:lvl w:ilvl="0" w:tplc="79E01FA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B025020">
      <w:start w:val="1"/>
      <w:numFmt w:val="decimal"/>
      <w:lvlText w:val="A.%2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0"/>
  </w:num>
  <w:num w:numId="5">
    <w:abstractNumId w:val="14"/>
  </w:num>
  <w:num w:numId="6">
    <w:abstractNumId w:val="10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23"/>
  </w:num>
  <w:num w:numId="12">
    <w:abstractNumId w:val="0"/>
  </w:num>
  <w:num w:numId="13">
    <w:abstractNumId w:val="9"/>
  </w:num>
  <w:num w:numId="14">
    <w:abstractNumId w:val="7"/>
  </w:num>
  <w:num w:numId="15">
    <w:abstractNumId w:val="1"/>
  </w:num>
  <w:num w:numId="16">
    <w:abstractNumId w:val="6"/>
  </w:num>
  <w:num w:numId="17">
    <w:abstractNumId w:val="4"/>
  </w:num>
  <w:num w:numId="18">
    <w:abstractNumId w:val="2"/>
  </w:num>
  <w:num w:numId="19">
    <w:abstractNumId w:val="15"/>
  </w:num>
  <w:num w:numId="20">
    <w:abstractNumId w:val="17"/>
  </w:num>
  <w:num w:numId="21">
    <w:abstractNumId w:val="22"/>
  </w:num>
  <w:num w:numId="22">
    <w:abstractNumId w:val="18"/>
  </w:num>
  <w:num w:numId="23">
    <w:abstractNumId w:val="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58A"/>
    <w:rsid w:val="00001B04"/>
    <w:rsid w:val="00026231"/>
    <w:rsid w:val="00034993"/>
    <w:rsid w:val="000569D2"/>
    <w:rsid w:val="00072465"/>
    <w:rsid w:val="0007568B"/>
    <w:rsid w:val="000E5491"/>
    <w:rsid w:val="0011207F"/>
    <w:rsid w:val="00160299"/>
    <w:rsid w:val="00161F2E"/>
    <w:rsid w:val="001B1CB0"/>
    <w:rsid w:val="001D16BB"/>
    <w:rsid w:val="001E14B0"/>
    <w:rsid w:val="00234165"/>
    <w:rsid w:val="002544F8"/>
    <w:rsid w:val="002613E7"/>
    <w:rsid w:val="002A6BB7"/>
    <w:rsid w:val="002F1148"/>
    <w:rsid w:val="00340A82"/>
    <w:rsid w:val="0035584C"/>
    <w:rsid w:val="00366360"/>
    <w:rsid w:val="003A458A"/>
    <w:rsid w:val="003B0890"/>
    <w:rsid w:val="003E0A06"/>
    <w:rsid w:val="004237A6"/>
    <w:rsid w:val="00483EC1"/>
    <w:rsid w:val="004E0316"/>
    <w:rsid w:val="005004A8"/>
    <w:rsid w:val="0050105C"/>
    <w:rsid w:val="0055238A"/>
    <w:rsid w:val="00583AA1"/>
    <w:rsid w:val="005907DA"/>
    <w:rsid w:val="005C2FD4"/>
    <w:rsid w:val="005C33C2"/>
    <w:rsid w:val="0063247E"/>
    <w:rsid w:val="00673202"/>
    <w:rsid w:val="0069080D"/>
    <w:rsid w:val="0069691F"/>
    <w:rsid w:val="00697ED4"/>
    <w:rsid w:val="006F7586"/>
    <w:rsid w:val="007D1CD0"/>
    <w:rsid w:val="007D70F1"/>
    <w:rsid w:val="00840316"/>
    <w:rsid w:val="00887103"/>
    <w:rsid w:val="008927E1"/>
    <w:rsid w:val="008A529D"/>
    <w:rsid w:val="008C1C3B"/>
    <w:rsid w:val="008C74FC"/>
    <w:rsid w:val="008D71DF"/>
    <w:rsid w:val="009150C1"/>
    <w:rsid w:val="009A5AFC"/>
    <w:rsid w:val="009B672B"/>
    <w:rsid w:val="00C27F63"/>
    <w:rsid w:val="00C313C0"/>
    <w:rsid w:val="00C96B77"/>
    <w:rsid w:val="00CB7BC3"/>
    <w:rsid w:val="00D46177"/>
    <w:rsid w:val="00D46209"/>
    <w:rsid w:val="00D5733A"/>
    <w:rsid w:val="00DA050F"/>
    <w:rsid w:val="00DA21D1"/>
    <w:rsid w:val="00DF6331"/>
    <w:rsid w:val="00EC3333"/>
    <w:rsid w:val="00EF4BF0"/>
    <w:rsid w:val="00F03082"/>
    <w:rsid w:val="00F21861"/>
    <w:rsid w:val="00F41D77"/>
    <w:rsid w:val="00F44196"/>
    <w:rsid w:val="00F62360"/>
    <w:rsid w:val="00FC217C"/>
    <w:rsid w:val="00F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458A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1E14B0"/>
    <w:rPr>
      <w:rFonts w:cs="Times New Roman"/>
      <w:i/>
      <w:iCs/>
    </w:r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5523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soudap03:1080/main.aspx?cls=SVinfo&amp;pID=31305&amp;tab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1532</Words>
  <Characters>9040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Doplňková ochrana</dc:title>
  <dc:subject/>
  <dc:creator>Your User Name</dc:creator>
  <cp:keywords/>
  <dc:description/>
  <cp:lastModifiedBy>tothova</cp:lastModifiedBy>
  <cp:revision>3</cp:revision>
  <cp:lastPrinted>2010-10-11T15:33:00Z</cp:lastPrinted>
  <dcterms:created xsi:type="dcterms:W3CDTF">2010-10-11T14:49:00Z</dcterms:created>
  <dcterms:modified xsi:type="dcterms:W3CDTF">2010-10-11T15:43:00Z</dcterms:modified>
</cp:coreProperties>
</file>