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751" w:rsidRPr="00CE0B98" w:rsidRDefault="00310B70">
      <w:pPr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CE0B98">
        <w:rPr>
          <w:rFonts w:ascii="Times New Roman" w:hAnsi="Times New Roman"/>
          <w:sz w:val="24"/>
          <w:szCs w:val="24"/>
          <w:lang w:val="en-GB"/>
        </w:rPr>
        <w:t>Ideální</w:t>
      </w:r>
      <w:proofErr w:type="spellEnd"/>
      <w:r w:rsidRPr="00CE0B9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CE0B98">
        <w:rPr>
          <w:rFonts w:ascii="Times New Roman" w:hAnsi="Times New Roman"/>
          <w:sz w:val="24"/>
          <w:szCs w:val="24"/>
          <w:lang w:val="en-GB"/>
        </w:rPr>
        <w:t>struktura</w:t>
      </w:r>
      <w:proofErr w:type="spellEnd"/>
      <w:r w:rsidRPr="00CE0B9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CE0B98">
        <w:rPr>
          <w:rFonts w:ascii="Times New Roman" w:hAnsi="Times New Roman"/>
          <w:sz w:val="24"/>
          <w:szCs w:val="24"/>
          <w:lang w:val="en-GB"/>
        </w:rPr>
        <w:t>memoriálu</w:t>
      </w:r>
      <w:proofErr w:type="spellEnd"/>
      <w:r w:rsidRPr="00CE0B9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CE0B98">
        <w:rPr>
          <w:rFonts w:ascii="Times New Roman" w:hAnsi="Times New Roman"/>
          <w:sz w:val="24"/>
          <w:szCs w:val="24"/>
          <w:lang w:val="en-GB"/>
        </w:rPr>
        <w:t>podle</w:t>
      </w:r>
      <w:proofErr w:type="spellEnd"/>
      <w:r w:rsidRPr="00CE0B9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CE0B98">
        <w:rPr>
          <w:rFonts w:ascii="Times New Roman" w:hAnsi="Times New Roman"/>
          <w:sz w:val="24"/>
          <w:szCs w:val="24"/>
          <w:lang w:val="en-GB"/>
        </w:rPr>
        <w:t>předloňských</w:t>
      </w:r>
      <w:proofErr w:type="spellEnd"/>
      <w:r w:rsidRPr="00CE0B9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CE0B98">
        <w:rPr>
          <w:rFonts w:ascii="Times New Roman" w:hAnsi="Times New Roman"/>
          <w:sz w:val="24"/>
          <w:szCs w:val="24"/>
          <w:lang w:val="en-GB"/>
        </w:rPr>
        <w:t>vítězných</w:t>
      </w:r>
      <w:proofErr w:type="spellEnd"/>
      <w:r w:rsidRPr="00CE0B9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CE0B98">
        <w:rPr>
          <w:rFonts w:ascii="Times New Roman" w:hAnsi="Times New Roman"/>
          <w:sz w:val="24"/>
          <w:szCs w:val="24"/>
          <w:lang w:val="en-GB"/>
        </w:rPr>
        <w:t>memoriálů</w:t>
      </w:r>
      <w:proofErr w:type="spellEnd"/>
      <w:r w:rsidRPr="00CE0B98">
        <w:rPr>
          <w:rFonts w:ascii="Times New Roman" w:hAnsi="Times New Roman"/>
          <w:sz w:val="24"/>
          <w:szCs w:val="24"/>
          <w:lang w:val="en-GB"/>
        </w:rPr>
        <w:t xml:space="preserve"> – </w:t>
      </w:r>
      <w:proofErr w:type="spellStart"/>
      <w:r w:rsidRPr="00CE0B98">
        <w:rPr>
          <w:rFonts w:ascii="Times New Roman" w:hAnsi="Times New Roman"/>
          <w:sz w:val="24"/>
          <w:szCs w:val="24"/>
          <w:lang w:val="en-GB"/>
        </w:rPr>
        <w:t>mohou</w:t>
      </w:r>
      <w:proofErr w:type="spellEnd"/>
      <w:r w:rsidRPr="00CE0B98">
        <w:rPr>
          <w:rFonts w:ascii="Times New Roman" w:hAnsi="Times New Roman"/>
          <w:sz w:val="24"/>
          <w:szCs w:val="24"/>
          <w:lang w:val="en-GB"/>
        </w:rPr>
        <w:t xml:space="preserve"> se </w:t>
      </w:r>
      <w:proofErr w:type="spellStart"/>
      <w:r w:rsidRPr="00CE0B98">
        <w:rPr>
          <w:rFonts w:ascii="Times New Roman" w:hAnsi="Times New Roman"/>
          <w:sz w:val="24"/>
          <w:szCs w:val="24"/>
          <w:lang w:val="en-GB"/>
        </w:rPr>
        <w:t>zlehka</w:t>
      </w:r>
      <w:proofErr w:type="spellEnd"/>
      <w:r w:rsidRPr="00CE0B9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CE0B98">
        <w:rPr>
          <w:rFonts w:ascii="Times New Roman" w:hAnsi="Times New Roman"/>
          <w:sz w:val="24"/>
          <w:szCs w:val="24"/>
          <w:lang w:val="en-GB"/>
        </w:rPr>
        <w:t>samozřejmě</w:t>
      </w:r>
      <w:proofErr w:type="spellEnd"/>
      <w:r w:rsidRPr="00CE0B9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CE0B98">
        <w:rPr>
          <w:rFonts w:ascii="Times New Roman" w:hAnsi="Times New Roman"/>
          <w:sz w:val="24"/>
          <w:szCs w:val="24"/>
          <w:lang w:val="en-GB"/>
        </w:rPr>
        <w:t>měnit</w:t>
      </w:r>
      <w:proofErr w:type="spellEnd"/>
      <w:r w:rsidRPr="00CE0B98">
        <w:rPr>
          <w:rFonts w:ascii="Times New Roman" w:hAnsi="Times New Roman"/>
          <w:sz w:val="24"/>
          <w:szCs w:val="24"/>
          <w:lang w:val="en-GB"/>
        </w:rPr>
        <w:t xml:space="preserve"> v </w:t>
      </w:r>
      <w:proofErr w:type="spellStart"/>
      <w:r w:rsidRPr="00CE0B98">
        <w:rPr>
          <w:rFonts w:ascii="Times New Roman" w:hAnsi="Times New Roman"/>
          <w:sz w:val="24"/>
          <w:szCs w:val="24"/>
          <w:lang w:val="en-GB"/>
        </w:rPr>
        <w:t>závislosti</w:t>
      </w:r>
      <w:proofErr w:type="spellEnd"/>
      <w:r w:rsidRPr="00CE0B9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CE0B98">
        <w:rPr>
          <w:rFonts w:ascii="Times New Roman" w:hAnsi="Times New Roman"/>
          <w:sz w:val="24"/>
          <w:szCs w:val="24"/>
          <w:lang w:val="en-GB"/>
        </w:rPr>
        <w:t>na</w:t>
      </w:r>
      <w:proofErr w:type="spellEnd"/>
      <w:r w:rsidRPr="00CE0B9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CE0B98">
        <w:rPr>
          <w:rFonts w:ascii="Times New Roman" w:hAnsi="Times New Roman"/>
          <w:sz w:val="24"/>
          <w:szCs w:val="24"/>
          <w:lang w:val="en-GB"/>
        </w:rPr>
        <w:t>straně</w:t>
      </w:r>
      <w:proofErr w:type="spellEnd"/>
      <w:r w:rsidRPr="00CE0B98">
        <w:rPr>
          <w:rFonts w:ascii="Times New Roman" w:hAnsi="Times New Roman"/>
          <w:sz w:val="24"/>
          <w:szCs w:val="24"/>
          <w:lang w:val="en-GB"/>
        </w:rPr>
        <w:t>:</w:t>
      </w:r>
    </w:p>
    <w:p w:rsidR="00310B70" w:rsidRPr="00CE0B98" w:rsidRDefault="00310B70">
      <w:pPr>
        <w:rPr>
          <w:rFonts w:ascii="Times New Roman" w:hAnsi="Times New Roman"/>
          <w:sz w:val="24"/>
          <w:szCs w:val="24"/>
          <w:lang w:val="en-GB"/>
        </w:rPr>
      </w:pPr>
      <w:r w:rsidRPr="00CE0B98">
        <w:rPr>
          <w:rFonts w:ascii="Times New Roman" w:hAnsi="Times New Roman"/>
          <w:sz w:val="24"/>
          <w:szCs w:val="24"/>
          <w:lang w:val="en-GB"/>
        </w:rPr>
        <w:t>Part I – JURISDICTION:</w:t>
      </w:r>
    </w:p>
    <w:p w:rsidR="00310B70" w:rsidRPr="00CE0B98" w:rsidRDefault="00310B70" w:rsidP="00310B7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GB"/>
        </w:rPr>
      </w:pPr>
      <w:r w:rsidRPr="00CE0B98">
        <w:rPr>
          <w:rFonts w:ascii="Times New Roman" w:hAnsi="Times New Roman"/>
          <w:sz w:val="24"/>
          <w:szCs w:val="24"/>
          <w:lang w:val="en-GB"/>
        </w:rPr>
        <w:t>JURISDICTION UNDER THE ICSID CONVENTION</w:t>
      </w:r>
    </w:p>
    <w:p w:rsidR="00310B70" w:rsidRPr="00CE0B98" w:rsidRDefault="00310B70" w:rsidP="00310B70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  <w:lang w:val="en-GB"/>
        </w:rPr>
      </w:pPr>
      <w:r w:rsidRPr="00CE0B98">
        <w:rPr>
          <w:rFonts w:ascii="Times New Roman" w:hAnsi="Times New Roman"/>
          <w:sz w:val="24"/>
          <w:szCs w:val="24"/>
          <w:lang w:val="en-GB"/>
        </w:rPr>
        <w:t>Nationality</w:t>
      </w:r>
    </w:p>
    <w:p w:rsidR="00310B70" w:rsidRPr="00CE0B98" w:rsidRDefault="00310B70" w:rsidP="00310B70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  <w:lang w:val="en-GB"/>
        </w:rPr>
      </w:pPr>
      <w:r w:rsidRPr="00CE0B98">
        <w:rPr>
          <w:rFonts w:ascii="Times New Roman" w:hAnsi="Times New Roman"/>
          <w:sz w:val="24"/>
          <w:szCs w:val="24"/>
          <w:lang w:val="en-GB"/>
        </w:rPr>
        <w:t>Consent</w:t>
      </w:r>
    </w:p>
    <w:p w:rsidR="00310B70" w:rsidRPr="00CE0B98" w:rsidRDefault="00310B70" w:rsidP="00310B70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  <w:lang w:val="en-GB"/>
        </w:rPr>
      </w:pPr>
      <w:r w:rsidRPr="00CE0B98">
        <w:rPr>
          <w:rFonts w:ascii="Times New Roman" w:hAnsi="Times New Roman"/>
          <w:sz w:val="24"/>
          <w:szCs w:val="24"/>
          <w:lang w:val="en-GB"/>
        </w:rPr>
        <w:t>Scope</w:t>
      </w:r>
    </w:p>
    <w:p w:rsidR="00310B70" w:rsidRPr="00CE0B98" w:rsidRDefault="00310B70" w:rsidP="00310B7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GB"/>
        </w:rPr>
      </w:pPr>
      <w:r w:rsidRPr="00CE0B98">
        <w:rPr>
          <w:rFonts w:ascii="Times New Roman" w:hAnsi="Times New Roman"/>
          <w:sz w:val="24"/>
          <w:szCs w:val="24"/>
          <w:lang w:val="en-GB"/>
        </w:rPr>
        <w:t>JURISDICTION UNDER THE BERISTAN-OPULENTIAN BIT</w:t>
      </w:r>
    </w:p>
    <w:p w:rsidR="00310B70" w:rsidRPr="00CE0B98" w:rsidRDefault="00310B70" w:rsidP="00310B70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  <w:lang w:val="en-GB"/>
        </w:rPr>
      </w:pPr>
      <w:r w:rsidRPr="00CE0B98">
        <w:rPr>
          <w:rFonts w:ascii="Times New Roman" w:hAnsi="Times New Roman"/>
          <w:sz w:val="24"/>
          <w:szCs w:val="24"/>
          <w:lang w:val="en-GB"/>
        </w:rPr>
        <w:t>Definition of Investment</w:t>
      </w:r>
    </w:p>
    <w:p w:rsidR="00310B70" w:rsidRPr="00CE0B98" w:rsidRDefault="00310B70" w:rsidP="00310B70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  <w:lang w:val="en-GB"/>
        </w:rPr>
      </w:pPr>
      <w:r w:rsidRPr="00CE0B98">
        <w:rPr>
          <w:rFonts w:ascii="Times New Roman" w:hAnsi="Times New Roman"/>
          <w:sz w:val="24"/>
          <w:szCs w:val="24"/>
          <w:lang w:val="en-GB"/>
        </w:rPr>
        <w:t xml:space="preserve">Umbrella clause (contractual </w:t>
      </w:r>
      <w:r w:rsidR="00CE0B98" w:rsidRPr="00CE0B98">
        <w:rPr>
          <w:rFonts w:ascii="Times New Roman" w:hAnsi="Times New Roman"/>
          <w:sz w:val="24"/>
          <w:szCs w:val="24"/>
          <w:lang w:val="en-GB"/>
        </w:rPr>
        <w:t>x treaty dispute)</w:t>
      </w:r>
    </w:p>
    <w:p w:rsidR="00310B70" w:rsidRDefault="00310B70" w:rsidP="00310B70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  <w:lang w:val="en-GB"/>
        </w:rPr>
      </w:pPr>
      <w:r w:rsidRPr="00CE0B98">
        <w:rPr>
          <w:rFonts w:ascii="Times New Roman" w:hAnsi="Times New Roman"/>
          <w:sz w:val="24"/>
          <w:szCs w:val="24"/>
          <w:lang w:val="en-GB"/>
        </w:rPr>
        <w:t>Waiting period</w:t>
      </w:r>
    </w:p>
    <w:p w:rsidR="001D6AC0" w:rsidRPr="00CE0B98" w:rsidRDefault="001D6AC0" w:rsidP="001D6AC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CONCLUSION OF JURISDICTION</w:t>
      </w:r>
    </w:p>
    <w:p w:rsidR="00310B70" w:rsidRPr="00CE0B98" w:rsidRDefault="00310B70" w:rsidP="00310B70">
      <w:pPr>
        <w:rPr>
          <w:rFonts w:ascii="Times New Roman" w:hAnsi="Times New Roman"/>
          <w:sz w:val="24"/>
          <w:szCs w:val="24"/>
          <w:lang w:val="en-GB"/>
        </w:rPr>
      </w:pPr>
      <w:r w:rsidRPr="00CE0B98">
        <w:rPr>
          <w:rFonts w:ascii="Times New Roman" w:hAnsi="Times New Roman"/>
          <w:sz w:val="24"/>
          <w:szCs w:val="24"/>
          <w:lang w:val="en-GB"/>
        </w:rPr>
        <w:t>Part II – MERITS:</w:t>
      </w:r>
    </w:p>
    <w:p w:rsidR="00310B70" w:rsidRPr="00CE0B98" w:rsidRDefault="00310B70" w:rsidP="00310B7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GB"/>
        </w:rPr>
      </w:pPr>
      <w:r w:rsidRPr="00CE0B98">
        <w:rPr>
          <w:rFonts w:ascii="Times New Roman" w:hAnsi="Times New Roman"/>
          <w:sz w:val="24"/>
          <w:szCs w:val="24"/>
          <w:lang w:val="en-GB"/>
        </w:rPr>
        <w:t>ATTRIBUTION TO THE STATE</w:t>
      </w:r>
    </w:p>
    <w:p w:rsidR="00D833A7" w:rsidRDefault="00D833A7" w:rsidP="00310B7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UMBRELLA CLAUSE</w:t>
      </w:r>
    </w:p>
    <w:p w:rsidR="00310B70" w:rsidRPr="00CE0B98" w:rsidRDefault="00310B70" w:rsidP="00310B7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GB"/>
        </w:rPr>
      </w:pPr>
      <w:r w:rsidRPr="00CE0B98">
        <w:rPr>
          <w:rFonts w:ascii="Times New Roman" w:hAnsi="Times New Roman"/>
          <w:sz w:val="24"/>
          <w:szCs w:val="24"/>
          <w:lang w:val="en-GB"/>
        </w:rPr>
        <w:t>FAIR AND EQUITABLE TREATMENT</w:t>
      </w:r>
      <w:r w:rsidR="00CE0B98" w:rsidRPr="00CE0B98">
        <w:rPr>
          <w:rFonts w:ascii="Times New Roman" w:hAnsi="Times New Roman"/>
          <w:sz w:val="24"/>
          <w:szCs w:val="24"/>
          <w:lang w:val="en-GB"/>
        </w:rPr>
        <w:t xml:space="preserve"> (Arbitrariness, Legitimate Expectations, Predictability, Consistency, Bad faith)</w:t>
      </w:r>
    </w:p>
    <w:p w:rsidR="00310B70" w:rsidRPr="00CE0B98" w:rsidRDefault="00310B70" w:rsidP="00310B7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GB"/>
        </w:rPr>
      </w:pPr>
      <w:r w:rsidRPr="00CE0B98">
        <w:rPr>
          <w:rFonts w:ascii="Times New Roman" w:hAnsi="Times New Roman"/>
          <w:sz w:val="24"/>
          <w:szCs w:val="24"/>
          <w:lang w:val="en-GB"/>
        </w:rPr>
        <w:t>EXPROPRIATION</w:t>
      </w:r>
    </w:p>
    <w:p w:rsidR="00310B70" w:rsidRPr="00CE0B98" w:rsidRDefault="00310B70" w:rsidP="00310B7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GB"/>
        </w:rPr>
      </w:pPr>
      <w:r w:rsidRPr="00CE0B98">
        <w:rPr>
          <w:rFonts w:ascii="Times New Roman" w:hAnsi="Times New Roman"/>
          <w:sz w:val="24"/>
          <w:szCs w:val="24"/>
          <w:lang w:val="en-GB"/>
        </w:rPr>
        <w:t>UNJUSTIFIED, ARBITRARY AND DISCRIMINATORY MEASURES</w:t>
      </w:r>
    </w:p>
    <w:p w:rsidR="001D6AC0" w:rsidRDefault="001D6AC0" w:rsidP="00310B7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(FULL PROTECTION AND SECURITY)</w:t>
      </w:r>
    </w:p>
    <w:p w:rsidR="00310B70" w:rsidRDefault="00CE0B98" w:rsidP="00310B7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GB"/>
        </w:rPr>
      </w:pPr>
      <w:r w:rsidRPr="00CE0B98">
        <w:rPr>
          <w:rFonts w:ascii="Times New Roman" w:hAnsi="Times New Roman"/>
          <w:sz w:val="24"/>
          <w:szCs w:val="24"/>
          <w:lang w:val="en-GB"/>
        </w:rPr>
        <w:t xml:space="preserve">NATIONAL SECURITY DEFENSE </w:t>
      </w:r>
    </w:p>
    <w:p w:rsidR="001D6AC0" w:rsidRPr="00CE0B98" w:rsidRDefault="001D6AC0" w:rsidP="00310B7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CONCLUSION OF MERITS</w:t>
      </w:r>
    </w:p>
    <w:sectPr w:rsidR="001D6AC0" w:rsidRPr="00CE0B98" w:rsidSect="00B05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7464E"/>
    <w:multiLevelType w:val="hybridMultilevel"/>
    <w:tmpl w:val="7D7EB1C8"/>
    <w:lvl w:ilvl="0" w:tplc="81503F0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compat/>
  <w:rsids>
    <w:rsidRoot w:val="00D833A7"/>
    <w:rsid w:val="001D6AC0"/>
    <w:rsid w:val="00310B70"/>
    <w:rsid w:val="00B05751"/>
    <w:rsid w:val="00B30DD3"/>
    <w:rsid w:val="00CE0B98"/>
    <w:rsid w:val="00D833A7"/>
    <w:rsid w:val="00DA6BEB"/>
    <w:rsid w:val="00FC3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751"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B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spepkos\Desktop\Vej&#353;ka\PR&#193;VO\FDI%20MOOT\Ide&#225;ln&#237;%20struktura%20memori&#225;lu%20podle%20p&#345;edlo&#328;sk&#253;ch%20v&#237;t&#283;zn&#253;ch%20memori&#225;l&#36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Ideální struktura memoriálu podle předloňských vítězných memoriálů</Template>
  <TotalTime>0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2010-08-15T11:12:00Z</dcterms:created>
  <dcterms:modified xsi:type="dcterms:W3CDTF">2010-08-15T12:23:00Z</dcterms:modified>
</cp:coreProperties>
</file>