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0A" w:rsidRPr="00F06147" w:rsidRDefault="00E7580A" w:rsidP="00E7580A">
      <w:pPr>
        <w:spacing w:line="360" w:lineRule="auto"/>
        <w:rPr>
          <w:noProof/>
          <w:sz w:val="32"/>
          <w:u w:val="single"/>
          <w:lang w:val="en-GB" w:eastAsia="cs-CZ"/>
        </w:rPr>
      </w:pPr>
      <w:r w:rsidRPr="00F06147">
        <w:rPr>
          <w:noProof/>
          <w:sz w:val="32"/>
          <w:u w:val="single"/>
          <w:lang w:val="en-GB" w:eastAsia="cs-CZ"/>
        </w:rPr>
        <w:t>CASE BRIEF</w:t>
      </w:r>
    </w:p>
    <w:p w:rsidR="00E7580A" w:rsidRPr="00F06147" w:rsidRDefault="00E7580A" w:rsidP="00E7580A">
      <w:pPr>
        <w:spacing w:line="360" w:lineRule="auto"/>
        <w:rPr>
          <w:b w:val="0"/>
          <w:sz w:val="24"/>
          <w:lang w:val="en-GB"/>
        </w:rPr>
      </w:pPr>
      <w:r w:rsidRPr="00F06147">
        <w:rPr>
          <w:sz w:val="24"/>
          <w:lang w:val="en-GB"/>
        </w:rPr>
        <w:t xml:space="preserve">Name: </w:t>
      </w:r>
      <w:r w:rsidR="00F06147">
        <w:rPr>
          <w:b w:val="0"/>
          <w:sz w:val="24"/>
          <w:lang w:val="en-GB"/>
        </w:rPr>
        <w:t>United S</w:t>
      </w:r>
      <w:r w:rsidR="00AC05FA" w:rsidRPr="00F06147">
        <w:rPr>
          <w:b w:val="0"/>
          <w:sz w:val="24"/>
          <w:lang w:val="en-GB"/>
        </w:rPr>
        <w:t>tates v. Lopez (</w:t>
      </w:r>
      <w:r w:rsidR="00AC05FA" w:rsidRPr="00F06147">
        <w:rPr>
          <w:b w:val="0"/>
          <w:sz w:val="24"/>
          <w:szCs w:val="24"/>
          <w:lang w:val="en-GB"/>
        </w:rPr>
        <w:t>514 U.S. 549)</w:t>
      </w:r>
    </w:p>
    <w:p w:rsidR="00E7580A" w:rsidRPr="00F06147" w:rsidRDefault="00E7580A" w:rsidP="00E7580A">
      <w:pPr>
        <w:spacing w:line="360" w:lineRule="auto"/>
        <w:rPr>
          <w:b w:val="0"/>
          <w:sz w:val="24"/>
          <w:lang w:val="en-GB"/>
        </w:rPr>
      </w:pPr>
      <w:r w:rsidRPr="00F06147">
        <w:rPr>
          <w:sz w:val="24"/>
          <w:lang w:val="en-GB"/>
        </w:rPr>
        <w:t>Plaintiff:</w:t>
      </w:r>
      <w:r w:rsidRPr="00F06147">
        <w:rPr>
          <w:b w:val="0"/>
          <w:sz w:val="24"/>
          <w:lang w:val="en-GB"/>
        </w:rPr>
        <w:t xml:space="preserve"> </w:t>
      </w:r>
      <w:r w:rsidR="00F06147">
        <w:rPr>
          <w:b w:val="0"/>
          <w:sz w:val="24"/>
          <w:lang w:val="en-GB"/>
        </w:rPr>
        <w:t>U</w:t>
      </w:r>
      <w:r w:rsidR="00F06147" w:rsidRPr="00F06147">
        <w:rPr>
          <w:b w:val="0"/>
          <w:sz w:val="24"/>
          <w:lang w:val="en-GB"/>
        </w:rPr>
        <w:t>nited States</w:t>
      </w:r>
    </w:p>
    <w:p w:rsidR="00E7580A" w:rsidRPr="00F06147" w:rsidRDefault="00E7580A" w:rsidP="00E7580A">
      <w:pPr>
        <w:spacing w:line="360" w:lineRule="auto"/>
        <w:rPr>
          <w:b w:val="0"/>
          <w:sz w:val="24"/>
          <w:lang w:val="en-GB"/>
        </w:rPr>
      </w:pPr>
      <w:r w:rsidRPr="00F06147">
        <w:rPr>
          <w:sz w:val="24"/>
          <w:lang w:val="en-GB"/>
        </w:rPr>
        <w:t>Defendant:</w:t>
      </w:r>
      <w:r w:rsidRPr="00F06147">
        <w:rPr>
          <w:b w:val="0"/>
          <w:sz w:val="24"/>
          <w:lang w:val="en-GB"/>
        </w:rPr>
        <w:t xml:space="preserve"> </w:t>
      </w:r>
      <w:r w:rsidR="00AC05FA" w:rsidRPr="00F06147">
        <w:rPr>
          <w:b w:val="0"/>
          <w:sz w:val="24"/>
          <w:lang w:val="en-GB"/>
        </w:rPr>
        <w:t>Alfonso Lopez</w:t>
      </w:r>
    </w:p>
    <w:p w:rsidR="00AC05FA" w:rsidRPr="00F06147" w:rsidRDefault="00E7580A" w:rsidP="00E7580A">
      <w:pPr>
        <w:spacing w:line="360" w:lineRule="auto"/>
        <w:rPr>
          <w:sz w:val="24"/>
          <w:lang w:val="en-GB"/>
        </w:rPr>
      </w:pPr>
      <w:r w:rsidRPr="00F06147">
        <w:rPr>
          <w:sz w:val="24"/>
          <w:lang w:val="en-GB"/>
        </w:rPr>
        <w:t>Summary of the facts of the case:</w:t>
      </w:r>
    </w:p>
    <w:p w:rsidR="00E7580A" w:rsidRPr="00F06147" w:rsidRDefault="00AC05FA" w:rsidP="00553099">
      <w:pPr>
        <w:spacing w:line="360" w:lineRule="auto"/>
        <w:jc w:val="both"/>
        <w:rPr>
          <w:b w:val="0"/>
          <w:sz w:val="24"/>
          <w:szCs w:val="24"/>
          <w:lang w:val="en-GB"/>
        </w:rPr>
      </w:pPr>
      <w:r w:rsidRPr="00F06147">
        <w:rPr>
          <w:sz w:val="24"/>
          <w:lang w:val="en-GB"/>
        </w:rPr>
        <w:t xml:space="preserve"> </w:t>
      </w:r>
      <w:r w:rsidRPr="00F06147">
        <w:rPr>
          <w:b w:val="0"/>
          <w:sz w:val="24"/>
          <w:lang w:val="en-GB"/>
        </w:rPr>
        <w:t>Alfonso Lopez, Jr., who was then a 12</w:t>
      </w:r>
      <w:r w:rsidRPr="00F06147">
        <w:rPr>
          <w:b w:val="0"/>
          <w:sz w:val="24"/>
          <w:vertAlign w:val="superscript"/>
          <w:lang w:val="en-GB"/>
        </w:rPr>
        <w:t>th</w:t>
      </w:r>
      <w:r w:rsidRPr="00F06147">
        <w:rPr>
          <w:b w:val="0"/>
          <w:sz w:val="24"/>
          <w:lang w:val="en-GB"/>
        </w:rPr>
        <w:t xml:space="preserve"> grade student, arrived at High school in Texas, carrying a concealed handgun with bullets</w:t>
      </w:r>
      <w:r w:rsidR="004E68D5" w:rsidRPr="00F06147">
        <w:rPr>
          <w:b w:val="0"/>
          <w:sz w:val="24"/>
          <w:lang w:val="en-GB"/>
        </w:rPr>
        <w:t>. Som</w:t>
      </w:r>
      <w:r w:rsidR="00F06147">
        <w:rPr>
          <w:b w:val="0"/>
          <w:sz w:val="24"/>
          <w:lang w:val="en-GB"/>
        </w:rPr>
        <w:t>ebody gave to school authorities</w:t>
      </w:r>
      <w:r w:rsidR="004E68D5" w:rsidRPr="00F06147">
        <w:rPr>
          <w:b w:val="0"/>
          <w:sz w:val="24"/>
          <w:lang w:val="en-GB"/>
        </w:rPr>
        <w:t xml:space="preserve"> anonymous tip. Then the school authorities arrested respondent and</w:t>
      </w:r>
      <w:r w:rsidR="00553099" w:rsidRPr="00F06147">
        <w:rPr>
          <w:b w:val="0"/>
          <w:sz w:val="24"/>
          <w:lang w:val="en-GB"/>
        </w:rPr>
        <w:t xml:space="preserve"> he was charged under Texas law with firearm possession on school premises. It was against the Gun-Free school zones act</w:t>
      </w:r>
      <w:r w:rsidR="00B92E5D" w:rsidRPr="00F06147">
        <w:rPr>
          <w:b w:val="0"/>
          <w:sz w:val="24"/>
          <w:lang w:val="en-GB"/>
        </w:rPr>
        <w:t xml:space="preserve"> (GFZSA)</w:t>
      </w:r>
      <w:r w:rsidR="00553099" w:rsidRPr="00F06147">
        <w:rPr>
          <w:b w:val="0"/>
          <w:sz w:val="24"/>
          <w:lang w:val="en-GB"/>
        </w:rPr>
        <w:t xml:space="preserve"> of 1990, </w:t>
      </w:r>
      <w:r w:rsidR="00553099" w:rsidRPr="00F06147">
        <w:rPr>
          <w:b w:val="0"/>
          <w:sz w:val="24"/>
          <w:szCs w:val="24"/>
          <w:lang w:val="en-GB"/>
        </w:rPr>
        <w:t>making it an offense for any individual to knowingly possess a firearm in a place the individual knows or has a reason to know is a school zone.</w:t>
      </w:r>
      <w:r w:rsidR="006B0869" w:rsidRPr="00F06147">
        <w:rPr>
          <w:b w:val="0"/>
          <w:sz w:val="24"/>
          <w:szCs w:val="24"/>
          <w:lang w:val="en-GB"/>
        </w:rPr>
        <w:t xml:space="preserve"> The district court </w:t>
      </w:r>
      <w:r w:rsidR="00B92E5D" w:rsidRPr="00F06147">
        <w:rPr>
          <w:b w:val="0"/>
          <w:sz w:val="24"/>
          <w:szCs w:val="24"/>
          <w:lang w:val="en-GB"/>
        </w:rPr>
        <w:t>denied the motion to dismiss the indictment concluding that the GFSZA was unconstitutional. The court of appeal reversed the lower court and declared the law invalid.</w:t>
      </w:r>
    </w:p>
    <w:p w:rsidR="00E7580A" w:rsidRPr="00F06147" w:rsidRDefault="00E7580A" w:rsidP="00E7580A">
      <w:pPr>
        <w:spacing w:line="360" w:lineRule="auto"/>
        <w:jc w:val="both"/>
        <w:rPr>
          <w:sz w:val="24"/>
          <w:lang w:val="en-GB"/>
        </w:rPr>
      </w:pPr>
      <w:r w:rsidRPr="00F06147">
        <w:rPr>
          <w:sz w:val="24"/>
          <w:lang w:val="en-GB"/>
        </w:rPr>
        <w:t>Legal issue:</w:t>
      </w:r>
    </w:p>
    <w:p w:rsidR="00B92E5D" w:rsidRPr="00F06147" w:rsidRDefault="00230599" w:rsidP="00E7580A">
      <w:pPr>
        <w:spacing w:line="360" w:lineRule="auto"/>
        <w:jc w:val="both"/>
        <w:rPr>
          <w:b w:val="0"/>
          <w:sz w:val="24"/>
          <w:lang w:val="en-GB"/>
        </w:rPr>
      </w:pPr>
      <w:r w:rsidRPr="00F06147">
        <w:rPr>
          <w:b w:val="0"/>
          <w:sz w:val="24"/>
          <w:lang w:val="en-GB"/>
        </w:rPr>
        <w:t>The issue in this case is whether activity in high school could be regulated by the commerce power of congress.</w:t>
      </w:r>
      <w:r w:rsidR="00217604" w:rsidRPr="00F06147">
        <w:rPr>
          <w:b w:val="0"/>
          <w:sz w:val="24"/>
          <w:lang w:val="en-GB"/>
        </w:rPr>
        <w:t xml:space="preserve"> Can be the commerce power of congress extend to activities that have no apparent connection to interstate commerce.</w:t>
      </w:r>
    </w:p>
    <w:p w:rsidR="00E7580A" w:rsidRPr="00F06147" w:rsidRDefault="00762A40" w:rsidP="00E7580A">
      <w:pPr>
        <w:spacing w:line="360" w:lineRule="auto"/>
        <w:jc w:val="both"/>
        <w:rPr>
          <w:sz w:val="24"/>
          <w:lang w:val="en-GB"/>
        </w:rPr>
      </w:pPr>
      <w:r w:rsidRPr="00F06147">
        <w:rPr>
          <w:sz w:val="24"/>
          <w:lang w:val="en-GB"/>
        </w:rPr>
        <w:t>Holding</w:t>
      </w:r>
      <w:r w:rsidR="00E7580A" w:rsidRPr="00F06147">
        <w:rPr>
          <w:sz w:val="24"/>
          <w:lang w:val="en-GB"/>
        </w:rPr>
        <w:t xml:space="preserve"> of the Court:</w:t>
      </w:r>
    </w:p>
    <w:p w:rsidR="00762A40" w:rsidRPr="00F06147" w:rsidRDefault="00762A40" w:rsidP="00E7580A">
      <w:pPr>
        <w:spacing w:line="360" w:lineRule="auto"/>
        <w:jc w:val="both"/>
        <w:rPr>
          <w:b w:val="0"/>
          <w:sz w:val="24"/>
          <w:lang w:val="en-GB"/>
        </w:rPr>
      </w:pPr>
      <w:r w:rsidRPr="00F06147">
        <w:rPr>
          <w:b w:val="0"/>
          <w:sz w:val="24"/>
          <w:lang w:val="en-GB"/>
        </w:rPr>
        <w:t>There are three categories of acti</w:t>
      </w:r>
      <w:r w:rsidR="00241B8A" w:rsidRPr="00F06147">
        <w:rPr>
          <w:b w:val="0"/>
          <w:sz w:val="24"/>
          <w:lang w:val="en-GB"/>
        </w:rPr>
        <w:t>vity that congress may regulate under its commerce power are the use of the channels of interstate commerce. Than Congress may regulate and protect the instrumentalities of interstate commerce. And regulate those activities having a substantial relation to interstate commerce.</w:t>
      </w:r>
    </w:p>
    <w:p w:rsidR="00E7580A" w:rsidRPr="00F06147" w:rsidRDefault="00E7580A" w:rsidP="00E7580A">
      <w:pPr>
        <w:spacing w:line="360" w:lineRule="auto"/>
        <w:jc w:val="both"/>
        <w:rPr>
          <w:sz w:val="24"/>
          <w:lang w:val="en-GB"/>
        </w:rPr>
      </w:pPr>
      <w:r w:rsidRPr="00F06147">
        <w:rPr>
          <w:sz w:val="24"/>
          <w:lang w:val="en-GB"/>
        </w:rPr>
        <w:t>The reasoning of the court:</w:t>
      </w:r>
    </w:p>
    <w:p w:rsidR="00241B8A" w:rsidRPr="00F06147" w:rsidRDefault="00241B8A" w:rsidP="00E7580A">
      <w:pPr>
        <w:spacing w:line="360" w:lineRule="auto"/>
        <w:jc w:val="both"/>
        <w:rPr>
          <w:b w:val="0"/>
          <w:sz w:val="24"/>
          <w:lang w:val="en-GB"/>
        </w:rPr>
      </w:pPr>
      <w:r w:rsidRPr="00F06147">
        <w:rPr>
          <w:b w:val="0"/>
          <w:sz w:val="24"/>
          <w:lang w:val="en-GB"/>
        </w:rPr>
        <w:t>The court of appeal</w:t>
      </w:r>
      <w:r w:rsidR="004D6010" w:rsidRPr="00F06147">
        <w:rPr>
          <w:b w:val="0"/>
          <w:sz w:val="24"/>
          <w:lang w:val="en-GB"/>
        </w:rPr>
        <w:t>´s decision is affirmed. The activity being regulated must substantially affect interstate commerce.</w:t>
      </w:r>
      <w:r w:rsidR="0087750D" w:rsidRPr="00F06147">
        <w:rPr>
          <w:b w:val="0"/>
          <w:sz w:val="24"/>
          <w:lang w:val="en-GB"/>
        </w:rPr>
        <w:t xml:space="preserve"> But there were a lot of dissent by the justice.</w:t>
      </w:r>
    </w:p>
    <w:p w:rsidR="00425669" w:rsidRPr="00425669" w:rsidRDefault="00425669">
      <w:pPr>
        <w:rPr>
          <w:sz w:val="24"/>
          <w:szCs w:val="24"/>
        </w:rPr>
      </w:pPr>
    </w:p>
    <w:sectPr w:rsidR="00425669" w:rsidRPr="00425669" w:rsidSect="007D5FA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40A" w:rsidRDefault="0030740A" w:rsidP="00762A40">
      <w:pPr>
        <w:spacing w:after="0" w:line="240" w:lineRule="auto"/>
      </w:pPr>
      <w:r>
        <w:separator/>
      </w:r>
    </w:p>
  </w:endnote>
  <w:endnote w:type="continuationSeparator" w:id="1">
    <w:p w:rsidR="0030740A" w:rsidRDefault="0030740A" w:rsidP="00762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40A" w:rsidRDefault="0030740A" w:rsidP="00762A40">
      <w:pPr>
        <w:spacing w:after="0" w:line="240" w:lineRule="auto"/>
      </w:pPr>
      <w:r>
        <w:separator/>
      </w:r>
    </w:p>
  </w:footnote>
  <w:footnote w:type="continuationSeparator" w:id="1">
    <w:p w:rsidR="0030740A" w:rsidRDefault="0030740A" w:rsidP="00762A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7580A"/>
    <w:rsid w:val="00217604"/>
    <w:rsid w:val="00230599"/>
    <w:rsid w:val="00241B8A"/>
    <w:rsid w:val="0030740A"/>
    <w:rsid w:val="00425669"/>
    <w:rsid w:val="004D6010"/>
    <w:rsid w:val="004E68D5"/>
    <w:rsid w:val="00553099"/>
    <w:rsid w:val="006B0869"/>
    <w:rsid w:val="00762A40"/>
    <w:rsid w:val="0078201A"/>
    <w:rsid w:val="007D5FA9"/>
    <w:rsid w:val="0087750D"/>
    <w:rsid w:val="009236BB"/>
    <w:rsid w:val="00992217"/>
    <w:rsid w:val="00AC05FA"/>
    <w:rsid w:val="00B92E5D"/>
    <w:rsid w:val="00BA2731"/>
    <w:rsid w:val="00E7580A"/>
    <w:rsid w:val="00ED02AF"/>
    <w:rsid w:val="00F06147"/>
    <w:rsid w:val="00F314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580A"/>
    <w:rPr>
      <w:rFonts w:ascii="Times New Roman" w:eastAsia="Calibri" w:hAnsi="Times New Roman" w:cs="Times New Roman"/>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25669"/>
    <w:rPr>
      <w:color w:val="0000FF" w:themeColor="hyperlink"/>
      <w:u w:val="single"/>
    </w:rPr>
  </w:style>
  <w:style w:type="character" w:styleId="Sledovanodkaz">
    <w:name w:val="FollowedHyperlink"/>
    <w:basedOn w:val="Standardnpsmoodstavce"/>
    <w:uiPriority w:val="99"/>
    <w:semiHidden/>
    <w:unhideWhenUsed/>
    <w:rsid w:val="006B0869"/>
    <w:rPr>
      <w:color w:val="800080" w:themeColor="followedHyperlink"/>
      <w:u w:val="single"/>
    </w:rPr>
  </w:style>
  <w:style w:type="paragraph" w:styleId="Zhlav">
    <w:name w:val="header"/>
    <w:basedOn w:val="Normln"/>
    <w:link w:val="ZhlavChar"/>
    <w:uiPriority w:val="99"/>
    <w:semiHidden/>
    <w:unhideWhenUsed/>
    <w:rsid w:val="00762A4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62A40"/>
    <w:rPr>
      <w:rFonts w:ascii="Times New Roman" w:eastAsia="Calibri" w:hAnsi="Times New Roman" w:cs="Times New Roman"/>
      <w:b/>
      <w:sz w:val="40"/>
    </w:rPr>
  </w:style>
  <w:style w:type="paragraph" w:styleId="Zpat">
    <w:name w:val="footer"/>
    <w:basedOn w:val="Normln"/>
    <w:link w:val="ZpatChar"/>
    <w:uiPriority w:val="99"/>
    <w:semiHidden/>
    <w:unhideWhenUsed/>
    <w:rsid w:val="00762A4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62A40"/>
    <w:rPr>
      <w:rFonts w:ascii="Times New Roman" w:eastAsia="Calibri" w:hAnsi="Times New Roman" w:cs="Times New Roman"/>
      <w:b/>
      <w:sz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259</Words>
  <Characters>1355</Characters>
  <Application>Microsoft Office Word</Application>
  <DocSecurity>0</DocSecurity>
  <Lines>25</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2012-12-04T10:06:00Z</dcterms:created>
  <dcterms:modified xsi:type="dcterms:W3CDTF">2012-12-04T20:43:00Z</dcterms:modified>
</cp:coreProperties>
</file>