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C5" w:rsidRPr="00722CF7" w:rsidRDefault="00A400C5" w:rsidP="00A400C5">
      <w:pPr>
        <w:pStyle w:val="Prosttext"/>
        <w:jc w:val="center"/>
        <w:rPr>
          <w:rStyle w:val="Siln"/>
          <w:rFonts w:ascii="Syntax LT CE" w:hAnsi="Syntax LT CE"/>
          <w:b w:val="0"/>
          <w:szCs w:val="36"/>
        </w:rPr>
      </w:pPr>
    </w:p>
    <w:p w:rsidR="00E00928" w:rsidRDefault="00A400C5" w:rsidP="00A400C5">
      <w:pPr>
        <w:pStyle w:val="Prosttext"/>
        <w:jc w:val="center"/>
        <w:rPr>
          <w:rFonts w:ascii="Syntax LT CE" w:hAnsi="Syntax LT CE" w:cs="Calibri"/>
          <w:b/>
          <w:color w:val="000000"/>
          <w:sz w:val="56"/>
          <w:szCs w:val="36"/>
        </w:rPr>
      </w:pPr>
      <w:r w:rsidRPr="00A400C5">
        <w:rPr>
          <w:rFonts w:ascii="Arial Black" w:hAnsi="Arial Black" w:cs="Calibri"/>
          <w:color w:val="7030A0"/>
          <w:sz w:val="56"/>
          <w:szCs w:val="36"/>
        </w:rPr>
        <w:t>Právo na spravedlivý proces a</w:t>
      </w:r>
      <w:r w:rsidR="00E00928">
        <w:rPr>
          <w:rFonts w:ascii="Arial Black" w:hAnsi="Arial Black" w:cs="Calibri"/>
          <w:color w:val="7030A0"/>
          <w:sz w:val="56"/>
          <w:szCs w:val="36"/>
        </w:rPr>
        <w:t> </w:t>
      </w:r>
      <w:r w:rsidRPr="00A400C5">
        <w:rPr>
          <w:rFonts w:ascii="Arial Black" w:hAnsi="Arial Black" w:cs="Calibri"/>
          <w:color w:val="7030A0"/>
          <w:sz w:val="56"/>
          <w:szCs w:val="36"/>
        </w:rPr>
        <w:t>právní pomoc ve správním a</w:t>
      </w:r>
      <w:r w:rsidR="00E00928">
        <w:rPr>
          <w:rFonts w:ascii="Arial Black" w:hAnsi="Arial Black" w:cs="Calibri"/>
          <w:color w:val="7030A0"/>
          <w:sz w:val="56"/>
          <w:szCs w:val="36"/>
        </w:rPr>
        <w:t> </w:t>
      </w:r>
      <w:r w:rsidRPr="00A400C5">
        <w:rPr>
          <w:rFonts w:ascii="Arial Black" w:hAnsi="Arial Black" w:cs="Calibri"/>
          <w:color w:val="7030A0"/>
          <w:sz w:val="56"/>
          <w:szCs w:val="36"/>
        </w:rPr>
        <w:t>soudním řízení</w:t>
      </w:r>
      <w:r>
        <w:rPr>
          <w:rFonts w:ascii="Arial Black" w:hAnsi="Arial Black" w:cs="Calibri"/>
          <w:color w:val="7030A0"/>
          <w:sz w:val="56"/>
          <w:szCs w:val="36"/>
        </w:rPr>
        <w:br/>
      </w:r>
    </w:p>
    <w:p w:rsidR="00E00928" w:rsidRDefault="00A400C5" w:rsidP="00A400C5">
      <w:pPr>
        <w:pStyle w:val="Prosttext"/>
        <w:jc w:val="center"/>
        <w:rPr>
          <w:rFonts w:ascii="Syntax LT CE" w:eastAsia="Times New Roman" w:hAnsi="Syntax LT CE"/>
          <w:color w:val="7030A0"/>
          <w:sz w:val="48"/>
          <w:szCs w:val="40"/>
        </w:rPr>
      </w:pPr>
      <w:r w:rsidRPr="00BB7216">
        <w:rPr>
          <w:rFonts w:ascii="Syntax LT CE" w:hAnsi="Syntax LT CE" w:cs="Calibri"/>
          <w:sz w:val="28"/>
          <w:szCs w:val="28"/>
        </w:rPr>
        <w:br/>
      </w:r>
      <w:r w:rsidRPr="00BB7216">
        <w:rPr>
          <w:rFonts w:ascii="Syntax LT CE" w:eastAsia="Times New Roman" w:hAnsi="Syntax LT CE"/>
          <w:b/>
          <w:color w:val="7030A0"/>
          <w:sz w:val="48"/>
          <w:szCs w:val="40"/>
        </w:rPr>
        <w:t>přednáší:</w:t>
      </w:r>
    </w:p>
    <w:p w:rsidR="00E00928" w:rsidRDefault="00E00928" w:rsidP="00A400C5">
      <w:pPr>
        <w:pStyle w:val="Prosttext"/>
        <w:jc w:val="center"/>
        <w:rPr>
          <w:rFonts w:ascii="Syntax LT CE" w:eastAsia="Times New Roman" w:hAnsi="Syntax LT CE"/>
          <w:color w:val="7030A0"/>
          <w:sz w:val="48"/>
          <w:szCs w:val="40"/>
        </w:rPr>
      </w:pPr>
      <w:r w:rsidRPr="00E00928">
        <w:rPr>
          <w:rFonts w:ascii="Syntax LT CE" w:eastAsia="Times New Roman" w:hAnsi="Syntax LT CE"/>
          <w:color w:val="7030A0"/>
          <w:sz w:val="48"/>
          <w:szCs w:val="40"/>
        </w:rPr>
        <w:t>JUDr. Kateřina Šimáčková</w:t>
      </w:r>
    </w:p>
    <w:p w:rsidR="00A400C5" w:rsidRPr="00E00928" w:rsidRDefault="00E00928" w:rsidP="00A400C5">
      <w:pPr>
        <w:pStyle w:val="Prosttext"/>
        <w:jc w:val="center"/>
        <w:rPr>
          <w:rFonts w:ascii="Syntax LT CE" w:eastAsia="Times New Roman" w:hAnsi="Syntax LT CE"/>
          <w:color w:val="7030A0"/>
          <w:sz w:val="44"/>
          <w:szCs w:val="40"/>
        </w:rPr>
      </w:pPr>
      <w:r w:rsidRPr="00E00928">
        <w:rPr>
          <w:rFonts w:ascii="Syntax LT CE" w:eastAsia="Times New Roman" w:hAnsi="Syntax LT CE"/>
          <w:color w:val="000000" w:themeColor="text1"/>
          <w:sz w:val="36"/>
          <w:szCs w:val="40"/>
        </w:rPr>
        <w:t>soudkyně Nejvyššího správního soudu</w:t>
      </w:r>
    </w:p>
    <w:p w:rsidR="00E00928" w:rsidRDefault="00E00928" w:rsidP="00A400C5">
      <w:pPr>
        <w:pStyle w:val="Prosttext"/>
        <w:jc w:val="center"/>
        <w:rPr>
          <w:rFonts w:ascii="Syntax LT CE" w:eastAsia="Times New Roman" w:hAnsi="Syntax LT CE"/>
          <w:color w:val="7030A0"/>
          <w:sz w:val="48"/>
          <w:szCs w:val="40"/>
        </w:rPr>
      </w:pPr>
      <w:r w:rsidRPr="00E00928">
        <w:rPr>
          <w:rFonts w:ascii="Syntax LT CE" w:eastAsia="Times New Roman" w:hAnsi="Syntax LT CE"/>
          <w:color w:val="7030A0"/>
          <w:sz w:val="48"/>
          <w:szCs w:val="40"/>
        </w:rPr>
        <w:t>Mgr. Veronika Kristková</w:t>
      </w:r>
    </w:p>
    <w:p w:rsidR="00A400C5" w:rsidRPr="00E00928" w:rsidRDefault="00E00928" w:rsidP="00A400C5">
      <w:pPr>
        <w:pStyle w:val="Prosttext"/>
        <w:jc w:val="center"/>
        <w:rPr>
          <w:rFonts w:ascii="Syntax LT CE" w:eastAsia="Times New Roman" w:hAnsi="Syntax LT CE"/>
          <w:color w:val="000000" w:themeColor="text1"/>
          <w:sz w:val="36"/>
          <w:szCs w:val="40"/>
        </w:rPr>
      </w:pPr>
      <w:r w:rsidRPr="00E00928">
        <w:rPr>
          <w:rFonts w:ascii="Syntax LT CE" w:eastAsia="Times New Roman" w:hAnsi="Syntax LT CE"/>
          <w:color w:val="000000" w:themeColor="text1"/>
          <w:sz w:val="36"/>
          <w:szCs w:val="40"/>
        </w:rPr>
        <w:t xml:space="preserve">Pro </w:t>
      </w:r>
      <w:proofErr w:type="gramStart"/>
      <w:r w:rsidRPr="00E00928">
        <w:rPr>
          <w:rFonts w:ascii="Syntax LT CE" w:eastAsia="Times New Roman" w:hAnsi="Syntax LT CE"/>
          <w:color w:val="000000" w:themeColor="text1"/>
          <w:sz w:val="36"/>
          <w:szCs w:val="40"/>
        </w:rPr>
        <w:t>bono</w:t>
      </w:r>
      <w:proofErr w:type="gramEnd"/>
      <w:r w:rsidRPr="00E00928">
        <w:rPr>
          <w:rFonts w:ascii="Syntax LT CE" w:eastAsia="Times New Roman" w:hAnsi="Syntax LT CE"/>
          <w:color w:val="000000" w:themeColor="text1"/>
          <w:sz w:val="36"/>
          <w:szCs w:val="40"/>
        </w:rPr>
        <w:t xml:space="preserve"> aliance</w:t>
      </w:r>
    </w:p>
    <w:p w:rsidR="00A400C5" w:rsidRDefault="00A400C5" w:rsidP="00A400C5">
      <w:pPr>
        <w:pStyle w:val="Prosttext"/>
        <w:jc w:val="center"/>
        <w:rPr>
          <w:rFonts w:ascii="Syntax LT CE" w:hAnsi="Syntax LT CE"/>
          <w:b/>
          <w:color w:val="7030A0"/>
          <w:sz w:val="32"/>
          <w:szCs w:val="32"/>
        </w:rPr>
      </w:pPr>
    </w:p>
    <w:p w:rsidR="00A400C5" w:rsidRPr="00BB7216" w:rsidRDefault="00A400C5" w:rsidP="00A400C5">
      <w:pPr>
        <w:pStyle w:val="Prosttext"/>
        <w:jc w:val="center"/>
        <w:rPr>
          <w:rFonts w:ascii="Syntax LT CE" w:hAnsi="Syntax LT CE" w:cs="Calibri"/>
          <w:color w:val="FF0000"/>
          <w:sz w:val="28"/>
          <w:szCs w:val="28"/>
        </w:rPr>
      </w:pPr>
    </w:p>
    <w:p w:rsidR="00A400C5" w:rsidRPr="00BB7216" w:rsidRDefault="00E00928" w:rsidP="00A400C5">
      <w:pPr>
        <w:pStyle w:val="Prosttext"/>
        <w:jc w:val="center"/>
        <w:rPr>
          <w:rStyle w:val="Siln"/>
          <w:rFonts w:ascii="Syntax LT CE" w:hAnsi="Syntax LT CE"/>
          <w:b w:val="0"/>
          <w:sz w:val="28"/>
          <w:szCs w:val="28"/>
        </w:rPr>
      </w:pPr>
      <w:r>
        <w:rPr>
          <w:rFonts w:ascii="Syntax LT CE" w:hAnsi="Syntax LT CE" w:cs="Calibri"/>
          <w:sz w:val="28"/>
          <w:szCs w:val="28"/>
        </w:rPr>
        <w:t>Přednáška</w:t>
      </w:r>
      <w:r w:rsidR="00A400C5" w:rsidRPr="00BB7216">
        <w:rPr>
          <w:rFonts w:ascii="Syntax LT CE" w:hAnsi="Syntax LT CE" w:cs="Calibri"/>
          <w:sz w:val="28"/>
          <w:szCs w:val="28"/>
        </w:rPr>
        <w:t xml:space="preserve"> se pořádá v rámci </w:t>
      </w:r>
      <w:r w:rsidR="00A400C5" w:rsidRPr="00BB7216">
        <w:rPr>
          <w:rStyle w:val="Siln"/>
          <w:rFonts w:ascii="Syntax LT CE" w:hAnsi="Syntax LT CE"/>
          <w:b w:val="0"/>
          <w:sz w:val="28"/>
          <w:szCs w:val="28"/>
        </w:rPr>
        <w:t xml:space="preserve">projektu </w:t>
      </w:r>
    </w:p>
    <w:p w:rsidR="00A400C5" w:rsidRPr="00BB7216" w:rsidRDefault="00E00928" w:rsidP="00A400C5">
      <w:pPr>
        <w:pStyle w:val="Prosttext"/>
        <w:jc w:val="center"/>
        <w:rPr>
          <w:rFonts w:ascii="Syntax LT CE" w:hAnsi="Syntax LT CE"/>
          <w:b/>
          <w:sz w:val="28"/>
          <w:szCs w:val="28"/>
        </w:rPr>
      </w:pPr>
      <w:r w:rsidRPr="00E00928">
        <w:rPr>
          <w:rFonts w:ascii="Syntax LT CE" w:hAnsi="Syntax LT CE"/>
          <w:b/>
          <w:sz w:val="28"/>
          <w:szCs w:val="28"/>
        </w:rPr>
        <w:t>Dlouhodobé partnerství výzkumu, praxe a výuky práva</w:t>
      </w:r>
    </w:p>
    <w:p w:rsidR="00A400C5" w:rsidRPr="00BB7216" w:rsidRDefault="00A400C5" w:rsidP="00A400C5">
      <w:pPr>
        <w:pStyle w:val="Prosttext"/>
        <w:jc w:val="center"/>
        <w:rPr>
          <w:rFonts w:ascii="Syntax LT CE" w:eastAsia="Times New Roman" w:hAnsi="Syntax LT CE"/>
          <w:sz w:val="36"/>
          <w:szCs w:val="36"/>
        </w:rPr>
      </w:pPr>
      <w:r w:rsidRPr="00BB7216">
        <w:rPr>
          <w:rStyle w:val="Siln"/>
          <w:rFonts w:ascii="Syntax LT CE" w:hAnsi="Syntax LT CE"/>
          <w:b w:val="0"/>
          <w:sz w:val="28"/>
          <w:szCs w:val="28"/>
        </w:rPr>
        <w:t>registrační číslo projektu:</w:t>
      </w:r>
      <w:r w:rsidRPr="00BB7216">
        <w:rPr>
          <w:rStyle w:val="Siln"/>
          <w:rFonts w:ascii="Syntax LT CE" w:hAnsi="Syntax LT CE"/>
          <w:sz w:val="28"/>
          <w:szCs w:val="28"/>
        </w:rPr>
        <w:t xml:space="preserve"> </w:t>
      </w:r>
      <w:r w:rsidR="00E00928" w:rsidRPr="00E00928">
        <w:rPr>
          <w:rFonts w:ascii="Syntax LT CE" w:hAnsi="Syntax LT CE"/>
          <w:sz w:val="28"/>
          <w:szCs w:val="28"/>
        </w:rPr>
        <w:t>CZ.1.07/2.4.00/17.0044</w:t>
      </w:r>
    </w:p>
    <w:p w:rsidR="00A400C5" w:rsidRDefault="00A400C5" w:rsidP="00A400C5"/>
    <w:p w:rsidR="00A400C5" w:rsidRDefault="00A400C5" w:rsidP="00A400C5"/>
    <w:p w:rsidR="00636F77" w:rsidRDefault="00636F77" w:rsidP="00E00928">
      <w:pPr>
        <w:pStyle w:val="Nadpis1"/>
      </w:pPr>
      <w:bookmarkStart w:id="0" w:name="_GoBack"/>
      <w:bookmarkEnd w:id="0"/>
    </w:p>
    <w:p w:rsidR="00A400C5" w:rsidRDefault="00E00928" w:rsidP="00E00928">
      <w:pPr>
        <w:pStyle w:val="Nadpis1"/>
      </w:pPr>
      <w:r>
        <w:t>Osnova přednášky:</w:t>
      </w:r>
      <w:r w:rsidR="00A400C5">
        <w:t xml:space="preserve"> </w:t>
      </w:r>
    </w:p>
    <w:p w:rsidR="00A400C5" w:rsidRDefault="00A400C5" w:rsidP="00E00928">
      <w:pPr>
        <w:pStyle w:val="Nadpis2"/>
      </w:pPr>
      <w:r>
        <w:t>Právo na spravedlivý proces</w:t>
      </w:r>
    </w:p>
    <w:p w:rsidR="00A400C5" w:rsidRPr="00E00928" w:rsidRDefault="00A400C5" w:rsidP="00E00928">
      <w:pPr>
        <w:jc w:val="both"/>
        <w:rPr>
          <w:u w:val="single"/>
        </w:rPr>
      </w:pPr>
      <w:r w:rsidRPr="00E00928">
        <w:rPr>
          <w:u w:val="single"/>
        </w:rPr>
        <w:t xml:space="preserve">Čl. 4 </w:t>
      </w:r>
      <w:proofErr w:type="gramStart"/>
      <w:r w:rsidRPr="00E00928">
        <w:rPr>
          <w:u w:val="single"/>
        </w:rPr>
        <w:t>Ústavy :</w:t>
      </w:r>
      <w:proofErr w:type="gramEnd"/>
    </w:p>
    <w:p w:rsidR="00A400C5" w:rsidRDefault="00A400C5" w:rsidP="00E00928">
      <w:pPr>
        <w:jc w:val="both"/>
      </w:pPr>
      <w:r>
        <w:t>Základní práva a svobody jsou pod ochranou soudní moci.</w:t>
      </w:r>
    </w:p>
    <w:p w:rsidR="00A400C5" w:rsidRPr="00E00928" w:rsidRDefault="00A400C5" w:rsidP="00E00928">
      <w:pPr>
        <w:jc w:val="both"/>
        <w:rPr>
          <w:u w:val="single"/>
        </w:rPr>
      </w:pPr>
      <w:r w:rsidRPr="00E00928">
        <w:rPr>
          <w:u w:val="single"/>
        </w:rPr>
        <w:t xml:space="preserve">Čl. 36 a násl. Listiny základních práv a svobod: </w:t>
      </w:r>
    </w:p>
    <w:p w:rsidR="00A400C5" w:rsidRDefault="00A400C5" w:rsidP="00E00928">
      <w:pPr>
        <w:jc w:val="both"/>
      </w:pPr>
      <w:r>
        <w:t>Právo na soudní a jinou právní ochranu</w:t>
      </w:r>
    </w:p>
    <w:p w:rsidR="00E00928" w:rsidRPr="00E00928" w:rsidRDefault="00A400C5" w:rsidP="00E00928">
      <w:pPr>
        <w:jc w:val="both"/>
        <w:rPr>
          <w:u w:val="single"/>
        </w:rPr>
      </w:pPr>
      <w:proofErr w:type="gramStart"/>
      <w:r w:rsidRPr="00E00928">
        <w:rPr>
          <w:u w:val="single"/>
        </w:rPr>
        <w:t>Čl.36</w:t>
      </w:r>
      <w:proofErr w:type="gramEnd"/>
    </w:p>
    <w:p w:rsidR="00A400C5" w:rsidRDefault="00A400C5" w:rsidP="00E00928">
      <w:pPr>
        <w:jc w:val="both"/>
      </w:pPr>
      <w:r>
        <w:t>(1) Každý se může domáhat stanoveným postupem svého práva u nezávislého a nestranného soudu a ve stanovených případech u jiného orgánu.</w:t>
      </w:r>
    </w:p>
    <w:p w:rsidR="00A400C5" w:rsidRDefault="00A400C5" w:rsidP="00E00928">
      <w:pPr>
        <w:jc w:val="both"/>
      </w:pPr>
      <w:r>
        <w:t>(2) Kdo tvrdí, že byl na svých právech zkrácen rozhodnutím orgánu veřejné správy, může se obrátit na soud, aby přezkoumal zákonnost takového rozhodnutí, nestanoví-li zákon jinak. Z</w:t>
      </w:r>
      <w:r w:rsidR="00E00928">
        <w:t> </w:t>
      </w:r>
      <w:r>
        <w:t xml:space="preserve"> pravomoci soudu však nesmí být vyloučeno přezkoumávání rozhodnutí týkajících se základních práv a svobod podle Listiny.</w:t>
      </w:r>
    </w:p>
    <w:p w:rsidR="00A400C5" w:rsidRDefault="00A400C5" w:rsidP="00E00928">
      <w:pPr>
        <w:jc w:val="both"/>
      </w:pPr>
      <w:r>
        <w:t>(3) Každý má právo na náhradu škody způsobené mu nezákonným rozhodnutím soudu, jiného státního orgánu či orgánu veřejné správy nebo nesprávným úředním postupem.</w:t>
      </w:r>
    </w:p>
    <w:p w:rsidR="00A400C5" w:rsidRDefault="00A400C5" w:rsidP="00E00928">
      <w:pPr>
        <w:jc w:val="both"/>
      </w:pPr>
      <w:r>
        <w:t>(4) Podmínky a podrobnosti upravuje zákon.</w:t>
      </w:r>
    </w:p>
    <w:p w:rsidR="00E00928" w:rsidRPr="00E00928" w:rsidRDefault="00A400C5" w:rsidP="00E00928">
      <w:pPr>
        <w:jc w:val="both"/>
        <w:rPr>
          <w:u w:val="single"/>
        </w:rPr>
      </w:pPr>
      <w:proofErr w:type="gramStart"/>
      <w:r w:rsidRPr="00E00928">
        <w:rPr>
          <w:u w:val="single"/>
        </w:rPr>
        <w:t>Čl.37</w:t>
      </w:r>
      <w:proofErr w:type="gramEnd"/>
    </w:p>
    <w:p w:rsidR="00A400C5" w:rsidRDefault="00A400C5" w:rsidP="00E00928">
      <w:pPr>
        <w:jc w:val="both"/>
      </w:pPr>
      <w:r>
        <w:t>(1) Každý má právo odepřít výpověď, jestliže by jí způsobil nebezpečí trestního stíhání sobě nebo osobě blízké.</w:t>
      </w:r>
    </w:p>
    <w:p w:rsidR="00A400C5" w:rsidRDefault="00A400C5" w:rsidP="00E00928">
      <w:pPr>
        <w:jc w:val="both"/>
      </w:pPr>
      <w:r>
        <w:t>(2) Každý má právo na právní pomoc v řízení před soudy, jinými státními orgány či orgány veřejné správy, a to od počátku řízení.</w:t>
      </w:r>
    </w:p>
    <w:p w:rsidR="00A400C5" w:rsidRDefault="00A400C5" w:rsidP="00E00928">
      <w:pPr>
        <w:jc w:val="both"/>
      </w:pPr>
      <w:r>
        <w:t>(3) Všichni účastníci jsou si v řízení rovni.</w:t>
      </w:r>
    </w:p>
    <w:p w:rsidR="00A400C5" w:rsidRDefault="00A400C5" w:rsidP="00E00928">
      <w:pPr>
        <w:jc w:val="both"/>
      </w:pPr>
      <w:r>
        <w:t>(4) Kdo prohlásí, že neovládá jazyk, jímž se vede jednání, má právo na tlumočníka.</w:t>
      </w:r>
    </w:p>
    <w:p w:rsidR="00E00928" w:rsidRDefault="00A400C5" w:rsidP="00E00928">
      <w:pPr>
        <w:jc w:val="both"/>
      </w:pPr>
      <w:proofErr w:type="gramStart"/>
      <w:r w:rsidRPr="00E00928">
        <w:rPr>
          <w:u w:val="single"/>
        </w:rPr>
        <w:t>Čl.38</w:t>
      </w:r>
      <w:proofErr w:type="gramEnd"/>
    </w:p>
    <w:p w:rsidR="00A400C5" w:rsidRDefault="00A400C5" w:rsidP="00E00928">
      <w:pPr>
        <w:jc w:val="both"/>
      </w:pPr>
      <w:r>
        <w:t>(1) Nikdo nesmí být odňat svému zákonnému soudci. Příslušnost soudu i soudce stanoví zákon.</w:t>
      </w:r>
    </w:p>
    <w:p w:rsidR="00A400C5" w:rsidRDefault="00A400C5" w:rsidP="00E00928">
      <w:pPr>
        <w:jc w:val="both"/>
      </w:pPr>
      <w:r>
        <w:t>(2) Každý má právo, aby jeho věc byla projednána veřejně, bez zbytečných průtahů a v jeho přítomnosti a aby se mohl vyjádřit ke všem prováděným důkazům. Veřejnost může být vyloučena jen v případech stanovených zákonem.</w:t>
      </w:r>
    </w:p>
    <w:p w:rsidR="00A400C5" w:rsidRDefault="00A400C5" w:rsidP="00E00928">
      <w:pPr>
        <w:jc w:val="both"/>
      </w:pPr>
      <w:r>
        <w:t xml:space="preserve"> </w:t>
      </w:r>
    </w:p>
    <w:p w:rsidR="00E00928" w:rsidRPr="00E00928" w:rsidRDefault="00A400C5" w:rsidP="00E00928">
      <w:pPr>
        <w:jc w:val="both"/>
        <w:rPr>
          <w:u w:val="single"/>
        </w:rPr>
      </w:pPr>
      <w:proofErr w:type="gramStart"/>
      <w:r w:rsidRPr="00E00928">
        <w:rPr>
          <w:u w:val="single"/>
        </w:rPr>
        <w:t>Čl.39</w:t>
      </w:r>
      <w:proofErr w:type="gramEnd"/>
    </w:p>
    <w:p w:rsidR="00A400C5" w:rsidRDefault="00A400C5" w:rsidP="00E00928">
      <w:pPr>
        <w:jc w:val="both"/>
      </w:pPr>
      <w:r>
        <w:t>Jen zákon stanoví, které jednání je trestným činem a jaký trest, jakož i jaké jiné újmy na právech nebo majetku, lze za jeho spáchání uložit.</w:t>
      </w:r>
    </w:p>
    <w:p w:rsidR="00E00928" w:rsidRPr="00E00928" w:rsidRDefault="00A400C5" w:rsidP="00E00928">
      <w:pPr>
        <w:jc w:val="both"/>
        <w:rPr>
          <w:u w:val="single"/>
        </w:rPr>
      </w:pPr>
      <w:proofErr w:type="gramStart"/>
      <w:r w:rsidRPr="00E00928">
        <w:rPr>
          <w:u w:val="single"/>
        </w:rPr>
        <w:t>Čl.40</w:t>
      </w:r>
      <w:proofErr w:type="gramEnd"/>
    </w:p>
    <w:p w:rsidR="00A400C5" w:rsidRDefault="00A400C5" w:rsidP="00E00928">
      <w:pPr>
        <w:jc w:val="both"/>
      </w:pPr>
      <w:r>
        <w:t>(1) Jen soud rozhoduje o vině a trestu za trestné činy.</w:t>
      </w:r>
    </w:p>
    <w:p w:rsidR="00A400C5" w:rsidRDefault="00A400C5" w:rsidP="00E00928">
      <w:pPr>
        <w:jc w:val="both"/>
      </w:pPr>
      <w:r>
        <w:t>(2) Každý, proti němuž je vedeno trestní řízení, je považován za nevinného, pokud pravomocným odsuzujícím rozsudkem soudu nebyla jeho vina vyslovena.</w:t>
      </w:r>
    </w:p>
    <w:p w:rsidR="00A400C5" w:rsidRDefault="00A400C5" w:rsidP="00E00928">
      <w:pPr>
        <w:jc w:val="both"/>
      </w:pPr>
      <w:r>
        <w:t>(3) Obviněný má právo, aby mu byl poskytnut čas a možnost k přípravě obhajoby a aby se mohl hájit sám nebo prostřednictvím obhájce. Jestliže si obhájce nezvolí, ačkoliv ho podle zákona mít musí, bude mu ustanoven soudem. Zákon stanoví, v kterých případech má obviněný právo na</w:t>
      </w:r>
      <w:r w:rsidR="00E00928">
        <w:t> </w:t>
      </w:r>
      <w:r>
        <w:t>bezplatnou pomoc obhájce.</w:t>
      </w:r>
    </w:p>
    <w:p w:rsidR="00A400C5" w:rsidRDefault="00E00928" w:rsidP="00E00928">
      <w:pPr>
        <w:jc w:val="both"/>
      </w:pPr>
      <w:r>
        <w:t>(</w:t>
      </w:r>
      <w:r w:rsidR="00A400C5">
        <w:t>4) Obviněný má právo odepřít výpověď; tohoto práva nesmí být žádným způsobem zbaven.</w:t>
      </w:r>
    </w:p>
    <w:p w:rsidR="00A400C5" w:rsidRDefault="00A400C5" w:rsidP="00E00928">
      <w:pPr>
        <w:jc w:val="both"/>
      </w:pPr>
      <w:r>
        <w:t>(5) Nikdo nemůže být trestně stíhán za čin, pro který již byl pravomocně odsouzen nebo zproštěn obžaloby. Tato zásada nevylučuje uplatnění mimořádných opravných prostředků v souladu se zákonem.</w:t>
      </w:r>
    </w:p>
    <w:p w:rsidR="00A400C5" w:rsidRDefault="00A400C5" w:rsidP="00E00928">
      <w:pPr>
        <w:jc w:val="both"/>
      </w:pPr>
      <w:r>
        <w:t>(6) Trestnost činu se posuzuje a trest se ukládá podle zákona účinného v době, kdy byl čin spáchán. Pozdějšího zákona se použije, jestliže je to pro pachatele příznivější.</w:t>
      </w:r>
    </w:p>
    <w:p w:rsidR="00A400C5" w:rsidRDefault="00A400C5" w:rsidP="00E00928">
      <w:pPr>
        <w:jc w:val="both"/>
      </w:pPr>
    </w:p>
    <w:p w:rsidR="00A400C5" w:rsidRDefault="00A400C5" w:rsidP="00E00928">
      <w:pPr>
        <w:pStyle w:val="Nadpis2"/>
      </w:pPr>
      <w:r>
        <w:t xml:space="preserve">Deficity spravedlivého procesu v českém správním řízení </w:t>
      </w:r>
    </w:p>
    <w:p w:rsidR="00A400C5" w:rsidRDefault="00A400C5" w:rsidP="00E00928">
      <w:pPr>
        <w:jc w:val="both"/>
      </w:pPr>
      <w:r>
        <w:t>Právo na spravedlivý proces, právo na zastoupení a právní pomoc, Ne bis in idem, právo na</w:t>
      </w:r>
      <w:r w:rsidR="00E00928">
        <w:t> </w:t>
      </w:r>
      <w:r>
        <w:t>tlumočníka, právo na přístup k informacím, právo na poučení, právo být slyšen, právo na</w:t>
      </w:r>
      <w:r w:rsidR="00E00928">
        <w:t> </w:t>
      </w:r>
      <w:r>
        <w:t>rozhodnutí, právo na rozhodnutí v přiměřené lhůtě, právo na odůvodnění rozhodnutí, právo na</w:t>
      </w:r>
      <w:r w:rsidR="00E00928">
        <w:t> </w:t>
      </w:r>
      <w:r>
        <w:t>opravný prostředek, právo na výkon rozhodnutí atd.</w:t>
      </w:r>
    </w:p>
    <w:p w:rsidR="00A400C5" w:rsidRDefault="00A400C5" w:rsidP="00E00928">
      <w:pPr>
        <w:jc w:val="both"/>
      </w:pPr>
      <w:r>
        <w:t xml:space="preserve">  </w:t>
      </w:r>
    </w:p>
    <w:p w:rsidR="00A400C5" w:rsidRDefault="00A400C5" w:rsidP="00E00928">
      <w:pPr>
        <w:pStyle w:val="Nadpis2"/>
      </w:pPr>
      <w:r>
        <w:t xml:space="preserve">Právo na právní pomoc ve správním řízení </w:t>
      </w:r>
    </w:p>
    <w:p w:rsidR="00A400C5" w:rsidRDefault="00A400C5" w:rsidP="00E00928">
      <w:pPr>
        <w:jc w:val="both"/>
      </w:pPr>
      <w:r>
        <w:t xml:space="preserve">Ústavní deficit legislativní úpravy a co s </w:t>
      </w:r>
      <w:proofErr w:type="gramStart"/>
      <w:r>
        <w:t>tím ?</w:t>
      </w:r>
      <w:proofErr w:type="gramEnd"/>
      <w:r>
        <w:t xml:space="preserve"> </w:t>
      </w:r>
    </w:p>
    <w:p w:rsidR="00A400C5" w:rsidRDefault="00A400C5" w:rsidP="00E00928">
      <w:pPr>
        <w:jc w:val="both"/>
      </w:pPr>
    </w:p>
    <w:p w:rsidR="00636F77" w:rsidRDefault="00636F77" w:rsidP="00E00928">
      <w:pPr>
        <w:jc w:val="both"/>
      </w:pPr>
    </w:p>
    <w:p w:rsidR="00A400C5" w:rsidRDefault="00A400C5" w:rsidP="00E00928">
      <w:pPr>
        <w:pStyle w:val="Nadpis2"/>
      </w:pPr>
      <w:r>
        <w:t>Deficity přístupu k soudu ve správním soudnictví</w:t>
      </w:r>
    </w:p>
    <w:p w:rsidR="00A400C5" w:rsidRDefault="00A400C5" w:rsidP="00E00928">
      <w:pPr>
        <w:jc w:val="both"/>
      </w:pPr>
      <w:r>
        <w:t xml:space="preserve">Právní stát a důležitost přezkumu správních rozhodnutí, míra </w:t>
      </w:r>
      <w:proofErr w:type="spellStart"/>
      <w:r>
        <w:t>judikovatelnosti</w:t>
      </w:r>
      <w:proofErr w:type="spellEnd"/>
      <w:r>
        <w:t xml:space="preserve"> otázek, které řeší zákonodárná a výkonná moc, deficity správního soudnictví. </w:t>
      </w:r>
    </w:p>
    <w:p w:rsidR="00A400C5" w:rsidRDefault="00A400C5" w:rsidP="00E00928">
      <w:pPr>
        <w:jc w:val="both"/>
      </w:pPr>
      <w:r>
        <w:t>Veřejný zájem versus základní práva.</w:t>
      </w:r>
    </w:p>
    <w:p w:rsidR="00636F77" w:rsidRDefault="00636F77" w:rsidP="00E00928">
      <w:pPr>
        <w:jc w:val="both"/>
      </w:pPr>
    </w:p>
    <w:p w:rsidR="00636F77" w:rsidRDefault="00636F77" w:rsidP="00E00928">
      <w:pPr>
        <w:jc w:val="both"/>
      </w:pPr>
    </w:p>
    <w:p w:rsidR="00A400C5" w:rsidRDefault="00A400C5" w:rsidP="00E00928">
      <w:pPr>
        <w:jc w:val="both"/>
      </w:pPr>
      <w:r>
        <w:t xml:space="preserve">  </w:t>
      </w:r>
    </w:p>
    <w:p w:rsidR="00A400C5" w:rsidRDefault="00A400C5" w:rsidP="00E00928">
      <w:pPr>
        <w:pStyle w:val="Nadpis3"/>
      </w:pPr>
      <w:r>
        <w:t xml:space="preserve">Doporučená literatura: </w:t>
      </w:r>
    </w:p>
    <w:p w:rsidR="00A400C5" w:rsidRDefault="00A400C5" w:rsidP="00E00928">
      <w:pPr>
        <w:pStyle w:val="Odstavecseseznamem"/>
        <w:numPr>
          <w:ilvl w:val="0"/>
          <w:numId w:val="15"/>
        </w:numPr>
        <w:spacing w:before="120" w:after="360"/>
        <w:ind w:left="1054" w:hanging="357"/>
        <w:contextualSpacing w:val="0"/>
        <w:jc w:val="both"/>
      </w:pPr>
      <w:r>
        <w:t xml:space="preserve">Pavel Molek: Právo na spravedlivý proces,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ČR, 2012</w:t>
      </w:r>
    </w:p>
    <w:p w:rsidR="00A400C5" w:rsidRDefault="00A400C5" w:rsidP="00E00928">
      <w:pPr>
        <w:pStyle w:val="Odstavecseseznamem"/>
        <w:numPr>
          <w:ilvl w:val="0"/>
          <w:numId w:val="15"/>
        </w:numPr>
        <w:spacing w:before="120" w:after="360"/>
        <w:ind w:left="1054" w:hanging="357"/>
        <w:contextualSpacing w:val="0"/>
        <w:jc w:val="both"/>
      </w:pPr>
      <w:r>
        <w:t>Petr Svoboda: Ústavní základy správního řízení v ČR, Právo na spravedlivý proces a</w:t>
      </w:r>
      <w:r w:rsidR="00E00928">
        <w:t> </w:t>
      </w:r>
      <w:r>
        <w:t>české správní řízení, Linde, 2007</w:t>
      </w:r>
    </w:p>
    <w:p w:rsidR="00A400C5" w:rsidRDefault="00A400C5" w:rsidP="00E00928">
      <w:pPr>
        <w:pStyle w:val="Odstavecseseznamem"/>
        <w:numPr>
          <w:ilvl w:val="0"/>
          <w:numId w:val="15"/>
        </w:numPr>
        <w:spacing w:before="120" w:after="360"/>
        <w:ind w:left="1054" w:hanging="357"/>
        <w:contextualSpacing w:val="0"/>
        <w:jc w:val="both"/>
      </w:pPr>
      <w:r>
        <w:t xml:space="preserve">Komentář k Listině základních práv a svobod, Wagnerová a kol., </w:t>
      </w:r>
      <w:proofErr w:type="spellStart"/>
      <w:r>
        <w:t>Volters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ČR, 2012</w:t>
      </w:r>
    </w:p>
    <w:p w:rsidR="00A400C5" w:rsidRDefault="00A400C5" w:rsidP="00E00928">
      <w:pPr>
        <w:pStyle w:val="Odstavecseseznamem"/>
        <w:numPr>
          <w:ilvl w:val="0"/>
          <w:numId w:val="15"/>
        </w:numPr>
        <w:spacing w:before="120" w:after="360"/>
        <w:ind w:left="1054" w:hanging="357"/>
        <w:contextualSpacing w:val="0"/>
        <w:jc w:val="both"/>
      </w:pPr>
      <w:r>
        <w:t xml:space="preserve">Komentář k Evropské úmluvě o lidských právech, Kmec, Kosař, Kratochvíl, Bobek, </w:t>
      </w:r>
      <w:proofErr w:type="gramStart"/>
      <w:r>
        <w:t>C.H.</w:t>
      </w:r>
      <w:proofErr w:type="gramEnd"/>
      <w:r>
        <w:t xml:space="preserve"> Beck, 2012</w:t>
      </w:r>
    </w:p>
    <w:p w:rsidR="00A400C5" w:rsidRDefault="00A400C5" w:rsidP="00E00928">
      <w:pPr>
        <w:pStyle w:val="Odstavecseseznamem"/>
        <w:numPr>
          <w:ilvl w:val="0"/>
          <w:numId w:val="15"/>
        </w:numPr>
        <w:spacing w:before="120" w:after="360"/>
        <w:ind w:left="1054" w:hanging="357"/>
        <w:contextualSpacing w:val="0"/>
        <w:jc w:val="both"/>
      </w:pPr>
      <w:r>
        <w:t>http://www.probonoaliance.cz/cz/</w:t>
      </w:r>
    </w:p>
    <w:p w:rsidR="00A400C5" w:rsidRDefault="00A400C5" w:rsidP="00E00928">
      <w:pPr>
        <w:pStyle w:val="Odstavecseseznamem"/>
        <w:numPr>
          <w:ilvl w:val="0"/>
          <w:numId w:val="15"/>
        </w:numPr>
        <w:spacing w:before="120" w:after="360"/>
        <w:ind w:left="1054" w:hanging="357"/>
        <w:contextualSpacing w:val="0"/>
        <w:jc w:val="both"/>
      </w:pPr>
      <w:r>
        <w:t xml:space="preserve">Viz příloha: Komentář k Listině k čl. 37 odst. 2 od H. </w:t>
      </w:r>
      <w:proofErr w:type="spellStart"/>
      <w:r>
        <w:t>Baňoucha</w:t>
      </w:r>
      <w:proofErr w:type="spellEnd"/>
      <w:r>
        <w:t xml:space="preserve">,  </w:t>
      </w:r>
    </w:p>
    <w:p w:rsidR="00A32D9E" w:rsidRPr="00A400C5" w:rsidRDefault="00A400C5" w:rsidP="00E00928">
      <w:pPr>
        <w:pStyle w:val="Odstavecseseznamem"/>
        <w:numPr>
          <w:ilvl w:val="0"/>
          <w:numId w:val="15"/>
        </w:numPr>
        <w:spacing w:before="120" w:after="360"/>
        <w:ind w:left="1054" w:hanging="357"/>
        <w:contextualSpacing w:val="0"/>
        <w:jc w:val="both"/>
      </w:pPr>
      <w:proofErr w:type="spellStart"/>
      <w:r>
        <w:t>Denegatio</w:t>
      </w:r>
      <w:proofErr w:type="spellEnd"/>
      <w:r>
        <w:t xml:space="preserve"> </w:t>
      </w:r>
      <w:proofErr w:type="spellStart"/>
      <w:r>
        <w:t>Iustitiae</w:t>
      </w:r>
      <w:proofErr w:type="spellEnd"/>
      <w:r>
        <w:t xml:space="preserve"> od K. Šimáčkové</w:t>
      </w:r>
    </w:p>
    <w:sectPr w:rsidR="00A32D9E" w:rsidRPr="00A400C5" w:rsidSect="00953C8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78" w:rsidRDefault="00E80478">
      <w:r>
        <w:separator/>
      </w:r>
    </w:p>
  </w:endnote>
  <w:endnote w:type="continuationSeparator" w:id="0">
    <w:p w:rsidR="00E80478" w:rsidRDefault="00E80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A400C5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1524000</wp:posOffset>
          </wp:positionH>
          <wp:positionV relativeFrom="paragraph">
            <wp:posOffset>-545465</wp:posOffset>
          </wp:positionV>
          <wp:extent cx="3762375" cy="723900"/>
          <wp:effectExtent l="0" t="0" r="0" b="0"/>
          <wp:wrapSquare wrapText="bothSides"/>
          <wp:docPr id="74" name="obrázek 74" descr="OPVK_MU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OPVK_MU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0</wp:posOffset>
          </wp:positionH>
          <wp:positionV relativeFrom="paragraph">
            <wp:posOffset>-582295</wp:posOffset>
          </wp:positionV>
          <wp:extent cx="7553325" cy="828675"/>
          <wp:effectExtent l="0" t="0" r="9525" b="9525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4A5D">
      <w:t xml:space="preserve">str. </w:t>
    </w:r>
    <w:r w:rsidR="0025128B">
      <w:rPr>
        <w:rStyle w:val="slostrnky"/>
      </w:rPr>
      <w:fldChar w:fldCharType="begin"/>
    </w:r>
    <w:r w:rsidR="000D4A5D">
      <w:rPr>
        <w:rStyle w:val="slostrnky"/>
      </w:rPr>
      <w:instrText xml:space="preserve"> PAGE </w:instrText>
    </w:r>
    <w:r w:rsidR="0025128B">
      <w:rPr>
        <w:rStyle w:val="slostrnky"/>
      </w:rPr>
      <w:fldChar w:fldCharType="separate"/>
    </w:r>
    <w:r w:rsidR="00636F77">
      <w:rPr>
        <w:rStyle w:val="slostrnky"/>
        <w:noProof/>
      </w:rPr>
      <w:t>4</w:t>
    </w:r>
    <w:r w:rsidR="0025128B">
      <w:rPr>
        <w:rStyle w:val="slostrnky"/>
      </w:rPr>
      <w:fldChar w:fldCharType="end"/>
    </w:r>
    <w:r w:rsidR="000D4A5D">
      <w:rPr>
        <w:rStyle w:val="slostrnky"/>
      </w:rPr>
      <w:t>/</w:t>
    </w:r>
    <w:r w:rsidR="0025128B">
      <w:rPr>
        <w:rStyle w:val="slostrnky"/>
      </w:rPr>
      <w:fldChar w:fldCharType="begin"/>
    </w:r>
    <w:r w:rsidR="000D4A5D">
      <w:rPr>
        <w:rStyle w:val="slostrnky"/>
      </w:rPr>
      <w:instrText xml:space="preserve"> NUMPAGES </w:instrText>
    </w:r>
    <w:r w:rsidR="0025128B">
      <w:rPr>
        <w:rStyle w:val="slostrnky"/>
      </w:rPr>
      <w:fldChar w:fldCharType="separate"/>
    </w:r>
    <w:r w:rsidR="00636F77">
      <w:rPr>
        <w:rStyle w:val="slostrnky"/>
        <w:noProof/>
      </w:rPr>
      <w:t>4</w:t>
    </w:r>
    <w:r w:rsidR="0025128B"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A400C5">
    <w:pPr>
      <w:pStyle w:val="Zpa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-1193165</wp:posOffset>
          </wp:positionV>
          <wp:extent cx="3762375" cy="723900"/>
          <wp:effectExtent l="0" t="0" r="0" b="0"/>
          <wp:wrapSquare wrapText="bothSides"/>
          <wp:docPr id="73" name="obrázek 73" descr="OPVK_MU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OPVK_MU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12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1" o:spid="_x0000_s5121" type="#_x0000_t202" style="position:absolute;left:0;text-align:left;margin-left:-53.85pt;margin-top:-93.95pt;width:594pt;height:11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5utQIAALs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" filled="f" stroked="f">
          <v:textbox>
            <w:txbxContent>
              <w:p w:rsidR="00953C89" w:rsidRDefault="00953C89" w:rsidP="00953C89"/>
            </w:txbxContent>
          </v:textbox>
          <w10:wrap type="square"/>
        </v:shape>
      </w:pic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0" t="0" r="0" b="9525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4A5D">
      <w:t xml:space="preserve">str. </w:t>
    </w:r>
    <w:r w:rsidR="0025128B">
      <w:rPr>
        <w:rStyle w:val="slostrnky"/>
      </w:rPr>
      <w:fldChar w:fldCharType="begin"/>
    </w:r>
    <w:r w:rsidR="000D4A5D">
      <w:rPr>
        <w:rStyle w:val="slostrnky"/>
      </w:rPr>
      <w:instrText xml:space="preserve"> PAGE </w:instrText>
    </w:r>
    <w:r w:rsidR="0025128B">
      <w:rPr>
        <w:rStyle w:val="slostrnky"/>
      </w:rPr>
      <w:fldChar w:fldCharType="separate"/>
    </w:r>
    <w:r w:rsidR="00636F77">
      <w:rPr>
        <w:rStyle w:val="slostrnky"/>
        <w:noProof/>
      </w:rPr>
      <w:t>1</w:t>
    </w:r>
    <w:r w:rsidR="0025128B">
      <w:rPr>
        <w:rStyle w:val="slostrnky"/>
      </w:rPr>
      <w:fldChar w:fldCharType="end"/>
    </w:r>
    <w:r w:rsidR="000D4A5D">
      <w:rPr>
        <w:rStyle w:val="slostrnky"/>
      </w:rPr>
      <w:t>/</w:t>
    </w:r>
    <w:r w:rsidR="0025128B">
      <w:rPr>
        <w:rStyle w:val="slostrnky"/>
      </w:rPr>
      <w:fldChar w:fldCharType="begin"/>
    </w:r>
    <w:r w:rsidR="000D4A5D">
      <w:rPr>
        <w:rStyle w:val="slostrnky"/>
      </w:rPr>
      <w:instrText xml:space="preserve"> NUMPAGES </w:instrText>
    </w:r>
    <w:r w:rsidR="0025128B">
      <w:rPr>
        <w:rStyle w:val="slostrnky"/>
      </w:rPr>
      <w:fldChar w:fldCharType="separate"/>
    </w:r>
    <w:r w:rsidR="00636F77">
      <w:rPr>
        <w:rStyle w:val="slostrnky"/>
        <w:noProof/>
      </w:rPr>
      <w:t>4</w:t>
    </w:r>
    <w:r w:rsidR="0025128B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78" w:rsidRDefault="00E80478">
      <w:r>
        <w:separator/>
      </w:r>
    </w:p>
  </w:footnote>
  <w:footnote w:type="continuationSeparator" w:id="0">
    <w:p w:rsidR="00E80478" w:rsidRDefault="00E80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A400C5">
    <w:pPr>
      <w:pStyle w:val="Zhlav"/>
    </w:pPr>
    <w:r>
      <w:rPr>
        <w:noProof/>
      </w:rPr>
      <w:drawing>
        <wp:anchor distT="0" distB="0" distL="114300" distR="114300" simplePos="0" relativeHeight="25165465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5D" w:rsidRDefault="00A400C5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-194310</wp:posOffset>
          </wp:positionV>
          <wp:extent cx="7572375" cy="1981200"/>
          <wp:effectExtent l="0" t="0" r="9525" b="0"/>
          <wp:wrapSquare wrapText="bothSides"/>
          <wp:docPr id="72" name="obrázek 72" descr="PVPVP_hlapa2011_DOT_222300_H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PVPVP_hlapa2011_DOT_222300_H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4A2436"/>
    <w:multiLevelType w:val="hybridMultilevel"/>
    <w:tmpl w:val="CD443D4A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21D77E2F"/>
    <w:multiLevelType w:val="hybridMultilevel"/>
    <w:tmpl w:val="52F84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1296E"/>
    <w:multiLevelType w:val="hybridMultilevel"/>
    <w:tmpl w:val="42E6FC3E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7B7753C3"/>
    <w:multiLevelType w:val="hybridMultilevel"/>
    <w:tmpl w:val="31F61156"/>
    <w:lvl w:ilvl="0" w:tplc="61C8ACA0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A60A90"/>
    <w:rsid w:val="00005DD1"/>
    <w:rsid w:val="00030D7E"/>
    <w:rsid w:val="000626D1"/>
    <w:rsid w:val="00090484"/>
    <w:rsid w:val="000B3AC7"/>
    <w:rsid w:val="000D4A5D"/>
    <w:rsid w:val="00131AA4"/>
    <w:rsid w:val="001600D1"/>
    <w:rsid w:val="00191D4E"/>
    <w:rsid w:val="0019348F"/>
    <w:rsid w:val="001D28F8"/>
    <w:rsid w:val="0025128B"/>
    <w:rsid w:val="002718E5"/>
    <w:rsid w:val="002748B7"/>
    <w:rsid w:val="002B5671"/>
    <w:rsid w:val="002C2361"/>
    <w:rsid w:val="002C46B2"/>
    <w:rsid w:val="002E3674"/>
    <w:rsid w:val="00320A2F"/>
    <w:rsid w:val="0037622B"/>
    <w:rsid w:val="0038152E"/>
    <w:rsid w:val="003C04EA"/>
    <w:rsid w:val="003C3308"/>
    <w:rsid w:val="004048EB"/>
    <w:rsid w:val="00492A82"/>
    <w:rsid w:val="00492EBC"/>
    <w:rsid w:val="005117CF"/>
    <w:rsid w:val="00513789"/>
    <w:rsid w:val="00525437"/>
    <w:rsid w:val="00536155"/>
    <w:rsid w:val="00537805"/>
    <w:rsid w:val="00556A9C"/>
    <w:rsid w:val="00571BAC"/>
    <w:rsid w:val="00587E9B"/>
    <w:rsid w:val="005A1686"/>
    <w:rsid w:val="005A1855"/>
    <w:rsid w:val="005C0D7A"/>
    <w:rsid w:val="005F1C5F"/>
    <w:rsid w:val="00613A3E"/>
    <w:rsid w:val="00636F77"/>
    <w:rsid w:val="006B436E"/>
    <w:rsid w:val="006E1F19"/>
    <w:rsid w:val="006E24CA"/>
    <w:rsid w:val="006E5C16"/>
    <w:rsid w:val="006F423F"/>
    <w:rsid w:val="007326B8"/>
    <w:rsid w:val="00734A38"/>
    <w:rsid w:val="00735926"/>
    <w:rsid w:val="00764199"/>
    <w:rsid w:val="007963E9"/>
    <w:rsid w:val="007A0E81"/>
    <w:rsid w:val="007C17A6"/>
    <w:rsid w:val="008624CB"/>
    <w:rsid w:val="00866F16"/>
    <w:rsid w:val="00870457"/>
    <w:rsid w:val="00893EA6"/>
    <w:rsid w:val="008B4A67"/>
    <w:rsid w:val="008C6A63"/>
    <w:rsid w:val="008D3503"/>
    <w:rsid w:val="008E1FC5"/>
    <w:rsid w:val="009151D1"/>
    <w:rsid w:val="00953C89"/>
    <w:rsid w:val="009657E8"/>
    <w:rsid w:val="00982EA2"/>
    <w:rsid w:val="009A4395"/>
    <w:rsid w:val="009C597A"/>
    <w:rsid w:val="00A32D7E"/>
    <w:rsid w:val="00A32D9E"/>
    <w:rsid w:val="00A400C5"/>
    <w:rsid w:val="00A406F3"/>
    <w:rsid w:val="00A60A90"/>
    <w:rsid w:val="00A77C3B"/>
    <w:rsid w:val="00A82604"/>
    <w:rsid w:val="00A90B11"/>
    <w:rsid w:val="00AA186D"/>
    <w:rsid w:val="00AA5E4C"/>
    <w:rsid w:val="00AF3995"/>
    <w:rsid w:val="00B36ABA"/>
    <w:rsid w:val="00B37363"/>
    <w:rsid w:val="00B5326F"/>
    <w:rsid w:val="00BE4138"/>
    <w:rsid w:val="00BE539F"/>
    <w:rsid w:val="00C153DB"/>
    <w:rsid w:val="00C24BB0"/>
    <w:rsid w:val="00C34C14"/>
    <w:rsid w:val="00C45ED1"/>
    <w:rsid w:val="00C80218"/>
    <w:rsid w:val="00C90D64"/>
    <w:rsid w:val="00CE44BA"/>
    <w:rsid w:val="00D17427"/>
    <w:rsid w:val="00D3366F"/>
    <w:rsid w:val="00D739BA"/>
    <w:rsid w:val="00D82F52"/>
    <w:rsid w:val="00DB3184"/>
    <w:rsid w:val="00DD19A3"/>
    <w:rsid w:val="00DF0F06"/>
    <w:rsid w:val="00E00928"/>
    <w:rsid w:val="00E30696"/>
    <w:rsid w:val="00E36749"/>
    <w:rsid w:val="00E40F4F"/>
    <w:rsid w:val="00E60C88"/>
    <w:rsid w:val="00E77A62"/>
    <w:rsid w:val="00E80478"/>
    <w:rsid w:val="00F17FF1"/>
    <w:rsid w:val="00F27DA0"/>
    <w:rsid w:val="00F30B51"/>
    <w:rsid w:val="00F708EB"/>
    <w:rsid w:val="00FC67DB"/>
    <w:rsid w:val="00FD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128B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25128B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E00928"/>
    <w:pPr>
      <w:keepNext/>
      <w:numPr>
        <w:numId w:val="14"/>
      </w:numPr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25128B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5128B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25128B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sid w:val="0025128B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25128B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25128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25128B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25128B"/>
    <w:pPr>
      <w:ind w:firstLine="0"/>
    </w:pPr>
  </w:style>
  <w:style w:type="paragraph" w:styleId="slovanseznam">
    <w:name w:val="List Number"/>
    <w:basedOn w:val="Normln"/>
    <w:rsid w:val="0025128B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25128B"/>
    <w:pPr>
      <w:spacing w:before="120"/>
      <w:ind w:firstLine="0"/>
    </w:pPr>
    <w:rPr>
      <w:i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A400C5"/>
    <w:pPr>
      <w:tabs>
        <w:tab w:val="clear" w:pos="340"/>
      </w:tabs>
      <w:spacing w:before="0"/>
      <w:ind w:firstLine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400C5"/>
    <w:rPr>
      <w:rFonts w:ascii="Calibri" w:eastAsia="Calibri" w:hAnsi="Calibri"/>
      <w:sz w:val="22"/>
      <w:szCs w:val="21"/>
      <w:lang w:eastAsia="en-US"/>
    </w:rPr>
  </w:style>
  <w:style w:type="character" w:styleId="Siln">
    <w:name w:val="Strong"/>
    <w:uiPriority w:val="22"/>
    <w:qFormat/>
    <w:rsid w:val="00A400C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A400C5"/>
    <w:pPr>
      <w:tabs>
        <w:tab w:val="clear" w:pos="3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00C5"/>
    <w:rPr>
      <w:rFonts w:ascii="Courier New" w:eastAsia="Calibri" w:hAnsi="Courier New" w:cs="Courier New"/>
      <w:color w:val="000000"/>
    </w:rPr>
  </w:style>
  <w:style w:type="paragraph" w:styleId="Odstavecseseznamem">
    <w:name w:val="List Paragraph"/>
    <w:basedOn w:val="Normln"/>
    <w:uiPriority w:val="34"/>
    <w:qFormat/>
    <w:rsid w:val="00E00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E00928"/>
    <w:pPr>
      <w:keepNext/>
      <w:numPr>
        <w:numId w:val="14"/>
      </w:numPr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A400C5"/>
    <w:pPr>
      <w:tabs>
        <w:tab w:val="clear" w:pos="340"/>
      </w:tabs>
      <w:spacing w:before="0"/>
      <w:ind w:firstLine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400C5"/>
    <w:rPr>
      <w:rFonts w:ascii="Calibri" w:eastAsia="Calibri" w:hAnsi="Calibri"/>
      <w:sz w:val="22"/>
      <w:szCs w:val="21"/>
      <w:lang w:eastAsia="en-US"/>
    </w:rPr>
  </w:style>
  <w:style w:type="character" w:styleId="Siln">
    <w:name w:val="Strong"/>
    <w:uiPriority w:val="22"/>
    <w:qFormat/>
    <w:rsid w:val="00A400C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A400C5"/>
    <w:pPr>
      <w:tabs>
        <w:tab w:val="clear" w:pos="3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00C5"/>
    <w:rPr>
      <w:rFonts w:ascii="Courier New" w:eastAsia="Calibri" w:hAnsi="Courier New" w:cs="Courier New"/>
      <w:color w:val="000000"/>
    </w:rPr>
  </w:style>
  <w:style w:type="paragraph" w:styleId="Odstavecseseznamem">
    <w:name w:val="List Paragraph"/>
    <w:basedOn w:val="Normln"/>
    <w:uiPriority w:val="34"/>
    <w:qFormat/>
    <w:rsid w:val="00E00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kt%20X\Kopie%20-%20hlavickove_papiry\PF%20hlapa%20CZ%20barev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hlapa CZ barevna.dot</Template>
  <TotalTime>0</TotalTime>
  <Pages>4</Pages>
  <Words>654</Words>
  <Characters>3592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115167</dc:creator>
  <cp:lastModifiedBy>simackova</cp:lastModifiedBy>
  <cp:revision>2</cp:revision>
  <cp:lastPrinted>2006-01-18T14:17:00Z</cp:lastPrinted>
  <dcterms:created xsi:type="dcterms:W3CDTF">2012-09-19T13:58:00Z</dcterms:created>
  <dcterms:modified xsi:type="dcterms:W3CDTF">2012-09-19T13:58:00Z</dcterms:modified>
</cp:coreProperties>
</file>