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B7823" w14:textId="77777777" w:rsidR="00E846A5" w:rsidRDefault="00026661" w:rsidP="009C737E">
      <w:pPr>
        <w:rPr>
          <w:rFonts w:ascii="Times New Roman" w:hAnsi="Times New Roman" w:cs="Times New Roman"/>
          <w:b/>
          <w:sz w:val="28"/>
          <w:szCs w:val="28"/>
        </w:rPr>
      </w:pPr>
      <w:r>
        <w:rPr>
          <w:rFonts w:ascii="Times New Roman" w:hAnsi="Times New Roman" w:cs="Times New Roman"/>
          <w:b/>
          <w:sz w:val="28"/>
          <w:szCs w:val="28"/>
        </w:rPr>
        <w:t>Z</w:t>
      </w:r>
      <w:r w:rsidR="009C737E" w:rsidRPr="00994B2F">
        <w:rPr>
          <w:rFonts w:ascii="Times New Roman" w:hAnsi="Times New Roman" w:cs="Times New Roman"/>
          <w:b/>
          <w:sz w:val="28"/>
          <w:szCs w:val="28"/>
        </w:rPr>
        <w:t>ÁVĚREČNÁ ZPRÁVA HODNOCENÍ DOPADŮ REGULACE (RIA)</w:t>
      </w:r>
    </w:p>
    <w:p w14:paraId="6C8CB605" w14:textId="77777777" w:rsidR="007232C5" w:rsidRDefault="007232C5" w:rsidP="009C737E">
      <w:pPr>
        <w:rPr>
          <w:rFonts w:ascii="Times New Roman" w:hAnsi="Times New Roman" w:cs="Times New Roman"/>
          <w:b/>
          <w:sz w:val="28"/>
          <w:szCs w:val="28"/>
        </w:rPr>
      </w:pPr>
      <w:r>
        <w:rPr>
          <w:rFonts w:ascii="Times New Roman" w:hAnsi="Times New Roman" w:cs="Times New Roman"/>
          <w:b/>
          <w:sz w:val="28"/>
          <w:szCs w:val="28"/>
        </w:rPr>
        <w:t>NÁVRH NOVELY ZÁKONA Č. 253/2008 Sb.</w:t>
      </w:r>
    </w:p>
    <w:p w14:paraId="6D2FDFD1" w14:textId="77777777" w:rsidR="00994B2F" w:rsidRPr="00994B2F" w:rsidRDefault="00994B2F" w:rsidP="009C737E">
      <w:pPr>
        <w:rPr>
          <w:rFonts w:ascii="Times New Roman" w:hAnsi="Times New Roman" w:cs="Times New Roman"/>
          <w:b/>
          <w:sz w:val="28"/>
          <w:szCs w:val="28"/>
        </w:rPr>
      </w:pPr>
    </w:p>
    <w:p w14:paraId="60AA3475" w14:textId="77777777" w:rsidR="009C737E" w:rsidRPr="0046145D" w:rsidRDefault="009C737E" w:rsidP="009C737E">
      <w:pPr>
        <w:pStyle w:val="Odstavecseseznamem"/>
        <w:numPr>
          <w:ilvl w:val="0"/>
          <w:numId w:val="1"/>
        </w:numPr>
        <w:ind w:left="0"/>
        <w:rPr>
          <w:rFonts w:ascii="Times New Roman" w:hAnsi="Times New Roman"/>
          <w:b/>
          <w:sz w:val="24"/>
          <w:szCs w:val="24"/>
        </w:rPr>
      </w:pPr>
      <w:r w:rsidRPr="0046145D">
        <w:rPr>
          <w:rFonts w:ascii="Times New Roman" w:hAnsi="Times New Roman"/>
          <w:b/>
          <w:sz w:val="24"/>
          <w:szCs w:val="24"/>
        </w:rPr>
        <w:t>DŮVOD PŘEDLOŽENÍ A CÍLE</w:t>
      </w:r>
    </w:p>
    <w:p w14:paraId="7CAB5D1E" w14:textId="77777777" w:rsidR="009C737E" w:rsidRPr="0046145D" w:rsidRDefault="009C737E" w:rsidP="009C737E">
      <w:pPr>
        <w:pStyle w:val="Odstavecseseznamem"/>
        <w:ind w:left="0" w:firstLine="0"/>
        <w:rPr>
          <w:rFonts w:ascii="Times New Roman" w:hAnsi="Times New Roman"/>
          <w:b/>
          <w:sz w:val="24"/>
          <w:szCs w:val="24"/>
        </w:rPr>
      </w:pPr>
    </w:p>
    <w:p w14:paraId="55204853" w14:textId="77777777" w:rsidR="00994B2F" w:rsidRDefault="00994B2F" w:rsidP="009C737E">
      <w:pPr>
        <w:pStyle w:val="Odstavecseseznamem"/>
        <w:numPr>
          <w:ilvl w:val="1"/>
          <w:numId w:val="1"/>
        </w:numPr>
        <w:ind w:left="0"/>
        <w:rPr>
          <w:rFonts w:ascii="Times New Roman" w:hAnsi="Times New Roman"/>
          <w:sz w:val="24"/>
          <w:szCs w:val="24"/>
        </w:rPr>
      </w:pPr>
      <w:r>
        <w:rPr>
          <w:rFonts w:ascii="Times New Roman" w:hAnsi="Times New Roman"/>
          <w:sz w:val="24"/>
          <w:szCs w:val="24"/>
        </w:rPr>
        <w:t>Název</w:t>
      </w:r>
    </w:p>
    <w:p w14:paraId="52837EE1" w14:textId="77777777" w:rsidR="00994B2F" w:rsidRDefault="00994B2F" w:rsidP="00994B2F">
      <w:pPr>
        <w:pStyle w:val="Odstavecseseznamem"/>
        <w:ind w:left="0" w:firstLine="0"/>
        <w:rPr>
          <w:rFonts w:ascii="Times New Roman" w:hAnsi="Times New Roman"/>
          <w:sz w:val="24"/>
          <w:szCs w:val="24"/>
        </w:rPr>
      </w:pPr>
    </w:p>
    <w:p w14:paraId="19A758B4" w14:textId="77777777" w:rsidR="009C737E" w:rsidRPr="00994B2F" w:rsidRDefault="00994B2F" w:rsidP="00994B2F">
      <w:pPr>
        <w:pStyle w:val="Odstavecseseznamem"/>
        <w:ind w:left="0" w:firstLine="0"/>
        <w:rPr>
          <w:rFonts w:ascii="Times New Roman" w:hAnsi="Times New Roman"/>
          <w:sz w:val="24"/>
          <w:szCs w:val="24"/>
        </w:rPr>
      </w:pPr>
      <w:r>
        <w:rPr>
          <w:rFonts w:ascii="Times New Roman" w:hAnsi="Times New Roman"/>
          <w:sz w:val="24"/>
          <w:szCs w:val="24"/>
        </w:rPr>
        <w:t>Návrh novely zákona č. 253/2008 Sb., o některých opatřeních proti legalizaci výnosů z trestné činnosti a financování terorismu, v platném znění („</w:t>
      </w:r>
      <w:r>
        <w:rPr>
          <w:rFonts w:ascii="Times New Roman" w:hAnsi="Times New Roman"/>
          <w:b/>
          <w:sz w:val="24"/>
          <w:szCs w:val="24"/>
        </w:rPr>
        <w:t>AML zákon</w:t>
      </w:r>
      <w:r>
        <w:rPr>
          <w:rFonts w:ascii="Times New Roman" w:hAnsi="Times New Roman"/>
          <w:sz w:val="24"/>
          <w:szCs w:val="24"/>
        </w:rPr>
        <w:t>“</w:t>
      </w:r>
      <w:r w:rsidR="009252FB">
        <w:rPr>
          <w:rStyle w:val="Znakapoznpodarou"/>
          <w:rFonts w:ascii="Times New Roman" w:hAnsi="Times New Roman"/>
          <w:sz w:val="24"/>
          <w:szCs w:val="24"/>
        </w:rPr>
        <w:footnoteReference w:id="1"/>
      </w:r>
      <w:r>
        <w:rPr>
          <w:rFonts w:ascii="Times New Roman" w:hAnsi="Times New Roman"/>
          <w:sz w:val="24"/>
          <w:szCs w:val="24"/>
        </w:rPr>
        <w:t>)</w:t>
      </w:r>
      <w:r w:rsidR="009252FB">
        <w:rPr>
          <w:rFonts w:ascii="Times New Roman" w:hAnsi="Times New Roman"/>
          <w:sz w:val="24"/>
          <w:szCs w:val="24"/>
        </w:rPr>
        <w:t>.</w:t>
      </w:r>
    </w:p>
    <w:p w14:paraId="4402B87F" w14:textId="77777777" w:rsidR="009C737E" w:rsidRPr="0046145D" w:rsidRDefault="009C737E" w:rsidP="009C737E">
      <w:pPr>
        <w:pStyle w:val="Odstavecseseznamem"/>
        <w:ind w:left="0" w:firstLine="0"/>
        <w:rPr>
          <w:rFonts w:ascii="Times New Roman" w:hAnsi="Times New Roman"/>
          <w:sz w:val="24"/>
          <w:szCs w:val="24"/>
        </w:rPr>
      </w:pPr>
    </w:p>
    <w:p w14:paraId="376CC870" w14:textId="77777777" w:rsidR="009C737E" w:rsidRDefault="00994B2F" w:rsidP="009C737E">
      <w:pPr>
        <w:pStyle w:val="Odstavecseseznamem"/>
        <w:numPr>
          <w:ilvl w:val="1"/>
          <w:numId w:val="1"/>
        </w:numPr>
        <w:ind w:left="0"/>
        <w:rPr>
          <w:rFonts w:ascii="Times New Roman" w:hAnsi="Times New Roman"/>
          <w:sz w:val="24"/>
          <w:szCs w:val="24"/>
        </w:rPr>
      </w:pPr>
      <w:r>
        <w:rPr>
          <w:rFonts w:ascii="Times New Roman" w:hAnsi="Times New Roman"/>
          <w:sz w:val="24"/>
          <w:szCs w:val="24"/>
        </w:rPr>
        <w:t>Definice problému</w:t>
      </w:r>
    </w:p>
    <w:p w14:paraId="63524488" w14:textId="77777777" w:rsidR="00994B2F" w:rsidRPr="00994B2F" w:rsidRDefault="00994B2F" w:rsidP="00994B2F">
      <w:pPr>
        <w:pStyle w:val="Odstavecseseznamem"/>
        <w:rPr>
          <w:rFonts w:ascii="Times New Roman" w:hAnsi="Times New Roman"/>
          <w:sz w:val="24"/>
          <w:szCs w:val="24"/>
        </w:rPr>
      </w:pPr>
    </w:p>
    <w:p w14:paraId="661BF90F" w14:textId="77777777" w:rsidR="00994B2F" w:rsidRDefault="00994B2F" w:rsidP="00994B2F">
      <w:pPr>
        <w:pStyle w:val="Odstavecseseznamem"/>
        <w:ind w:left="0" w:firstLine="0"/>
        <w:rPr>
          <w:rFonts w:ascii="Times New Roman" w:hAnsi="Times New Roman"/>
          <w:sz w:val="24"/>
          <w:szCs w:val="24"/>
        </w:rPr>
      </w:pPr>
      <w:r>
        <w:rPr>
          <w:rFonts w:ascii="Times New Roman" w:hAnsi="Times New Roman"/>
          <w:sz w:val="24"/>
          <w:szCs w:val="24"/>
        </w:rPr>
        <w:t xml:space="preserve">Oblast boje proti praní špinavých peněz a financování terorismu prochází stálým vývojem </w:t>
      </w:r>
      <w:r w:rsidR="00F63479">
        <w:rPr>
          <w:rFonts w:ascii="Times New Roman" w:hAnsi="Times New Roman"/>
          <w:sz w:val="24"/>
          <w:szCs w:val="24"/>
        </w:rPr>
        <w:t xml:space="preserve">v souvislosti s tím, jak se mění hrozby spojené s praním peněz a financováním terorismu. Právní rámec reaguje na vývoj technologií a prostředků k páchání trestné činnosti. Zároveň se vnitrostátní právní rámec mění v reakci na </w:t>
      </w:r>
      <w:r w:rsidR="00785039">
        <w:rPr>
          <w:rFonts w:ascii="Times New Roman" w:hAnsi="Times New Roman"/>
          <w:sz w:val="24"/>
          <w:szCs w:val="24"/>
        </w:rPr>
        <w:t>průběžný vývoj evropské legislativy</w:t>
      </w:r>
      <w:r w:rsidR="00166AD4">
        <w:rPr>
          <w:rFonts w:ascii="Times New Roman" w:hAnsi="Times New Roman"/>
          <w:sz w:val="24"/>
          <w:szCs w:val="24"/>
        </w:rPr>
        <w:t xml:space="preserve"> a mezinárodních standardů</w:t>
      </w:r>
      <w:r w:rsidR="00785039">
        <w:rPr>
          <w:rFonts w:ascii="Times New Roman" w:hAnsi="Times New Roman"/>
          <w:sz w:val="24"/>
          <w:szCs w:val="24"/>
        </w:rPr>
        <w:t>.</w:t>
      </w:r>
    </w:p>
    <w:p w14:paraId="5A2EA49E" w14:textId="77777777" w:rsidR="00785039" w:rsidRDefault="00785039" w:rsidP="00994B2F">
      <w:pPr>
        <w:pStyle w:val="Odstavecseseznamem"/>
        <w:ind w:left="0" w:firstLine="0"/>
        <w:rPr>
          <w:rFonts w:ascii="Times New Roman" w:hAnsi="Times New Roman"/>
          <w:sz w:val="24"/>
          <w:szCs w:val="24"/>
        </w:rPr>
      </w:pPr>
    </w:p>
    <w:p w14:paraId="4A6E1804" w14:textId="1731EBD7" w:rsidR="00785039" w:rsidRDefault="00785039" w:rsidP="00B744DC">
      <w:pPr>
        <w:pStyle w:val="Odstavecseseznamem"/>
        <w:ind w:left="0" w:firstLine="0"/>
        <w:rPr>
          <w:rFonts w:ascii="Times New Roman" w:hAnsi="Times New Roman"/>
          <w:sz w:val="24"/>
          <w:szCs w:val="24"/>
        </w:rPr>
      </w:pPr>
      <w:r>
        <w:rPr>
          <w:rFonts w:ascii="Times New Roman" w:hAnsi="Times New Roman"/>
          <w:sz w:val="24"/>
          <w:szCs w:val="24"/>
        </w:rPr>
        <w:t>Dosavadní evropský právní rámec představovala především směrnice 2005/60/ES o</w:t>
      </w:r>
      <w:r w:rsidR="00EF1C5D">
        <w:rPr>
          <w:rFonts w:ascii="Times New Roman" w:hAnsi="Times New Roman"/>
          <w:sz w:val="24"/>
          <w:szCs w:val="24"/>
        </w:rPr>
        <w:t> </w:t>
      </w:r>
      <w:r>
        <w:rPr>
          <w:rFonts w:ascii="Times New Roman" w:hAnsi="Times New Roman"/>
          <w:sz w:val="24"/>
          <w:szCs w:val="24"/>
        </w:rPr>
        <w:t>předcházení zneužití finančního systému k praní peněz a financování terorismu (</w:t>
      </w:r>
      <w:r w:rsidR="00F92A78">
        <w:rPr>
          <w:rFonts w:ascii="Times New Roman" w:hAnsi="Times New Roman"/>
          <w:sz w:val="24"/>
          <w:szCs w:val="24"/>
        </w:rPr>
        <w:t>„</w:t>
      </w:r>
      <w:r w:rsidR="00166AD4" w:rsidRPr="0025703E">
        <w:rPr>
          <w:rFonts w:ascii="Times New Roman" w:hAnsi="Times New Roman"/>
          <w:b/>
          <w:sz w:val="24"/>
          <w:szCs w:val="24"/>
        </w:rPr>
        <w:t>třetí</w:t>
      </w:r>
      <w:r w:rsidR="00166AD4" w:rsidRPr="009A6E20">
        <w:rPr>
          <w:rFonts w:ascii="Times New Roman" w:hAnsi="Times New Roman"/>
          <w:b/>
          <w:sz w:val="24"/>
          <w:szCs w:val="24"/>
        </w:rPr>
        <w:t xml:space="preserve"> </w:t>
      </w:r>
      <w:r>
        <w:rPr>
          <w:rFonts w:ascii="Times New Roman" w:hAnsi="Times New Roman"/>
          <w:b/>
          <w:sz w:val="24"/>
          <w:szCs w:val="24"/>
        </w:rPr>
        <w:t>AML směrnice</w:t>
      </w:r>
      <w:r>
        <w:rPr>
          <w:rFonts w:ascii="Times New Roman" w:hAnsi="Times New Roman"/>
          <w:sz w:val="24"/>
          <w:szCs w:val="24"/>
        </w:rPr>
        <w:t xml:space="preserve">“), která již byla </w:t>
      </w:r>
      <w:r w:rsidR="0025703E">
        <w:rPr>
          <w:rFonts w:ascii="Times New Roman" w:hAnsi="Times New Roman"/>
          <w:sz w:val="24"/>
          <w:szCs w:val="24"/>
        </w:rPr>
        <w:t>implementována do AML zákona. Na začátku roku</w:t>
      </w:r>
      <w:r w:rsidRPr="0025703E">
        <w:rPr>
          <w:rFonts w:ascii="Times New Roman" w:hAnsi="Times New Roman"/>
          <w:sz w:val="24"/>
          <w:szCs w:val="24"/>
        </w:rPr>
        <w:t xml:space="preserve"> 2015</w:t>
      </w:r>
      <w:r>
        <w:rPr>
          <w:rFonts w:ascii="Times New Roman" w:hAnsi="Times New Roman"/>
          <w:sz w:val="24"/>
          <w:szCs w:val="24"/>
        </w:rPr>
        <w:t xml:space="preserve"> byla </w:t>
      </w:r>
      <w:r w:rsidR="009A6E20">
        <w:rPr>
          <w:rFonts w:ascii="Times New Roman" w:hAnsi="Times New Roman"/>
          <w:sz w:val="24"/>
          <w:szCs w:val="24"/>
        </w:rPr>
        <w:t xml:space="preserve">dokončena jednání o </w:t>
      </w:r>
      <w:r w:rsidR="00B744DC">
        <w:rPr>
          <w:rFonts w:ascii="Times New Roman" w:hAnsi="Times New Roman"/>
          <w:sz w:val="24"/>
          <w:szCs w:val="24"/>
        </w:rPr>
        <w:t>nov</w:t>
      </w:r>
      <w:r w:rsidR="009A6E20">
        <w:rPr>
          <w:rFonts w:ascii="Times New Roman" w:hAnsi="Times New Roman"/>
          <w:sz w:val="24"/>
          <w:szCs w:val="24"/>
        </w:rPr>
        <w:t>é</w:t>
      </w:r>
      <w:r w:rsidR="00B744DC">
        <w:rPr>
          <w:rFonts w:ascii="Times New Roman" w:hAnsi="Times New Roman"/>
          <w:sz w:val="24"/>
          <w:szCs w:val="24"/>
        </w:rPr>
        <w:t xml:space="preserve"> </w:t>
      </w:r>
      <w:r w:rsidR="00B744DC" w:rsidRPr="00B744DC">
        <w:rPr>
          <w:rFonts w:ascii="Times New Roman" w:hAnsi="Times New Roman"/>
          <w:sz w:val="24"/>
          <w:szCs w:val="24"/>
        </w:rPr>
        <w:t>směrnic</w:t>
      </w:r>
      <w:r w:rsidR="009A6E20">
        <w:rPr>
          <w:rFonts w:ascii="Times New Roman" w:hAnsi="Times New Roman"/>
          <w:sz w:val="24"/>
          <w:szCs w:val="24"/>
        </w:rPr>
        <w:t>i</w:t>
      </w:r>
      <w:r w:rsidR="00B744DC" w:rsidRPr="00B744DC">
        <w:rPr>
          <w:rFonts w:ascii="Times New Roman" w:hAnsi="Times New Roman"/>
          <w:sz w:val="24"/>
          <w:szCs w:val="24"/>
        </w:rPr>
        <w:t xml:space="preserve"> </w:t>
      </w:r>
      <w:r w:rsidR="00B744DC">
        <w:rPr>
          <w:rFonts w:ascii="Times New Roman" w:hAnsi="Times New Roman"/>
          <w:sz w:val="24"/>
          <w:szCs w:val="24"/>
        </w:rPr>
        <w:t>Evropského parlamentu a R</w:t>
      </w:r>
      <w:r w:rsidR="00B744DC" w:rsidRPr="00B744DC">
        <w:rPr>
          <w:rFonts w:ascii="Times New Roman" w:hAnsi="Times New Roman"/>
          <w:sz w:val="24"/>
          <w:szCs w:val="24"/>
        </w:rPr>
        <w:t>ady (EU) 2015</w:t>
      </w:r>
      <w:r w:rsidR="009968F9">
        <w:rPr>
          <w:rFonts w:ascii="Times New Roman" w:hAnsi="Times New Roman"/>
          <w:sz w:val="24"/>
          <w:szCs w:val="24"/>
        </w:rPr>
        <w:t>/849</w:t>
      </w:r>
      <w:r w:rsidR="00A57D8D">
        <w:rPr>
          <w:rFonts w:ascii="Times New Roman" w:hAnsi="Times New Roman"/>
          <w:sz w:val="24"/>
          <w:szCs w:val="24"/>
        </w:rPr>
        <w:t xml:space="preserve"> ze dne 20. května 2015</w:t>
      </w:r>
      <w:r w:rsidR="00B744DC">
        <w:rPr>
          <w:rFonts w:ascii="Times New Roman" w:hAnsi="Times New Roman"/>
          <w:sz w:val="24"/>
          <w:szCs w:val="24"/>
        </w:rPr>
        <w:t>, o </w:t>
      </w:r>
      <w:r w:rsidR="00B744DC" w:rsidRPr="00B744DC">
        <w:rPr>
          <w:rFonts w:ascii="Times New Roman" w:hAnsi="Times New Roman"/>
          <w:sz w:val="24"/>
          <w:szCs w:val="24"/>
        </w:rPr>
        <w:t xml:space="preserve">předcházení využívání finančního systému k praní peněz nebo financování terorismu, </w:t>
      </w:r>
      <w:r w:rsidR="00B744DC">
        <w:rPr>
          <w:rFonts w:ascii="Times New Roman" w:hAnsi="Times New Roman"/>
          <w:sz w:val="24"/>
          <w:szCs w:val="24"/>
        </w:rPr>
        <w:t>o </w:t>
      </w:r>
      <w:r w:rsidR="00B744DC" w:rsidRPr="00B744DC">
        <w:rPr>
          <w:rFonts w:ascii="Times New Roman" w:hAnsi="Times New Roman"/>
          <w:sz w:val="24"/>
          <w:szCs w:val="24"/>
        </w:rPr>
        <w:t xml:space="preserve">změně nařízení Evropského </w:t>
      </w:r>
      <w:r w:rsidR="00B744DC">
        <w:rPr>
          <w:rFonts w:ascii="Times New Roman" w:hAnsi="Times New Roman"/>
          <w:sz w:val="24"/>
          <w:szCs w:val="24"/>
        </w:rPr>
        <w:t>parlamentu a Rady (EU) č. </w:t>
      </w:r>
      <w:r w:rsidR="00B744DC" w:rsidRPr="00B744DC">
        <w:rPr>
          <w:rFonts w:ascii="Times New Roman" w:hAnsi="Times New Roman"/>
          <w:sz w:val="24"/>
          <w:szCs w:val="24"/>
        </w:rPr>
        <w:t>648/2012 a o zrušení směrnice Evropského parlamentu a Rady 2005/60/ES a směrnice Komise 2006/70/ES</w:t>
      </w:r>
      <w:r w:rsidR="000A3CA1">
        <w:rPr>
          <w:rFonts w:ascii="Times New Roman" w:hAnsi="Times New Roman"/>
          <w:sz w:val="24"/>
          <w:szCs w:val="24"/>
        </w:rPr>
        <w:t xml:space="preserve"> </w:t>
      </w:r>
      <w:r w:rsidR="00856EEB">
        <w:rPr>
          <w:rFonts w:ascii="Times New Roman" w:hAnsi="Times New Roman"/>
          <w:sz w:val="24"/>
          <w:szCs w:val="24"/>
        </w:rPr>
        <w:t>(„</w:t>
      </w:r>
      <w:r w:rsidRPr="0025703E">
        <w:rPr>
          <w:rFonts w:ascii="Times New Roman" w:hAnsi="Times New Roman"/>
          <w:b/>
          <w:sz w:val="24"/>
          <w:szCs w:val="24"/>
        </w:rPr>
        <w:t>čtvrtá AML směrnice</w:t>
      </w:r>
      <w:r w:rsidR="00856EEB">
        <w:rPr>
          <w:rFonts w:ascii="Times New Roman" w:hAnsi="Times New Roman"/>
          <w:sz w:val="24"/>
          <w:szCs w:val="24"/>
        </w:rPr>
        <w:t>“ nebo „</w:t>
      </w:r>
      <w:r w:rsidR="00856EEB" w:rsidRPr="0025703E">
        <w:rPr>
          <w:rFonts w:ascii="Times New Roman" w:hAnsi="Times New Roman"/>
          <w:b/>
          <w:sz w:val="24"/>
          <w:szCs w:val="24"/>
        </w:rPr>
        <w:t>4. AMLD</w:t>
      </w:r>
      <w:r w:rsidR="00856EEB">
        <w:rPr>
          <w:rFonts w:ascii="Times New Roman" w:hAnsi="Times New Roman"/>
          <w:sz w:val="24"/>
          <w:szCs w:val="24"/>
        </w:rPr>
        <w:t>“)</w:t>
      </w:r>
      <w:r>
        <w:rPr>
          <w:rFonts w:ascii="Times New Roman" w:hAnsi="Times New Roman"/>
          <w:sz w:val="24"/>
          <w:szCs w:val="24"/>
        </w:rPr>
        <w:t>. Její požadavky je potřeba promítnout do české právní úpravy.</w:t>
      </w:r>
    </w:p>
    <w:p w14:paraId="7C9C2A64" w14:textId="77777777" w:rsidR="00785039" w:rsidRDefault="00785039" w:rsidP="00994B2F">
      <w:pPr>
        <w:pStyle w:val="Odstavecseseznamem"/>
        <w:ind w:left="0" w:firstLine="0"/>
        <w:rPr>
          <w:rFonts w:ascii="Times New Roman" w:hAnsi="Times New Roman"/>
          <w:sz w:val="24"/>
          <w:szCs w:val="24"/>
        </w:rPr>
      </w:pPr>
    </w:p>
    <w:p w14:paraId="0E132F79" w14:textId="34DE4D50" w:rsidR="00994B2F" w:rsidRDefault="00166AD4" w:rsidP="00166AD4">
      <w:pPr>
        <w:pStyle w:val="Odstavecseseznamem"/>
        <w:ind w:left="0" w:firstLine="0"/>
        <w:rPr>
          <w:rFonts w:ascii="Times New Roman" w:hAnsi="Times New Roman"/>
          <w:sz w:val="24"/>
          <w:szCs w:val="24"/>
        </w:rPr>
      </w:pPr>
      <w:r>
        <w:rPr>
          <w:rFonts w:ascii="Times New Roman" w:hAnsi="Times New Roman"/>
          <w:sz w:val="24"/>
          <w:szCs w:val="24"/>
        </w:rPr>
        <w:t xml:space="preserve">Evropské právní předpisy </w:t>
      </w:r>
      <w:r w:rsidR="0058326A">
        <w:rPr>
          <w:rFonts w:ascii="Times New Roman" w:hAnsi="Times New Roman"/>
          <w:sz w:val="24"/>
          <w:szCs w:val="24"/>
        </w:rPr>
        <w:t xml:space="preserve">přitom </w:t>
      </w:r>
      <w:r>
        <w:rPr>
          <w:rFonts w:ascii="Times New Roman" w:hAnsi="Times New Roman"/>
          <w:sz w:val="24"/>
          <w:szCs w:val="24"/>
        </w:rPr>
        <w:t xml:space="preserve">do značné míry </w:t>
      </w:r>
      <w:r w:rsidR="0058326A">
        <w:rPr>
          <w:rFonts w:ascii="Times New Roman" w:hAnsi="Times New Roman"/>
          <w:sz w:val="24"/>
          <w:szCs w:val="24"/>
        </w:rPr>
        <w:t xml:space="preserve">vycházejí </w:t>
      </w:r>
      <w:r>
        <w:rPr>
          <w:rFonts w:ascii="Times New Roman" w:hAnsi="Times New Roman"/>
          <w:sz w:val="24"/>
          <w:szCs w:val="24"/>
        </w:rPr>
        <w:t>z mezinárodních standardů, přijatých Finančním akčním výborem (FATF</w:t>
      </w:r>
      <w:r w:rsidR="00961843">
        <w:rPr>
          <w:rFonts w:ascii="Times New Roman" w:hAnsi="Times New Roman"/>
          <w:sz w:val="24"/>
          <w:szCs w:val="24"/>
        </w:rPr>
        <w:t xml:space="preserve"> – Financial </w:t>
      </w:r>
      <w:proofErr w:type="spellStart"/>
      <w:r w:rsidR="00961843">
        <w:rPr>
          <w:rFonts w:ascii="Times New Roman" w:hAnsi="Times New Roman"/>
          <w:sz w:val="24"/>
          <w:szCs w:val="24"/>
        </w:rPr>
        <w:t>Action</w:t>
      </w:r>
      <w:proofErr w:type="spellEnd"/>
      <w:r w:rsidR="00961843">
        <w:rPr>
          <w:rFonts w:ascii="Times New Roman" w:hAnsi="Times New Roman"/>
          <w:sz w:val="24"/>
          <w:szCs w:val="24"/>
        </w:rPr>
        <w:t xml:space="preserve"> </w:t>
      </w:r>
      <w:proofErr w:type="spellStart"/>
      <w:r w:rsidR="00961843">
        <w:rPr>
          <w:rFonts w:ascii="Times New Roman" w:hAnsi="Times New Roman"/>
          <w:sz w:val="24"/>
          <w:szCs w:val="24"/>
        </w:rPr>
        <w:t>Task</w:t>
      </w:r>
      <w:proofErr w:type="spellEnd"/>
      <w:r w:rsidR="00961843">
        <w:rPr>
          <w:rFonts w:ascii="Times New Roman" w:hAnsi="Times New Roman"/>
          <w:sz w:val="24"/>
          <w:szCs w:val="24"/>
        </w:rPr>
        <w:t xml:space="preserve"> Force</w:t>
      </w:r>
      <w:bookmarkStart w:id="0" w:name="_GoBack"/>
      <w:bookmarkEnd w:id="0"/>
      <w:r>
        <w:rPr>
          <w:rFonts w:ascii="Times New Roman" w:hAnsi="Times New Roman"/>
          <w:sz w:val="24"/>
          <w:szCs w:val="24"/>
        </w:rPr>
        <w:t xml:space="preserve">). FATF </w:t>
      </w:r>
      <w:r w:rsidR="0058326A">
        <w:rPr>
          <w:rFonts w:ascii="Times New Roman" w:hAnsi="Times New Roman"/>
          <w:sz w:val="24"/>
          <w:szCs w:val="24"/>
        </w:rPr>
        <w:t xml:space="preserve">však </w:t>
      </w:r>
      <w:r>
        <w:rPr>
          <w:rFonts w:ascii="Times New Roman" w:hAnsi="Times New Roman"/>
          <w:sz w:val="24"/>
          <w:szCs w:val="24"/>
        </w:rPr>
        <w:t xml:space="preserve">také </w:t>
      </w:r>
      <w:r w:rsidR="0058326A">
        <w:rPr>
          <w:rFonts w:ascii="Times New Roman" w:hAnsi="Times New Roman"/>
          <w:sz w:val="24"/>
          <w:szCs w:val="24"/>
        </w:rPr>
        <w:t xml:space="preserve">mezinárodní standardy </w:t>
      </w:r>
      <w:r>
        <w:rPr>
          <w:rFonts w:ascii="Times New Roman" w:hAnsi="Times New Roman"/>
          <w:sz w:val="24"/>
          <w:szCs w:val="24"/>
        </w:rPr>
        <w:t>průběžně přezkoumává</w:t>
      </w:r>
      <w:r w:rsidR="0058326A">
        <w:rPr>
          <w:rFonts w:ascii="Times New Roman" w:hAnsi="Times New Roman"/>
          <w:sz w:val="24"/>
          <w:szCs w:val="24"/>
        </w:rPr>
        <w:t>,</w:t>
      </w:r>
      <w:r>
        <w:rPr>
          <w:rFonts w:ascii="Times New Roman" w:hAnsi="Times New Roman"/>
          <w:sz w:val="24"/>
          <w:szCs w:val="24"/>
        </w:rPr>
        <w:t xml:space="preserve"> upravuje a doplňuje svá doporučení</w:t>
      </w:r>
      <w:r w:rsidR="006C5C5E">
        <w:rPr>
          <w:rFonts w:ascii="Times New Roman" w:hAnsi="Times New Roman"/>
          <w:sz w:val="24"/>
          <w:szCs w:val="24"/>
        </w:rPr>
        <w:t>; aktuálně jsou platná doporučení ve znění revize z února 2012</w:t>
      </w:r>
      <w:r>
        <w:rPr>
          <w:rFonts w:ascii="Times New Roman" w:hAnsi="Times New Roman"/>
          <w:sz w:val="24"/>
          <w:szCs w:val="24"/>
        </w:rPr>
        <w:t xml:space="preserve">. Realizaci doporučení FATF </w:t>
      </w:r>
      <w:r w:rsidR="00C867F2">
        <w:rPr>
          <w:rFonts w:ascii="Times New Roman" w:hAnsi="Times New Roman"/>
          <w:sz w:val="24"/>
          <w:szCs w:val="24"/>
        </w:rPr>
        <w:t>ve státech, které jsou členy Rady Evropy</w:t>
      </w:r>
      <w:r w:rsidR="00751861">
        <w:rPr>
          <w:rFonts w:ascii="Times New Roman" w:hAnsi="Times New Roman"/>
          <w:sz w:val="24"/>
          <w:szCs w:val="24"/>
        </w:rPr>
        <w:t>,</w:t>
      </w:r>
      <w:r w:rsidR="00C867F2">
        <w:rPr>
          <w:rFonts w:ascii="Times New Roman" w:hAnsi="Times New Roman"/>
          <w:sz w:val="24"/>
          <w:szCs w:val="24"/>
        </w:rPr>
        <w:t xml:space="preserve"> </w:t>
      </w:r>
      <w:r w:rsidR="00751861">
        <w:rPr>
          <w:rFonts w:ascii="Times New Roman" w:hAnsi="Times New Roman"/>
          <w:sz w:val="24"/>
          <w:szCs w:val="24"/>
        </w:rPr>
        <w:t>pravidelně hodnotí</w:t>
      </w:r>
      <w:r>
        <w:rPr>
          <w:rFonts w:ascii="Times New Roman" w:hAnsi="Times New Roman"/>
          <w:sz w:val="24"/>
          <w:szCs w:val="24"/>
        </w:rPr>
        <w:t xml:space="preserve"> výbor Moneyval Rady Evropy. Při přípravě novely AML zákona proto předkladatel zvážil nejen požadavky čtvrté AML směrnice</w:t>
      </w:r>
      <w:r w:rsidR="0058326A">
        <w:rPr>
          <w:rFonts w:ascii="Times New Roman" w:hAnsi="Times New Roman"/>
          <w:sz w:val="24"/>
          <w:szCs w:val="24"/>
        </w:rPr>
        <w:t xml:space="preserve"> jako takové</w:t>
      </w:r>
      <w:r>
        <w:rPr>
          <w:rFonts w:ascii="Times New Roman" w:hAnsi="Times New Roman"/>
          <w:sz w:val="24"/>
          <w:szCs w:val="24"/>
        </w:rPr>
        <w:t xml:space="preserve">, ale obecně mezinárodní standardy v dané oblasti, včetně doporučení </w:t>
      </w:r>
      <w:r w:rsidR="006C5C5E">
        <w:rPr>
          <w:rFonts w:ascii="Times New Roman" w:hAnsi="Times New Roman"/>
          <w:sz w:val="24"/>
          <w:szCs w:val="24"/>
        </w:rPr>
        <w:t xml:space="preserve">výboru </w:t>
      </w:r>
      <w:r>
        <w:rPr>
          <w:rFonts w:ascii="Times New Roman" w:hAnsi="Times New Roman"/>
          <w:sz w:val="24"/>
          <w:szCs w:val="24"/>
        </w:rPr>
        <w:t>Moneyval</w:t>
      </w:r>
      <w:r w:rsidR="006C5C5E">
        <w:rPr>
          <w:rFonts w:ascii="Times New Roman" w:hAnsi="Times New Roman"/>
          <w:sz w:val="24"/>
          <w:szCs w:val="24"/>
        </w:rPr>
        <w:t xml:space="preserve">, obsažených zejména ve zprávě ze 4. kola hodnocení České republiky </w:t>
      </w:r>
      <w:r w:rsidR="00143460">
        <w:rPr>
          <w:rFonts w:ascii="Times New Roman" w:hAnsi="Times New Roman"/>
          <w:sz w:val="24"/>
          <w:szCs w:val="24"/>
        </w:rPr>
        <w:t>(2011)</w:t>
      </w:r>
      <w:r>
        <w:rPr>
          <w:rFonts w:ascii="Times New Roman" w:hAnsi="Times New Roman"/>
          <w:sz w:val="24"/>
          <w:szCs w:val="24"/>
        </w:rPr>
        <w:t>.</w:t>
      </w:r>
    </w:p>
    <w:p w14:paraId="1110F33A" w14:textId="77777777" w:rsidR="00166AD4" w:rsidRDefault="00166AD4" w:rsidP="00166AD4">
      <w:pPr>
        <w:pStyle w:val="Odstavecseseznamem"/>
        <w:ind w:left="0" w:firstLine="0"/>
        <w:rPr>
          <w:rFonts w:ascii="Times New Roman" w:hAnsi="Times New Roman"/>
          <w:b/>
          <w:sz w:val="24"/>
          <w:szCs w:val="24"/>
        </w:rPr>
      </w:pPr>
    </w:p>
    <w:p w14:paraId="524FA95F" w14:textId="77777777" w:rsidR="009C737E" w:rsidRDefault="009C737E" w:rsidP="009C737E">
      <w:pPr>
        <w:rPr>
          <w:rFonts w:ascii="Times New Roman" w:hAnsi="Times New Roman"/>
          <w:b/>
          <w:sz w:val="24"/>
          <w:szCs w:val="24"/>
        </w:rPr>
      </w:pPr>
      <w:r w:rsidRPr="0046145D">
        <w:rPr>
          <w:rFonts w:ascii="Times New Roman" w:hAnsi="Times New Roman"/>
          <w:b/>
          <w:sz w:val="24"/>
          <w:szCs w:val="24"/>
        </w:rPr>
        <w:t>Základní cíle navrhované úpravy:</w:t>
      </w:r>
    </w:p>
    <w:p w14:paraId="55218F48" w14:textId="77777777" w:rsidR="0058326A" w:rsidRDefault="0058326A" w:rsidP="009C737E">
      <w:pPr>
        <w:rPr>
          <w:rFonts w:ascii="Times New Roman" w:hAnsi="Times New Roman"/>
          <w:sz w:val="24"/>
          <w:szCs w:val="24"/>
        </w:rPr>
      </w:pPr>
      <w:r>
        <w:rPr>
          <w:rFonts w:ascii="Times New Roman" w:hAnsi="Times New Roman"/>
          <w:sz w:val="24"/>
          <w:szCs w:val="24"/>
        </w:rPr>
        <w:t>V širším smyslu je cílem navrhované úpravy:</w:t>
      </w:r>
    </w:p>
    <w:p w14:paraId="03829AF8" w14:textId="77777777" w:rsidR="0058326A" w:rsidRDefault="0058326A" w:rsidP="0058326A">
      <w:pPr>
        <w:pStyle w:val="Odstavecseseznamem"/>
        <w:numPr>
          <w:ilvl w:val="0"/>
          <w:numId w:val="3"/>
        </w:numPr>
        <w:rPr>
          <w:rFonts w:ascii="Times New Roman" w:hAnsi="Times New Roman"/>
          <w:sz w:val="24"/>
          <w:szCs w:val="24"/>
        </w:rPr>
      </w:pPr>
      <w:r>
        <w:rPr>
          <w:rFonts w:ascii="Times New Roman" w:hAnsi="Times New Roman"/>
          <w:sz w:val="24"/>
          <w:szCs w:val="24"/>
        </w:rPr>
        <w:t>chránit</w:t>
      </w:r>
      <w:r w:rsidR="006E77F4">
        <w:rPr>
          <w:rFonts w:ascii="Times New Roman" w:hAnsi="Times New Roman"/>
          <w:sz w:val="24"/>
          <w:szCs w:val="24"/>
        </w:rPr>
        <w:t xml:space="preserve"> spolehlivé a </w:t>
      </w:r>
      <w:r>
        <w:rPr>
          <w:rFonts w:ascii="Times New Roman" w:hAnsi="Times New Roman"/>
          <w:sz w:val="24"/>
          <w:szCs w:val="24"/>
        </w:rPr>
        <w:t>řádné fungování finančního systému;</w:t>
      </w:r>
    </w:p>
    <w:p w14:paraId="447FDF74" w14:textId="77777777" w:rsidR="00EF1C5D" w:rsidRDefault="006E77F4" w:rsidP="008234CA">
      <w:pPr>
        <w:pStyle w:val="Odstavecseseznamem"/>
        <w:numPr>
          <w:ilvl w:val="0"/>
          <w:numId w:val="3"/>
        </w:numPr>
        <w:rPr>
          <w:rFonts w:ascii="Times New Roman" w:hAnsi="Times New Roman"/>
          <w:sz w:val="24"/>
          <w:szCs w:val="24"/>
        </w:rPr>
      </w:pPr>
      <w:r w:rsidRPr="006E77F4">
        <w:rPr>
          <w:rFonts w:ascii="Times New Roman" w:hAnsi="Times New Roman"/>
          <w:sz w:val="24"/>
          <w:szCs w:val="24"/>
        </w:rPr>
        <w:t xml:space="preserve">ochranou fungování finančního systému přispět k finanční stabilitě </w:t>
      </w:r>
    </w:p>
    <w:p w14:paraId="78AC4A4A" w14:textId="77777777" w:rsidR="0058326A" w:rsidRPr="006E77F4" w:rsidRDefault="0058326A" w:rsidP="008234CA">
      <w:pPr>
        <w:pStyle w:val="Odstavecseseznamem"/>
        <w:numPr>
          <w:ilvl w:val="0"/>
          <w:numId w:val="3"/>
        </w:numPr>
        <w:rPr>
          <w:rFonts w:ascii="Times New Roman" w:hAnsi="Times New Roman"/>
          <w:sz w:val="24"/>
          <w:szCs w:val="24"/>
        </w:rPr>
      </w:pPr>
      <w:r w:rsidRPr="006E77F4">
        <w:rPr>
          <w:rFonts w:ascii="Times New Roman" w:hAnsi="Times New Roman"/>
          <w:sz w:val="24"/>
          <w:szCs w:val="24"/>
        </w:rPr>
        <w:t>chránit společnost před trestnou činností a teroristickými činy;</w:t>
      </w:r>
    </w:p>
    <w:p w14:paraId="7C5242E2" w14:textId="77777777" w:rsidR="00DB2F70" w:rsidRPr="0099491A" w:rsidRDefault="0058326A" w:rsidP="0058326A">
      <w:pPr>
        <w:pStyle w:val="Odstavecseseznamem"/>
        <w:numPr>
          <w:ilvl w:val="0"/>
          <w:numId w:val="3"/>
        </w:numPr>
        <w:rPr>
          <w:rFonts w:ascii="Times New Roman" w:hAnsi="Times New Roman"/>
          <w:b/>
          <w:sz w:val="24"/>
          <w:szCs w:val="24"/>
        </w:rPr>
      </w:pPr>
      <w:r>
        <w:rPr>
          <w:rFonts w:ascii="Times New Roman" w:hAnsi="Times New Roman"/>
          <w:sz w:val="24"/>
          <w:szCs w:val="24"/>
        </w:rPr>
        <w:t>zabezpečit ekonomickou prosperitu a efektivní podnikatelské prostředí</w:t>
      </w:r>
      <w:r w:rsidR="00DB2F70">
        <w:rPr>
          <w:rFonts w:ascii="Times New Roman" w:hAnsi="Times New Roman"/>
          <w:sz w:val="24"/>
          <w:szCs w:val="24"/>
        </w:rPr>
        <w:t>;</w:t>
      </w:r>
    </w:p>
    <w:p w14:paraId="04AB0155" w14:textId="70891B74" w:rsidR="0058326A" w:rsidRPr="0058326A" w:rsidRDefault="00DB2F70" w:rsidP="0058326A">
      <w:pPr>
        <w:pStyle w:val="Odstavecseseznamem"/>
        <w:numPr>
          <w:ilvl w:val="0"/>
          <w:numId w:val="3"/>
        </w:numPr>
        <w:rPr>
          <w:rFonts w:ascii="Times New Roman" w:hAnsi="Times New Roman"/>
          <w:b/>
          <w:sz w:val="24"/>
          <w:szCs w:val="24"/>
        </w:rPr>
      </w:pPr>
      <w:r>
        <w:rPr>
          <w:rFonts w:ascii="Times New Roman" w:hAnsi="Times New Roman"/>
          <w:sz w:val="24"/>
          <w:szCs w:val="24"/>
        </w:rPr>
        <w:lastRenderedPageBreak/>
        <w:t>změnit status finanční zpravodajské jednotky</w:t>
      </w:r>
      <w:r w:rsidR="0058326A">
        <w:rPr>
          <w:rFonts w:ascii="Times New Roman" w:hAnsi="Times New Roman"/>
          <w:sz w:val="24"/>
          <w:szCs w:val="24"/>
        </w:rPr>
        <w:t>.</w:t>
      </w:r>
    </w:p>
    <w:p w14:paraId="2F5EC484" w14:textId="77777777" w:rsidR="0058326A" w:rsidRDefault="0058326A" w:rsidP="0058326A">
      <w:pPr>
        <w:pStyle w:val="Odstavecseseznamem"/>
        <w:ind w:firstLine="0"/>
        <w:rPr>
          <w:rFonts w:ascii="Times New Roman" w:hAnsi="Times New Roman"/>
          <w:b/>
          <w:sz w:val="24"/>
          <w:szCs w:val="24"/>
        </w:rPr>
      </w:pPr>
    </w:p>
    <w:p w14:paraId="61A5BCFD" w14:textId="77777777" w:rsidR="006E77F4" w:rsidRDefault="006E77F4" w:rsidP="006E77F4">
      <w:pPr>
        <w:pStyle w:val="Odstavecseseznamem"/>
        <w:ind w:left="0" w:firstLine="0"/>
        <w:rPr>
          <w:rFonts w:ascii="Times New Roman" w:hAnsi="Times New Roman"/>
          <w:sz w:val="24"/>
          <w:szCs w:val="24"/>
        </w:rPr>
      </w:pPr>
      <w:r>
        <w:rPr>
          <w:rFonts w:ascii="Times New Roman" w:hAnsi="Times New Roman"/>
          <w:sz w:val="24"/>
          <w:szCs w:val="24"/>
        </w:rPr>
        <w:t>Z pohledu inspiračních zdrojů je cílem navrhované úpravy:</w:t>
      </w:r>
    </w:p>
    <w:p w14:paraId="2E50293A" w14:textId="77777777" w:rsidR="006E77F4" w:rsidRPr="006E77F4" w:rsidRDefault="006E77F4" w:rsidP="006E77F4">
      <w:pPr>
        <w:pStyle w:val="Odstavecseseznamem"/>
        <w:ind w:left="0" w:firstLine="0"/>
        <w:rPr>
          <w:rFonts w:ascii="Times New Roman" w:hAnsi="Times New Roman"/>
          <w:sz w:val="24"/>
          <w:szCs w:val="24"/>
        </w:rPr>
      </w:pPr>
    </w:p>
    <w:p w14:paraId="544A5E73" w14:textId="77777777" w:rsidR="00166AD4" w:rsidRPr="0058326A" w:rsidRDefault="0058326A" w:rsidP="0058326A">
      <w:pPr>
        <w:pStyle w:val="Odstavecseseznamem"/>
        <w:numPr>
          <w:ilvl w:val="0"/>
          <w:numId w:val="3"/>
        </w:numPr>
        <w:rPr>
          <w:rFonts w:ascii="Times New Roman" w:hAnsi="Times New Roman"/>
          <w:b/>
          <w:sz w:val="24"/>
          <w:szCs w:val="24"/>
        </w:rPr>
      </w:pPr>
      <w:r>
        <w:rPr>
          <w:rFonts w:ascii="Times New Roman" w:hAnsi="Times New Roman"/>
          <w:sz w:val="24"/>
          <w:szCs w:val="24"/>
        </w:rPr>
        <w:t>implementovat čtvrtou AML směrnici;</w:t>
      </w:r>
    </w:p>
    <w:p w14:paraId="44164D73" w14:textId="77777777" w:rsidR="0058326A" w:rsidRPr="00E40488" w:rsidRDefault="0058326A" w:rsidP="0058326A">
      <w:pPr>
        <w:pStyle w:val="Odstavecseseznamem"/>
        <w:numPr>
          <w:ilvl w:val="0"/>
          <w:numId w:val="3"/>
        </w:numPr>
        <w:rPr>
          <w:rFonts w:ascii="Times New Roman" w:hAnsi="Times New Roman"/>
          <w:b/>
          <w:sz w:val="24"/>
          <w:szCs w:val="24"/>
        </w:rPr>
      </w:pPr>
      <w:r>
        <w:rPr>
          <w:rFonts w:ascii="Times New Roman" w:hAnsi="Times New Roman"/>
          <w:sz w:val="24"/>
          <w:szCs w:val="24"/>
        </w:rPr>
        <w:t>zohlednit mezinárodní stand</w:t>
      </w:r>
      <w:r w:rsidR="00E40488">
        <w:rPr>
          <w:rFonts w:ascii="Times New Roman" w:hAnsi="Times New Roman"/>
          <w:sz w:val="24"/>
          <w:szCs w:val="24"/>
        </w:rPr>
        <w:t xml:space="preserve">ardy FATF a doporučení Moneyval; </w:t>
      </w:r>
    </w:p>
    <w:p w14:paraId="26A60F4B" w14:textId="77777777" w:rsidR="00E40488" w:rsidRPr="0058326A" w:rsidRDefault="00E40488" w:rsidP="0058326A">
      <w:pPr>
        <w:pStyle w:val="Odstavecseseznamem"/>
        <w:numPr>
          <w:ilvl w:val="0"/>
          <w:numId w:val="3"/>
        </w:numPr>
        <w:rPr>
          <w:rFonts w:ascii="Times New Roman" w:hAnsi="Times New Roman"/>
          <w:b/>
          <w:sz w:val="24"/>
          <w:szCs w:val="24"/>
        </w:rPr>
      </w:pPr>
      <w:r>
        <w:rPr>
          <w:rFonts w:ascii="Times New Roman" w:hAnsi="Times New Roman"/>
          <w:sz w:val="24"/>
          <w:szCs w:val="24"/>
        </w:rPr>
        <w:t>revidovat v této souvislosti potenciálně problematické oblasti stávající vnitrostátní úpravy.</w:t>
      </w:r>
    </w:p>
    <w:p w14:paraId="4BA573E8" w14:textId="77777777" w:rsidR="0058326A" w:rsidRPr="006E77F4" w:rsidRDefault="0058326A" w:rsidP="0058326A">
      <w:pPr>
        <w:rPr>
          <w:rFonts w:ascii="Times New Roman" w:hAnsi="Times New Roman"/>
          <w:sz w:val="24"/>
          <w:szCs w:val="24"/>
        </w:rPr>
      </w:pPr>
    </w:p>
    <w:p w14:paraId="255C65F2" w14:textId="77777777" w:rsidR="009C737E" w:rsidRDefault="00E40488" w:rsidP="009C737E">
      <w:pPr>
        <w:rPr>
          <w:rFonts w:ascii="Times New Roman" w:hAnsi="Times New Roman"/>
          <w:sz w:val="24"/>
          <w:szCs w:val="24"/>
        </w:rPr>
      </w:pPr>
      <w:r>
        <w:rPr>
          <w:rFonts w:ascii="Times New Roman" w:hAnsi="Times New Roman"/>
          <w:sz w:val="24"/>
          <w:szCs w:val="24"/>
        </w:rPr>
        <w:t>Z pohledu</w:t>
      </w:r>
      <w:r w:rsidR="006E77F4">
        <w:rPr>
          <w:rFonts w:ascii="Times New Roman" w:hAnsi="Times New Roman"/>
          <w:sz w:val="24"/>
          <w:szCs w:val="24"/>
        </w:rPr>
        <w:t xml:space="preserve"> změn oproti stávajícímu </w:t>
      </w:r>
      <w:r>
        <w:rPr>
          <w:rFonts w:ascii="Times New Roman" w:hAnsi="Times New Roman"/>
          <w:sz w:val="24"/>
          <w:szCs w:val="24"/>
        </w:rPr>
        <w:t>AML zákonu</w:t>
      </w:r>
      <w:r w:rsidR="006E77F4">
        <w:rPr>
          <w:rFonts w:ascii="Times New Roman" w:hAnsi="Times New Roman"/>
          <w:sz w:val="24"/>
          <w:szCs w:val="24"/>
        </w:rPr>
        <w:t xml:space="preserve"> je cílem navrhované úpravy:</w:t>
      </w:r>
    </w:p>
    <w:p w14:paraId="64BFC682" w14:textId="77777777" w:rsidR="001B3D07" w:rsidRDefault="001B3D07" w:rsidP="001B3D07">
      <w:pPr>
        <w:pStyle w:val="Odstavecseseznamem"/>
        <w:numPr>
          <w:ilvl w:val="0"/>
          <w:numId w:val="3"/>
        </w:numPr>
        <w:rPr>
          <w:rFonts w:ascii="Times New Roman" w:hAnsi="Times New Roman"/>
          <w:sz w:val="24"/>
          <w:szCs w:val="24"/>
        </w:rPr>
      </w:pPr>
      <w:r>
        <w:rPr>
          <w:rFonts w:ascii="Times New Roman" w:hAnsi="Times New Roman"/>
          <w:sz w:val="24"/>
          <w:szCs w:val="24"/>
        </w:rPr>
        <w:t xml:space="preserve">řešit rozšířenou působnost čtvrté AML směrnice, která </w:t>
      </w:r>
      <w:r w:rsidR="007D064E">
        <w:rPr>
          <w:rFonts w:ascii="Times New Roman" w:hAnsi="Times New Roman"/>
          <w:sz w:val="24"/>
          <w:szCs w:val="24"/>
        </w:rPr>
        <w:t xml:space="preserve">(1) </w:t>
      </w:r>
      <w:r>
        <w:rPr>
          <w:rFonts w:ascii="Times New Roman" w:hAnsi="Times New Roman"/>
          <w:sz w:val="24"/>
          <w:szCs w:val="24"/>
        </w:rPr>
        <w:t xml:space="preserve">mezi povinné osoby řadí obecně provozovatele hazardních her, a (2) snižuje prahové hodnoty pro obchodníky se zbožím, pokud provádějí hotovostní </w:t>
      </w:r>
      <w:r w:rsidR="00C13990">
        <w:rPr>
          <w:rFonts w:ascii="Times New Roman" w:hAnsi="Times New Roman"/>
          <w:sz w:val="24"/>
          <w:szCs w:val="24"/>
        </w:rPr>
        <w:t>platby, a to z 15 000 EUR na 10 0</w:t>
      </w:r>
      <w:r>
        <w:rPr>
          <w:rFonts w:ascii="Times New Roman" w:hAnsi="Times New Roman"/>
          <w:sz w:val="24"/>
          <w:szCs w:val="24"/>
        </w:rPr>
        <w:t>00 EUR;</w:t>
      </w:r>
    </w:p>
    <w:p w14:paraId="2C2F6203" w14:textId="77777777" w:rsidR="001B3D07" w:rsidRDefault="00C915D8" w:rsidP="001B3D07">
      <w:pPr>
        <w:pStyle w:val="Odstavecseseznamem"/>
        <w:numPr>
          <w:ilvl w:val="0"/>
          <w:numId w:val="3"/>
        </w:numPr>
        <w:rPr>
          <w:rFonts w:ascii="Times New Roman" w:hAnsi="Times New Roman"/>
          <w:sz w:val="24"/>
          <w:szCs w:val="24"/>
        </w:rPr>
      </w:pPr>
      <w:r>
        <w:rPr>
          <w:rFonts w:ascii="Times New Roman" w:hAnsi="Times New Roman"/>
          <w:sz w:val="24"/>
          <w:szCs w:val="24"/>
        </w:rPr>
        <w:t>aplikovat přístup založený na posouzení rizik;</w:t>
      </w:r>
    </w:p>
    <w:p w14:paraId="30CFDF70" w14:textId="77777777" w:rsidR="00C915D8" w:rsidRDefault="00C915D8" w:rsidP="00C915D8">
      <w:pPr>
        <w:pStyle w:val="Odstavecseseznamem"/>
        <w:numPr>
          <w:ilvl w:val="0"/>
          <w:numId w:val="3"/>
        </w:numPr>
        <w:rPr>
          <w:rFonts w:ascii="Times New Roman" w:hAnsi="Times New Roman"/>
          <w:sz w:val="24"/>
          <w:szCs w:val="24"/>
        </w:rPr>
      </w:pPr>
      <w:r>
        <w:rPr>
          <w:rFonts w:ascii="Times New Roman" w:hAnsi="Times New Roman"/>
          <w:sz w:val="24"/>
          <w:szCs w:val="24"/>
        </w:rPr>
        <w:t>zrevidovat</w:t>
      </w:r>
      <w:r w:rsidR="00061FCD">
        <w:rPr>
          <w:rFonts w:ascii="Times New Roman" w:hAnsi="Times New Roman"/>
          <w:sz w:val="24"/>
          <w:szCs w:val="24"/>
        </w:rPr>
        <w:t>, příp. upravit</w:t>
      </w:r>
      <w:r>
        <w:rPr>
          <w:rFonts w:ascii="Times New Roman" w:hAnsi="Times New Roman"/>
          <w:sz w:val="24"/>
          <w:szCs w:val="24"/>
        </w:rPr>
        <w:t xml:space="preserve"> způsoby zprostředkované identifikace klienta;</w:t>
      </w:r>
    </w:p>
    <w:p w14:paraId="31BB9711" w14:textId="77777777" w:rsidR="00C915D8" w:rsidRDefault="00C915D8" w:rsidP="00C915D8">
      <w:pPr>
        <w:pStyle w:val="Odstavecseseznamem"/>
        <w:numPr>
          <w:ilvl w:val="0"/>
          <w:numId w:val="3"/>
        </w:numPr>
        <w:rPr>
          <w:rFonts w:ascii="Times New Roman" w:hAnsi="Times New Roman"/>
          <w:sz w:val="24"/>
          <w:szCs w:val="24"/>
        </w:rPr>
      </w:pPr>
      <w:r>
        <w:rPr>
          <w:rFonts w:ascii="Times New Roman" w:hAnsi="Times New Roman"/>
          <w:sz w:val="24"/>
          <w:szCs w:val="24"/>
        </w:rPr>
        <w:t>zrevidovat</w:t>
      </w:r>
      <w:r w:rsidR="00061FCD">
        <w:rPr>
          <w:rFonts w:ascii="Times New Roman" w:hAnsi="Times New Roman"/>
          <w:sz w:val="24"/>
          <w:szCs w:val="24"/>
        </w:rPr>
        <w:t>, příp. upravit</w:t>
      </w:r>
      <w:r>
        <w:rPr>
          <w:rFonts w:ascii="Times New Roman" w:hAnsi="Times New Roman"/>
          <w:sz w:val="24"/>
          <w:szCs w:val="24"/>
        </w:rPr>
        <w:t xml:space="preserve"> způsoby zjednodušené identifikace klienta;</w:t>
      </w:r>
    </w:p>
    <w:p w14:paraId="049F36AE" w14:textId="77777777" w:rsidR="00C915D8" w:rsidRDefault="00C915D8" w:rsidP="00C915D8">
      <w:pPr>
        <w:pStyle w:val="Odstavecseseznamem"/>
        <w:numPr>
          <w:ilvl w:val="0"/>
          <w:numId w:val="3"/>
        </w:numPr>
        <w:rPr>
          <w:rFonts w:ascii="Times New Roman" w:hAnsi="Times New Roman"/>
          <w:sz w:val="24"/>
          <w:szCs w:val="24"/>
        </w:rPr>
      </w:pPr>
      <w:r>
        <w:rPr>
          <w:rFonts w:ascii="Times New Roman" w:hAnsi="Times New Roman"/>
          <w:sz w:val="24"/>
          <w:szCs w:val="24"/>
        </w:rPr>
        <w:t>zajistit dostupnost informací o skutečných vlastnících;</w:t>
      </w:r>
    </w:p>
    <w:p w14:paraId="6B0159F8" w14:textId="77777777" w:rsidR="00C915D8" w:rsidRDefault="00476768" w:rsidP="00C915D8">
      <w:pPr>
        <w:pStyle w:val="Odstavecseseznamem"/>
        <w:numPr>
          <w:ilvl w:val="0"/>
          <w:numId w:val="3"/>
        </w:numPr>
        <w:rPr>
          <w:rFonts w:ascii="Times New Roman" w:hAnsi="Times New Roman"/>
          <w:sz w:val="24"/>
          <w:szCs w:val="24"/>
        </w:rPr>
      </w:pPr>
      <w:r>
        <w:rPr>
          <w:rFonts w:ascii="Times New Roman" w:hAnsi="Times New Roman"/>
          <w:sz w:val="24"/>
          <w:szCs w:val="24"/>
        </w:rPr>
        <w:t>zrevidovat systém sankcí;</w:t>
      </w:r>
    </w:p>
    <w:p w14:paraId="56EF2B59" w14:textId="77777777" w:rsidR="00DB2F70" w:rsidRDefault="00E22259" w:rsidP="00E22259">
      <w:pPr>
        <w:pStyle w:val="Odstavecseseznamem"/>
        <w:numPr>
          <w:ilvl w:val="0"/>
          <w:numId w:val="3"/>
        </w:numPr>
        <w:rPr>
          <w:rFonts w:ascii="Times New Roman" w:hAnsi="Times New Roman"/>
          <w:sz w:val="24"/>
          <w:szCs w:val="24"/>
        </w:rPr>
      </w:pPr>
      <w:r>
        <w:rPr>
          <w:rFonts w:ascii="Times New Roman" w:hAnsi="Times New Roman"/>
          <w:sz w:val="24"/>
          <w:szCs w:val="24"/>
        </w:rPr>
        <w:t>zrevidovat mechanismus správního dozoru a správního trestání</w:t>
      </w:r>
      <w:r w:rsidR="00DB2F70">
        <w:rPr>
          <w:rFonts w:ascii="Times New Roman" w:hAnsi="Times New Roman"/>
          <w:sz w:val="24"/>
          <w:szCs w:val="24"/>
        </w:rPr>
        <w:t>;</w:t>
      </w:r>
    </w:p>
    <w:p w14:paraId="2DE5781B" w14:textId="41BA0B96" w:rsidR="00E22259" w:rsidRPr="00E22259" w:rsidRDefault="00DB2F70" w:rsidP="00E22259">
      <w:pPr>
        <w:pStyle w:val="Odstavecseseznamem"/>
        <w:numPr>
          <w:ilvl w:val="0"/>
          <w:numId w:val="3"/>
        </w:numPr>
        <w:rPr>
          <w:rFonts w:ascii="Times New Roman" w:hAnsi="Times New Roman"/>
          <w:sz w:val="24"/>
          <w:szCs w:val="24"/>
        </w:rPr>
      </w:pPr>
      <w:r>
        <w:rPr>
          <w:rFonts w:ascii="Times New Roman" w:hAnsi="Times New Roman"/>
          <w:sz w:val="24"/>
          <w:szCs w:val="24"/>
        </w:rPr>
        <w:t>upravit status finanční zpravodajské jednotky</w:t>
      </w:r>
      <w:r w:rsidR="00E22259">
        <w:rPr>
          <w:rFonts w:ascii="Times New Roman" w:hAnsi="Times New Roman"/>
          <w:sz w:val="24"/>
          <w:szCs w:val="24"/>
        </w:rPr>
        <w:t xml:space="preserve">. </w:t>
      </w:r>
    </w:p>
    <w:p w14:paraId="573D64C5" w14:textId="77777777" w:rsidR="006E77F4" w:rsidRDefault="006E77F4" w:rsidP="009C737E">
      <w:pPr>
        <w:rPr>
          <w:rFonts w:ascii="Times New Roman" w:hAnsi="Times New Roman"/>
          <w:b/>
          <w:sz w:val="24"/>
          <w:szCs w:val="24"/>
        </w:rPr>
      </w:pPr>
    </w:p>
    <w:p w14:paraId="694FC5E9" w14:textId="77777777" w:rsidR="009C737E" w:rsidRDefault="009C737E" w:rsidP="00E22259">
      <w:pPr>
        <w:numPr>
          <w:ilvl w:val="1"/>
          <w:numId w:val="1"/>
        </w:numPr>
        <w:spacing w:after="0" w:line="240" w:lineRule="auto"/>
        <w:ind w:left="0"/>
        <w:jc w:val="both"/>
        <w:rPr>
          <w:rFonts w:ascii="Times New Roman" w:hAnsi="Times New Roman"/>
          <w:sz w:val="24"/>
          <w:szCs w:val="24"/>
        </w:rPr>
      </w:pPr>
      <w:r w:rsidRPr="00E22259">
        <w:rPr>
          <w:rFonts w:ascii="Times New Roman" w:hAnsi="Times New Roman"/>
          <w:sz w:val="24"/>
          <w:szCs w:val="24"/>
        </w:rPr>
        <w:t>Popis existujícího právního stavu</w:t>
      </w:r>
    </w:p>
    <w:p w14:paraId="34686E83" w14:textId="77777777" w:rsidR="00E22259" w:rsidRDefault="00E22259" w:rsidP="00E22259">
      <w:pPr>
        <w:spacing w:after="0" w:line="240" w:lineRule="auto"/>
        <w:jc w:val="both"/>
        <w:rPr>
          <w:rFonts w:ascii="Times New Roman" w:hAnsi="Times New Roman"/>
          <w:sz w:val="24"/>
          <w:szCs w:val="24"/>
        </w:rPr>
      </w:pPr>
    </w:p>
    <w:p w14:paraId="25645C87" w14:textId="77777777" w:rsidR="00EA58D8" w:rsidRDefault="00BB2935" w:rsidP="00BB2935">
      <w:pPr>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Stávající AML zákon</w:t>
      </w:r>
      <w:r w:rsidR="00E22259" w:rsidRPr="00E22259">
        <w:rPr>
          <w:rFonts w:ascii="Times New Roman" w:eastAsia="Times New Roman" w:hAnsi="Times New Roman" w:cs="Times New Roman"/>
          <w:sz w:val="24"/>
          <w:szCs w:val="20"/>
          <w:lang w:eastAsia="cs-CZ"/>
        </w:rPr>
        <w:t>, nabyl účinnosti 1. září 2008 a nahradil původní zákon proti praní peněz č. 61/1996 Sb.</w:t>
      </w:r>
      <w:r w:rsidR="0024588C">
        <w:rPr>
          <w:rFonts w:ascii="Times New Roman" w:eastAsia="Times New Roman" w:hAnsi="Times New Roman" w:cs="Times New Roman"/>
          <w:sz w:val="24"/>
          <w:szCs w:val="20"/>
          <w:lang w:eastAsia="cs-CZ"/>
        </w:rPr>
        <w:t xml:space="preserve"> </w:t>
      </w:r>
    </w:p>
    <w:p w14:paraId="163E5EB8" w14:textId="77777777" w:rsidR="005B7BD7" w:rsidRDefault="00475C46" w:rsidP="00BB2935">
      <w:pPr>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AML zákon definu</w:t>
      </w:r>
      <w:r w:rsidR="00F719E0">
        <w:rPr>
          <w:rFonts w:ascii="Times New Roman" w:eastAsia="Times New Roman" w:hAnsi="Times New Roman" w:cs="Times New Roman"/>
          <w:sz w:val="24"/>
          <w:szCs w:val="20"/>
          <w:lang w:eastAsia="cs-CZ"/>
        </w:rPr>
        <w:t>je povinné osoby pro AML účely, což jsou typicky</w:t>
      </w:r>
      <w:r>
        <w:rPr>
          <w:rFonts w:ascii="Times New Roman" w:eastAsia="Times New Roman" w:hAnsi="Times New Roman" w:cs="Times New Roman"/>
          <w:sz w:val="24"/>
          <w:szCs w:val="20"/>
          <w:lang w:eastAsia="cs-CZ"/>
        </w:rPr>
        <w:t xml:space="preserve"> úvěrové a finanční instituce</w:t>
      </w:r>
      <w:r w:rsidR="00F719E0">
        <w:rPr>
          <w:rFonts w:ascii="Times New Roman" w:eastAsia="Times New Roman" w:hAnsi="Times New Roman" w:cs="Times New Roman"/>
          <w:sz w:val="24"/>
          <w:szCs w:val="20"/>
          <w:lang w:eastAsia="cs-CZ"/>
        </w:rPr>
        <w:t xml:space="preserve"> a další subjekty (§ 2). Povinným osobám zákon ukládá povinnost identifikovat klienty (§ 7) a kontrolovat klienty (§ 9). Ohledně identifikace klientů stanoví zákon rovněž variantní postupy (§ 10 a 11) a výjimky (§ 13). Jsou stanoveny okolnosti, při nichž nesmí povinné osoby uskutečnit obchod (§ 15), a je stanoven postup pro </w:t>
      </w:r>
      <w:r w:rsidR="00A8208C">
        <w:rPr>
          <w:rFonts w:ascii="Times New Roman" w:eastAsia="Times New Roman" w:hAnsi="Times New Roman" w:cs="Times New Roman"/>
          <w:sz w:val="24"/>
          <w:szCs w:val="20"/>
          <w:lang w:eastAsia="cs-CZ"/>
        </w:rPr>
        <w:t xml:space="preserve">případ detekce </w:t>
      </w:r>
      <w:r w:rsidR="00F719E0">
        <w:rPr>
          <w:rFonts w:ascii="Times New Roman" w:eastAsia="Times New Roman" w:hAnsi="Times New Roman" w:cs="Times New Roman"/>
          <w:sz w:val="24"/>
          <w:szCs w:val="20"/>
          <w:lang w:eastAsia="cs-CZ"/>
        </w:rPr>
        <w:t>podezřelé</w:t>
      </w:r>
      <w:r w:rsidR="00A8208C">
        <w:rPr>
          <w:rFonts w:ascii="Times New Roman" w:eastAsia="Times New Roman" w:hAnsi="Times New Roman" w:cs="Times New Roman"/>
          <w:sz w:val="24"/>
          <w:szCs w:val="20"/>
          <w:lang w:eastAsia="cs-CZ"/>
        </w:rPr>
        <w:t>ho</w:t>
      </w:r>
      <w:r w:rsidR="00F719E0">
        <w:rPr>
          <w:rFonts w:ascii="Times New Roman" w:eastAsia="Times New Roman" w:hAnsi="Times New Roman" w:cs="Times New Roman"/>
          <w:sz w:val="24"/>
          <w:szCs w:val="20"/>
          <w:lang w:eastAsia="cs-CZ"/>
        </w:rPr>
        <w:t xml:space="preserve"> obchod</w:t>
      </w:r>
      <w:r w:rsidR="00A8208C">
        <w:rPr>
          <w:rFonts w:ascii="Times New Roman" w:eastAsia="Times New Roman" w:hAnsi="Times New Roman" w:cs="Times New Roman"/>
          <w:sz w:val="24"/>
          <w:szCs w:val="20"/>
          <w:lang w:eastAsia="cs-CZ"/>
        </w:rPr>
        <w:t>u</w:t>
      </w:r>
      <w:r w:rsidR="00F719E0">
        <w:rPr>
          <w:rFonts w:ascii="Times New Roman" w:eastAsia="Times New Roman" w:hAnsi="Times New Roman" w:cs="Times New Roman"/>
          <w:sz w:val="24"/>
          <w:szCs w:val="20"/>
          <w:lang w:eastAsia="cs-CZ"/>
        </w:rPr>
        <w:t xml:space="preserve"> (§ 18 – 20)</w:t>
      </w:r>
      <w:r w:rsidR="00A8208C">
        <w:rPr>
          <w:rFonts w:ascii="Times New Roman" w:eastAsia="Times New Roman" w:hAnsi="Times New Roman" w:cs="Times New Roman"/>
          <w:sz w:val="24"/>
          <w:szCs w:val="20"/>
          <w:lang w:eastAsia="cs-CZ"/>
        </w:rPr>
        <w:t xml:space="preserve"> a </w:t>
      </w:r>
      <w:r w:rsidR="006073D5">
        <w:rPr>
          <w:rFonts w:ascii="Times New Roman" w:eastAsia="Times New Roman" w:hAnsi="Times New Roman" w:cs="Times New Roman"/>
          <w:sz w:val="24"/>
          <w:szCs w:val="20"/>
          <w:lang w:eastAsia="cs-CZ"/>
        </w:rPr>
        <w:t>je</w:t>
      </w:r>
      <w:r w:rsidR="00A8208C">
        <w:rPr>
          <w:rFonts w:ascii="Times New Roman" w:eastAsia="Times New Roman" w:hAnsi="Times New Roman" w:cs="Times New Roman"/>
          <w:sz w:val="24"/>
          <w:szCs w:val="20"/>
          <w:lang w:eastAsia="cs-CZ"/>
        </w:rPr>
        <w:t>ho</w:t>
      </w:r>
      <w:r w:rsidR="006073D5">
        <w:rPr>
          <w:rFonts w:ascii="Times New Roman" w:eastAsia="Times New Roman" w:hAnsi="Times New Roman" w:cs="Times New Roman"/>
          <w:sz w:val="24"/>
          <w:szCs w:val="20"/>
          <w:lang w:eastAsia="cs-CZ"/>
        </w:rPr>
        <w:t xml:space="preserve"> </w:t>
      </w:r>
      <w:r w:rsidR="00A8208C">
        <w:rPr>
          <w:rFonts w:ascii="Times New Roman" w:eastAsia="Times New Roman" w:hAnsi="Times New Roman" w:cs="Times New Roman"/>
          <w:sz w:val="24"/>
          <w:szCs w:val="20"/>
          <w:lang w:eastAsia="cs-CZ"/>
        </w:rPr>
        <w:t>oznámení Ministerstvu financí ČR, konkrétně jeho Finančnímu analytickému útvaru (dále jen „FAÚ“)</w:t>
      </w:r>
      <w:r w:rsidR="006073D5">
        <w:rPr>
          <w:rFonts w:ascii="Times New Roman" w:eastAsia="Times New Roman" w:hAnsi="Times New Roman" w:cs="Times New Roman"/>
          <w:sz w:val="24"/>
          <w:szCs w:val="20"/>
          <w:lang w:eastAsia="cs-CZ"/>
        </w:rPr>
        <w:t>. Dále se povinným osobám</w:t>
      </w:r>
      <w:r w:rsidR="00345D22" w:rsidRPr="00345D22">
        <w:rPr>
          <w:rFonts w:ascii="Times New Roman" w:eastAsia="Times New Roman" w:hAnsi="Times New Roman" w:cs="Times New Roman"/>
          <w:sz w:val="24"/>
          <w:szCs w:val="20"/>
          <w:lang w:eastAsia="cs-CZ"/>
        </w:rPr>
        <w:t xml:space="preserve"> </w:t>
      </w:r>
      <w:r w:rsidR="00345D22">
        <w:rPr>
          <w:rFonts w:ascii="Times New Roman" w:eastAsia="Times New Roman" w:hAnsi="Times New Roman" w:cs="Times New Roman"/>
          <w:sz w:val="24"/>
          <w:szCs w:val="20"/>
          <w:lang w:eastAsia="cs-CZ"/>
        </w:rPr>
        <w:t xml:space="preserve">stanoví povinnost </w:t>
      </w:r>
      <w:r w:rsidR="006073D5">
        <w:rPr>
          <w:rFonts w:ascii="Times New Roman" w:eastAsia="Times New Roman" w:hAnsi="Times New Roman" w:cs="Times New Roman"/>
          <w:sz w:val="24"/>
          <w:szCs w:val="20"/>
          <w:lang w:eastAsia="cs-CZ"/>
        </w:rPr>
        <w:t>vypracov</w:t>
      </w:r>
      <w:r w:rsidR="00345D22">
        <w:rPr>
          <w:rFonts w:ascii="Times New Roman" w:eastAsia="Times New Roman" w:hAnsi="Times New Roman" w:cs="Times New Roman"/>
          <w:sz w:val="24"/>
          <w:szCs w:val="20"/>
          <w:lang w:eastAsia="cs-CZ"/>
        </w:rPr>
        <w:t>at</w:t>
      </w:r>
      <w:r w:rsidR="006073D5">
        <w:rPr>
          <w:rFonts w:ascii="Times New Roman" w:eastAsia="Times New Roman" w:hAnsi="Times New Roman" w:cs="Times New Roman"/>
          <w:sz w:val="24"/>
          <w:szCs w:val="20"/>
          <w:lang w:eastAsia="cs-CZ"/>
        </w:rPr>
        <w:t xml:space="preserve"> systém vnitřních zásad (§ 21), </w:t>
      </w:r>
      <w:r w:rsidR="00345D22">
        <w:rPr>
          <w:rFonts w:ascii="Times New Roman" w:eastAsia="Times New Roman" w:hAnsi="Times New Roman" w:cs="Times New Roman"/>
          <w:sz w:val="24"/>
          <w:szCs w:val="20"/>
          <w:lang w:eastAsia="cs-CZ"/>
        </w:rPr>
        <w:t>určit</w:t>
      </w:r>
      <w:r w:rsidR="006073D5">
        <w:rPr>
          <w:rFonts w:ascii="Times New Roman" w:eastAsia="Times New Roman" w:hAnsi="Times New Roman" w:cs="Times New Roman"/>
          <w:sz w:val="24"/>
          <w:szCs w:val="20"/>
          <w:lang w:eastAsia="cs-CZ"/>
        </w:rPr>
        <w:t xml:space="preserve"> kontaktní osob</w:t>
      </w:r>
      <w:r w:rsidR="00345D22">
        <w:rPr>
          <w:rFonts w:ascii="Times New Roman" w:eastAsia="Times New Roman" w:hAnsi="Times New Roman" w:cs="Times New Roman"/>
          <w:sz w:val="24"/>
          <w:szCs w:val="20"/>
          <w:lang w:eastAsia="cs-CZ"/>
        </w:rPr>
        <w:t>u</w:t>
      </w:r>
      <w:r w:rsidR="006073D5">
        <w:rPr>
          <w:rFonts w:ascii="Times New Roman" w:eastAsia="Times New Roman" w:hAnsi="Times New Roman" w:cs="Times New Roman"/>
          <w:sz w:val="24"/>
          <w:szCs w:val="20"/>
          <w:lang w:eastAsia="cs-CZ"/>
        </w:rPr>
        <w:t xml:space="preserve"> pro komunikaci s FAÚ (§</w:t>
      </w:r>
      <w:r w:rsidR="009D4225">
        <w:rPr>
          <w:rFonts w:ascii="Times New Roman" w:eastAsia="Times New Roman" w:hAnsi="Times New Roman" w:cs="Times New Roman"/>
          <w:sz w:val="24"/>
          <w:szCs w:val="20"/>
          <w:lang w:eastAsia="cs-CZ"/>
        </w:rPr>
        <w:t> </w:t>
      </w:r>
      <w:r w:rsidR="006073D5">
        <w:rPr>
          <w:rFonts w:ascii="Times New Roman" w:eastAsia="Times New Roman" w:hAnsi="Times New Roman" w:cs="Times New Roman"/>
          <w:sz w:val="24"/>
          <w:szCs w:val="20"/>
          <w:lang w:eastAsia="cs-CZ"/>
        </w:rPr>
        <w:t>22), náležitě školi</w:t>
      </w:r>
      <w:r w:rsidR="00345D22">
        <w:rPr>
          <w:rFonts w:ascii="Times New Roman" w:eastAsia="Times New Roman" w:hAnsi="Times New Roman" w:cs="Times New Roman"/>
          <w:sz w:val="24"/>
          <w:szCs w:val="20"/>
          <w:lang w:eastAsia="cs-CZ"/>
        </w:rPr>
        <w:t>t</w:t>
      </w:r>
      <w:r w:rsidR="006073D5">
        <w:rPr>
          <w:rFonts w:ascii="Times New Roman" w:eastAsia="Times New Roman" w:hAnsi="Times New Roman" w:cs="Times New Roman"/>
          <w:sz w:val="24"/>
          <w:szCs w:val="20"/>
          <w:lang w:eastAsia="cs-CZ"/>
        </w:rPr>
        <w:t xml:space="preserve"> zaměstnance (§ 23) </w:t>
      </w:r>
      <w:r w:rsidR="005760B0">
        <w:rPr>
          <w:rFonts w:ascii="Times New Roman" w:eastAsia="Times New Roman" w:hAnsi="Times New Roman" w:cs="Times New Roman"/>
          <w:sz w:val="24"/>
          <w:szCs w:val="20"/>
          <w:lang w:eastAsia="cs-CZ"/>
        </w:rPr>
        <w:t xml:space="preserve">a </w:t>
      </w:r>
      <w:r w:rsidR="00345D22">
        <w:rPr>
          <w:rFonts w:ascii="Times New Roman" w:eastAsia="Times New Roman" w:hAnsi="Times New Roman" w:cs="Times New Roman"/>
          <w:sz w:val="24"/>
          <w:szCs w:val="20"/>
          <w:lang w:eastAsia="cs-CZ"/>
        </w:rPr>
        <w:t xml:space="preserve">informovat </w:t>
      </w:r>
      <w:r w:rsidR="005760B0">
        <w:rPr>
          <w:rFonts w:ascii="Times New Roman" w:eastAsia="Times New Roman" w:hAnsi="Times New Roman" w:cs="Times New Roman"/>
          <w:sz w:val="24"/>
          <w:szCs w:val="20"/>
          <w:lang w:eastAsia="cs-CZ"/>
        </w:rPr>
        <w:t>FAÚ</w:t>
      </w:r>
      <w:r w:rsidR="00345D22">
        <w:rPr>
          <w:rFonts w:ascii="Times New Roman" w:eastAsia="Times New Roman" w:hAnsi="Times New Roman" w:cs="Times New Roman"/>
          <w:sz w:val="24"/>
          <w:szCs w:val="20"/>
          <w:lang w:eastAsia="cs-CZ"/>
        </w:rPr>
        <w:t xml:space="preserve"> o dožadovaných skutečnostech</w:t>
      </w:r>
      <w:r w:rsidR="005760B0">
        <w:rPr>
          <w:rFonts w:ascii="Times New Roman" w:eastAsia="Times New Roman" w:hAnsi="Times New Roman" w:cs="Times New Roman"/>
          <w:sz w:val="24"/>
          <w:szCs w:val="20"/>
          <w:lang w:eastAsia="cs-CZ"/>
        </w:rPr>
        <w:t xml:space="preserve"> (§ 24). </w:t>
      </w:r>
    </w:p>
    <w:p w14:paraId="71C46ABE" w14:textId="368561FC" w:rsidR="001C5DC7" w:rsidRDefault="005760B0" w:rsidP="00BB2935">
      <w:pPr>
        <w:jc w:val="both"/>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t>Dále AML zákon upravuje činnost ministerstva v rámci boje proti praní peněz a financování terorismu (§ 30 – 34)</w:t>
      </w:r>
      <w:r w:rsidR="005B7BD7">
        <w:rPr>
          <w:rFonts w:ascii="Times New Roman" w:eastAsia="Times New Roman" w:hAnsi="Times New Roman" w:cs="Times New Roman"/>
          <w:sz w:val="24"/>
          <w:szCs w:val="20"/>
          <w:lang w:eastAsia="cs-CZ"/>
        </w:rPr>
        <w:t xml:space="preserve"> a</w:t>
      </w:r>
      <w:r>
        <w:rPr>
          <w:rFonts w:ascii="Times New Roman" w:eastAsia="Times New Roman" w:hAnsi="Times New Roman" w:cs="Times New Roman"/>
          <w:sz w:val="24"/>
          <w:szCs w:val="20"/>
          <w:lang w:eastAsia="cs-CZ"/>
        </w:rPr>
        <w:t xml:space="preserve"> upravuje výkon správního dozoru (§ 35 – 37)</w:t>
      </w:r>
      <w:r w:rsidR="005B7BD7">
        <w:rPr>
          <w:rFonts w:ascii="Times New Roman" w:eastAsia="Times New Roman" w:hAnsi="Times New Roman" w:cs="Times New Roman"/>
          <w:sz w:val="24"/>
          <w:szCs w:val="20"/>
          <w:lang w:eastAsia="cs-CZ"/>
        </w:rPr>
        <w:t>. Zákon ukládá povinnost mlčenlivost</w:t>
      </w:r>
      <w:r w:rsidR="00345D22">
        <w:rPr>
          <w:rFonts w:ascii="Times New Roman" w:eastAsia="Times New Roman" w:hAnsi="Times New Roman" w:cs="Times New Roman"/>
          <w:sz w:val="24"/>
          <w:szCs w:val="20"/>
          <w:lang w:eastAsia="cs-CZ"/>
        </w:rPr>
        <w:t>i</w:t>
      </w:r>
      <w:r w:rsidR="005B7BD7">
        <w:rPr>
          <w:rFonts w:ascii="Times New Roman" w:eastAsia="Times New Roman" w:hAnsi="Times New Roman" w:cs="Times New Roman"/>
          <w:sz w:val="24"/>
          <w:szCs w:val="20"/>
          <w:lang w:eastAsia="cs-CZ"/>
        </w:rPr>
        <w:t xml:space="preserve"> v souvislosti s šetřeními podezřelých obchodů (§ 38 – 40). Zákon </w:t>
      </w:r>
      <w:r w:rsidR="008E2499">
        <w:rPr>
          <w:rFonts w:ascii="Times New Roman" w:eastAsia="Times New Roman" w:hAnsi="Times New Roman" w:cs="Times New Roman"/>
          <w:sz w:val="24"/>
          <w:szCs w:val="20"/>
          <w:lang w:eastAsia="cs-CZ"/>
        </w:rPr>
        <w:t xml:space="preserve">upravuje </w:t>
      </w:r>
      <w:r w:rsidR="005B7BD7">
        <w:rPr>
          <w:rFonts w:ascii="Times New Roman" w:eastAsia="Times New Roman" w:hAnsi="Times New Roman" w:cs="Times New Roman"/>
          <w:sz w:val="24"/>
          <w:szCs w:val="20"/>
          <w:lang w:eastAsia="cs-CZ"/>
        </w:rPr>
        <w:t>oznamovací povinnost při přeshraničních převozech např. finan</w:t>
      </w:r>
      <w:r w:rsidR="0040278F">
        <w:rPr>
          <w:rFonts w:ascii="Times New Roman" w:eastAsia="Times New Roman" w:hAnsi="Times New Roman" w:cs="Times New Roman"/>
          <w:sz w:val="24"/>
          <w:szCs w:val="20"/>
          <w:lang w:eastAsia="cs-CZ"/>
        </w:rPr>
        <w:t>ční hotovosti a dalších věcí (§ </w:t>
      </w:r>
      <w:r w:rsidR="005B7BD7">
        <w:rPr>
          <w:rFonts w:ascii="Times New Roman" w:eastAsia="Times New Roman" w:hAnsi="Times New Roman" w:cs="Times New Roman"/>
          <w:sz w:val="24"/>
          <w:szCs w:val="20"/>
          <w:lang w:eastAsia="cs-CZ"/>
        </w:rPr>
        <w:t xml:space="preserve">41 – 42). </w:t>
      </w:r>
      <w:r w:rsidR="00716E1E">
        <w:rPr>
          <w:rFonts w:ascii="Times New Roman" w:eastAsia="Times New Roman" w:hAnsi="Times New Roman" w:cs="Times New Roman"/>
          <w:sz w:val="24"/>
          <w:szCs w:val="20"/>
          <w:lang w:eastAsia="cs-CZ"/>
        </w:rPr>
        <w:t xml:space="preserve">Rovněž </w:t>
      </w:r>
      <w:r w:rsidR="00813ED5">
        <w:rPr>
          <w:rFonts w:ascii="Times New Roman" w:eastAsia="Times New Roman" w:hAnsi="Times New Roman" w:cs="Times New Roman"/>
          <w:sz w:val="24"/>
          <w:szCs w:val="20"/>
          <w:lang w:eastAsia="cs-CZ"/>
        </w:rPr>
        <w:t>upravuje správní delikty v souvislosti s AML a sankce za ně (§ 43 – 53).</w:t>
      </w:r>
    </w:p>
    <w:p w14:paraId="360CD6CA" w14:textId="77777777" w:rsidR="001C5DC7" w:rsidRDefault="001C5DC7">
      <w:pPr>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br w:type="page"/>
      </w:r>
    </w:p>
    <w:p w14:paraId="6065A55A" w14:textId="77777777" w:rsidR="00F719E0" w:rsidRDefault="00F719E0" w:rsidP="00BB2935">
      <w:pPr>
        <w:jc w:val="both"/>
        <w:rPr>
          <w:rFonts w:ascii="Times New Roman" w:eastAsia="Times New Roman" w:hAnsi="Times New Roman" w:cs="Times New Roman"/>
          <w:sz w:val="24"/>
          <w:szCs w:val="20"/>
          <w:lang w:eastAsia="cs-CZ"/>
        </w:rPr>
      </w:pPr>
    </w:p>
    <w:p w14:paraId="173FFA2E" w14:textId="77777777" w:rsidR="009C737E" w:rsidRDefault="009C737E" w:rsidP="00AE02E9">
      <w:pPr>
        <w:numPr>
          <w:ilvl w:val="1"/>
          <w:numId w:val="1"/>
        </w:numPr>
        <w:spacing w:after="0" w:line="240" w:lineRule="auto"/>
        <w:ind w:left="0"/>
        <w:jc w:val="both"/>
        <w:rPr>
          <w:rFonts w:ascii="Times New Roman" w:hAnsi="Times New Roman"/>
          <w:sz w:val="24"/>
          <w:szCs w:val="24"/>
        </w:rPr>
      </w:pPr>
      <w:r w:rsidRPr="00AE02E9">
        <w:rPr>
          <w:rFonts w:ascii="Times New Roman" w:hAnsi="Times New Roman"/>
          <w:sz w:val="24"/>
          <w:szCs w:val="24"/>
        </w:rPr>
        <w:t>Identifikace dotčených subjektů</w:t>
      </w:r>
    </w:p>
    <w:p w14:paraId="0C6D73A2" w14:textId="77777777" w:rsidR="00AE02E9" w:rsidRDefault="00AE02E9" w:rsidP="00AE02E9">
      <w:pPr>
        <w:spacing w:after="0" w:line="240" w:lineRule="auto"/>
        <w:jc w:val="both"/>
        <w:rPr>
          <w:rFonts w:ascii="Times New Roman" w:hAnsi="Times New Roman"/>
          <w:sz w:val="24"/>
          <w:szCs w:val="24"/>
        </w:rPr>
      </w:pPr>
    </w:p>
    <w:p w14:paraId="5DF9B4D0" w14:textId="77777777" w:rsidR="00ED099D" w:rsidRDefault="001164BF" w:rsidP="00AE02E9">
      <w:pPr>
        <w:spacing w:after="0" w:line="240" w:lineRule="auto"/>
        <w:jc w:val="both"/>
        <w:rPr>
          <w:rFonts w:ascii="Times New Roman" w:hAnsi="Times New Roman"/>
          <w:sz w:val="24"/>
          <w:szCs w:val="24"/>
        </w:rPr>
      </w:pPr>
      <w:r>
        <w:rPr>
          <w:rFonts w:ascii="Times New Roman" w:hAnsi="Times New Roman"/>
          <w:sz w:val="24"/>
          <w:szCs w:val="24"/>
        </w:rPr>
        <w:t>Novelizace AML zákona se dotkne následujících subjektů</w:t>
      </w:r>
      <w:r w:rsidR="00171408">
        <w:rPr>
          <w:rFonts w:ascii="Times New Roman" w:hAnsi="Times New Roman"/>
          <w:sz w:val="24"/>
          <w:szCs w:val="24"/>
        </w:rPr>
        <w:t>:</w:t>
      </w:r>
    </w:p>
    <w:p w14:paraId="4F9A7AC9" w14:textId="77777777" w:rsidR="001164BF" w:rsidRDefault="001164BF" w:rsidP="00AE02E9">
      <w:pPr>
        <w:spacing w:after="0" w:line="240" w:lineRule="auto"/>
        <w:jc w:val="both"/>
        <w:rPr>
          <w:rFonts w:ascii="Times New Roman" w:hAnsi="Times New Roman"/>
          <w:sz w:val="24"/>
          <w:szCs w:val="24"/>
        </w:rPr>
      </w:pPr>
    </w:p>
    <w:tbl>
      <w:tblPr>
        <w:tblStyle w:val="Mkatabulky"/>
        <w:tblW w:w="0" w:type="auto"/>
        <w:tblLook w:val="04A0" w:firstRow="1" w:lastRow="0" w:firstColumn="1" w:lastColumn="0" w:noHBand="0" w:noVBand="1"/>
      </w:tblPr>
      <w:tblGrid>
        <w:gridCol w:w="1413"/>
        <w:gridCol w:w="2835"/>
        <w:gridCol w:w="4814"/>
      </w:tblGrid>
      <w:tr w:rsidR="001164BF" w:rsidRPr="008F2053" w14:paraId="379771BB" w14:textId="77777777" w:rsidTr="001164BF">
        <w:tc>
          <w:tcPr>
            <w:tcW w:w="4248" w:type="dxa"/>
            <w:gridSpan w:val="2"/>
            <w:shd w:val="clear" w:color="auto" w:fill="DEEAF6" w:themeFill="accent1" w:themeFillTint="33"/>
          </w:tcPr>
          <w:p w14:paraId="74654815" w14:textId="77777777" w:rsidR="001164BF" w:rsidRPr="008F2053" w:rsidRDefault="001164BF" w:rsidP="00AE02E9">
            <w:pPr>
              <w:jc w:val="both"/>
              <w:rPr>
                <w:rFonts w:ascii="Times New Roman" w:hAnsi="Times New Roman"/>
                <w:b/>
                <w:sz w:val="20"/>
                <w:szCs w:val="20"/>
              </w:rPr>
            </w:pPr>
            <w:r w:rsidRPr="008F2053">
              <w:rPr>
                <w:rFonts w:ascii="Times New Roman" w:hAnsi="Times New Roman"/>
                <w:b/>
                <w:sz w:val="20"/>
                <w:szCs w:val="20"/>
              </w:rPr>
              <w:t>Subjekt</w:t>
            </w:r>
          </w:p>
        </w:tc>
        <w:tc>
          <w:tcPr>
            <w:tcW w:w="4814" w:type="dxa"/>
            <w:shd w:val="clear" w:color="auto" w:fill="DEEAF6" w:themeFill="accent1" w:themeFillTint="33"/>
          </w:tcPr>
          <w:p w14:paraId="6C8B5060" w14:textId="77777777" w:rsidR="001164BF" w:rsidRPr="008F2053" w:rsidRDefault="00171408" w:rsidP="00AE02E9">
            <w:pPr>
              <w:jc w:val="both"/>
              <w:rPr>
                <w:rFonts w:ascii="Times New Roman" w:hAnsi="Times New Roman"/>
                <w:b/>
                <w:sz w:val="20"/>
                <w:szCs w:val="20"/>
              </w:rPr>
            </w:pPr>
            <w:r>
              <w:rPr>
                <w:rFonts w:ascii="Times New Roman" w:hAnsi="Times New Roman"/>
                <w:b/>
                <w:sz w:val="20"/>
                <w:szCs w:val="20"/>
              </w:rPr>
              <w:t>Jak je subjekt dotčen</w:t>
            </w:r>
          </w:p>
        </w:tc>
      </w:tr>
      <w:tr w:rsidR="001164BF" w:rsidRPr="008F2053" w14:paraId="4161D128" w14:textId="77777777" w:rsidTr="008F2053">
        <w:tc>
          <w:tcPr>
            <w:tcW w:w="1413" w:type="dxa"/>
          </w:tcPr>
          <w:p w14:paraId="47F2DA57" w14:textId="77777777" w:rsidR="001164BF" w:rsidRPr="008F2053" w:rsidRDefault="005A7E84" w:rsidP="00AE02E9">
            <w:pPr>
              <w:jc w:val="both"/>
              <w:rPr>
                <w:rFonts w:ascii="Times New Roman" w:hAnsi="Times New Roman"/>
                <w:sz w:val="20"/>
                <w:szCs w:val="20"/>
              </w:rPr>
            </w:pPr>
            <w:r w:rsidRPr="008F2053">
              <w:rPr>
                <w:rFonts w:ascii="Times New Roman" w:hAnsi="Times New Roman"/>
                <w:sz w:val="20"/>
                <w:szCs w:val="20"/>
              </w:rPr>
              <w:t>Povinné osoby</w:t>
            </w:r>
          </w:p>
        </w:tc>
        <w:tc>
          <w:tcPr>
            <w:tcW w:w="2835" w:type="dxa"/>
          </w:tcPr>
          <w:p w14:paraId="4AAF196A" w14:textId="77777777" w:rsidR="001164BF" w:rsidRPr="008F2053" w:rsidRDefault="005A7E84" w:rsidP="00AE02E9">
            <w:pPr>
              <w:jc w:val="both"/>
              <w:rPr>
                <w:rFonts w:ascii="Times New Roman" w:hAnsi="Times New Roman"/>
                <w:sz w:val="20"/>
                <w:szCs w:val="20"/>
              </w:rPr>
            </w:pPr>
            <w:r w:rsidRPr="008F2053">
              <w:rPr>
                <w:rFonts w:ascii="Times New Roman" w:hAnsi="Times New Roman"/>
                <w:sz w:val="20"/>
                <w:szCs w:val="20"/>
              </w:rPr>
              <w:t>Úvěrové instituce (banky, spořitelní a úvěrní družstva)</w:t>
            </w:r>
          </w:p>
          <w:p w14:paraId="3A6EE13B" w14:textId="77777777" w:rsidR="005A7E84" w:rsidRPr="008F2053" w:rsidRDefault="005A7E84" w:rsidP="00AE02E9">
            <w:pPr>
              <w:jc w:val="both"/>
              <w:rPr>
                <w:rFonts w:ascii="Times New Roman" w:hAnsi="Times New Roman"/>
                <w:sz w:val="20"/>
                <w:szCs w:val="20"/>
              </w:rPr>
            </w:pPr>
            <w:r w:rsidRPr="008F2053">
              <w:rPr>
                <w:rFonts w:ascii="Times New Roman" w:hAnsi="Times New Roman"/>
                <w:sz w:val="20"/>
                <w:szCs w:val="20"/>
              </w:rPr>
              <w:t>Finanční instituce (např. centrální depozitář, organizátoři trhu s investičními nástroji, pojiš</w:t>
            </w:r>
            <w:r w:rsidR="00345D22">
              <w:rPr>
                <w:rFonts w:ascii="Times New Roman" w:hAnsi="Times New Roman"/>
                <w:sz w:val="20"/>
                <w:szCs w:val="20"/>
              </w:rPr>
              <w:t>ť</w:t>
            </w:r>
            <w:r w:rsidRPr="008F2053">
              <w:rPr>
                <w:rFonts w:ascii="Times New Roman" w:hAnsi="Times New Roman"/>
                <w:sz w:val="20"/>
                <w:szCs w:val="20"/>
              </w:rPr>
              <w:t>ovny, směnárny aj.)</w:t>
            </w:r>
          </w:p>
          <w:p w14:paraId="4AC37996" w14:textId="77777777" w:rsidR="005A7E84" w:rsidRPr="008F2053" w:rsidRDefault="005A7E84" w:rsidP="00AE02E9">
            <w:pPr>
              <w:jc w:val="both"/>
              <w:rPr>
                <w:rFonts w:ascii="Times New Roman" w:hAnsi="Times New Roman"/>
                <w:sz w:val="20"/>
                <w:szCs w:val="20"/>
              </w:rPr>
            </w:pPr>
            <w:r w:rsidRPr="008F2053">
              <w:rPr>
                <w:rFonts w:ascii="Times New Roman" w:hAnsi="Times New Roman"/>
                <w:sz w:val="20"/>
                <w:szCs w:val="20"/>
              </w:rPr>
              <w:t>Auditoři, daňoví poradci a účetní</w:t>
            </w:r>
          </w:p>
          <w:p w14:paraId="481C5193" w14:textId="77777777" w:rsidR="00E943DA" w:rsidRPr="008F2053" w:rsidRDefault="00E943DA" w:rsidP="00AE02E9">
            <w:pPr>
              <w:jc w:val="both"/>
              <w:rPr>
                <w:rFonts w:ascii="Times New Roman" w:hAnsi="Times New Roman"/>
                <w:sz w:val="20"/>
                <w:szCs w:val="20"/>
              </w:rPr>
            </w:pPr>
            <w:r w:rsidRPr="008F2053">
              <w:rPr>
                <w:rFonts w:ascii="Times New Roman" w:hAnsi="Times New Roman"/>
                <w:sz w:val="20"/>
                <w:szCs w:val="20"/>
              </w:rPr>
              <w:t>Notáři</w:t>
            </w:r>
          </w:p>
          <w:p w14:paraId="01724554" w14:textId="77777777" w:rsidR="00E943DA" w:rsidRPr="008F2053" w:rsidRDefault="00E943DA" w:rsidP="00AE02E9">
            <w:pPr>
              <w:jc w:val="both"/>
              <w:rPr>
                <w:rFonts w:ascii="Times New Roman" w:hAnsi="Times New Roman"/>
                <w:sz w:val="20"/>
                <w:szCs w:val="20"/>
              </w:rPr>
            </w:pPr>
            <w:r w:rsidRPr="008F2053">
              <w:rPr>
                <w:rFonts w:ascii="Times New Roman" w:hAnsi="Times New Roman"/>
                <w:sz w:val="20"/>
                <w:szCs w:val="20"/>
              </w:rPr>
              <w:t>Soudní exekutoři</w:t>
            </w:r>
          </w:p>
          <w:p w14:paraId="17DA6196" w14:textId="77777777" w:rsidR="00E943DA" w:rsidRPr="008F2053" w:rsidRDefault="00E943DA" w:rsidP="00AE02E9">
            <w:pPr>
              <w:jc w:val="both"/>
              <w:rPr>
                <w:rFonts w:ascii="Times New Roman" w:hAnsi="Times New Roman"/>
                <w:sz w:val="20"/>
                <w:szCs w:val="20"/>
              </w:rPr>
            </w:pPr>
            <w:r w:rsidRPr="008F2053">
              <w:rPr>
                <w:rFonts w:ascii="Times New Roman" w:hAnsi="Times New Roman"/>
                <w:sz w:val="20"/>
                <w:szCs w:val="20"/>
              </w:rPr>
              <w:t>Advokáti</w:t>
            </w:r>
          </w:p>
          <w:p w14:paraId="2FDE8891" w14:textId="77777777" w:rsidR="00E943DA" w:rsidRPr="008F2053" w:rsidRDefault="00E943DA" w:rsidP="00AE02E9">
            <w:pPr>
              <w:jc w:val="both"/>
              <w:rPr>
                <w:rFonts w:ascii="Times New Roman" w:hAnsi="Times New Roman"/>
                <w:sz w:val="20"/>
                <w:szCs w:val="20"/>
              </w:rPr>
            </w:pPr>
            <w:r w:rsidRPr="008F2053">
              <w:rPr>
                <w:rFonts w:ascii="Times New Roman" w:hAnsi="Times New Roman"/>
                <w:sz w:val="20"/>
                <w:szCs w:val="20"/>
              </w:rPr>
              <w:t>Obchodníci s nemovitostmi</w:t>
            </w:r>
          </w:p>
          <w:p w14:paraId="0729F630" w14:textId="77777777" w:rsidR="00E943DA" w:rsidRPr="008F2053" w:rsidRDefault="00E943DA" w:rsidP="00AE02E9">
            <w:pPr>
              <w:jc w:val="both"/>
              <w:rPr>
                <w:rFonts w:ascii="Times New Roman" w:hAnsi="Times New Roman"/>
                <w:sz w:val="20"/>
                <w:szCs w:val="20"/>
              </w:rPr>
            </w:pPr>
            <w:r w:rsidRPr="008F2053">
              <w:rPr>
                <w:rFonts w:ascii="Times New Roman" w:hAnsi="Times New Roman"/>
                <w:sz w:val="20"/>
                <w:szCs w:val="20"/>
              </w:rPr>
              <w:t>Kasina (potenciálně další provozovatelé hazardních her)</w:t>
            </w:r>
          </w:p>
          <w:p w14:paraId="6FD6408D" w14:textId="77777777" w:rsidR="00E943DA" w:rsidRPr="008F2053" w:rsidRDefault="00E943DA" w:rsidP="00AE02E9">
            <w:pPr>
              <w:jc w:val="both"/>
              <w:rPr>
                <w:rFonts w:ascii="Times New Roman" w:hAnsi="Times New Roman"/>
                <w:sz w:val="20"/>
                <w:szCs w:val="20"/>
              </w:rPr>
            </w:pPr>
            <w:r w:rsidRPr="008F2053">
              <w:rPr>
                <w:rFonts w:ascii="Times New Roman" w:hAnsi="Times New Roman"/>
                <w:sz w:val="20"/>
                <w:szCs w:val="20"/>
              </w:rPr>
              <w:t>Obchodníci se zbožím při hotovostních transakcích (nad EUR 10.000)</w:t>
            </w:r>
          </w:p>
        </w:tc>
        <w:tc>
          <w:tcPr>
            <w:tcW w:w="4814" w:type="dxa"/>
          </w:tcPr>
          <w:p w14:paraId="097750C2" w14:textId="77777777" w:rsidR="001164BF" w:rsidRPr="008F2053" w:rsidRDefault="008F2053" w:rsidP="00AE02E9">
            <w:pPr>
              <w:jc w:val="both"/>
              <w:rPr>
                <w:rFonts w:ascii="Times New Roman" w:hAnsi="Times New Roman"/>
                <w:sz w:val="20"/>
                <w:szCs w:val="20"/>
              </w:rPr>
            </w:pPr>
            <w:r>
              <w:rPr>
                <w:rFonts w:ascii="Times New Roman" w:hAnsi="Times New Roman"/>
                <w:sz w:val="20"/>
                <w:szCs w:val="20"/>
              </w:rPr>
              <w:t xml:space="preserve">Povinné osoby implementují pravidla AML zákona, musí identifikovat klienty, resp. konečné vlastníky, monitorovat obchodní vztah, reportovat podezřelé transakce FAÚ, vést záznamy a obecně se podřídit AML režimu. </w:t>
            </w:r>
          </w:p>
        </w:tc>
      </w:tr>
      <w:tr w:rsidR="008F2053" w:rsidRPr="008F2053" w14:paraId="5ECB2EA7" w14:textId="77777777" w:rsidTr="008F2053">
        <w:tc>
          <w:tcPr>
            <w:tcW w:w="1413" w:type="dxa"/>
          </w:tcPr>
          <w:p w14:paraId="60A1CB96" w14:textId="77777777" w:rsidR="008F2053" w:rsidRPr="008F2053" w:rsidRDefault="008F2053" w:rsidP="00AE02E9">
            <w:pPr>
              <w:jc w:val="both"/>
              <w:rPr>
                <w:rFonts w:ascii="Times New Roman" w:hAnsi="Times New Roman"/>
                <w:sz w:val="20"/>
                <w:szCs w:val="20"/>
              </w:rPr>
            </w:pPr>
            <w:r>
              <w:rPr>
                <w:rFonts w:ascii="Times New Roman" w:hAnsi="Times New Roman"/>
                <w:sz w:val="20"/>
                <w:szCs w:val="20"/>
              </w:rPr>
              <w:t>Orgány veřejné moci</w:t>
            </w:r>
          </w:p>
        </w:tc>
        <w:tc>
          <w:tcPr>
            <w:tcW w:w="2835" w:type="dxa"/>
          </w:tcPr>
          <w:p w14:paraId="3A0C3473" w14:textId="77777777" w:rsidR="008F2053" w:rsidRDefault="008F2053" w:rsidP="00AE02E9">
            <w:pPr>
              <w:jc w:val="both"/>
              <w:rPr>
                <w:rFonts w:ascii="Times New Roman" w:hAnsi="Times New Roman"/>
                <w:sz w:val="20"/>
                <w:szCs w:val="20"/>
              </w:rPr>
            </w:pPr>
            <w:r>
              <w:rPr>
                <w:rFonts w:ascii="Times New Roman" w:hAnsi="Times New Roman"/>
                <w:sz w:val="20"/>
                <w:szCs w:val="20"/>
              </w:rPr>
              <w:t>FAÚ</w:t>
            </w:r>
          </w:p>
          <w:p w14:paraId="0144FC65" w14:textId="77777777" w:rsidR="008F2053" w:rsidRDefault="008F2053" w:rsidP="00AE02E9">
            <w:pPr>
              <w:jc w:val="both"/>
              <w:rPr>
                <w:rFonts w:ascii="Times New Roman" w:hAnsi="Times New Roman"/>
                <w:sz w:val="20"/>
                <w:szCs w:val="20"/>
              </w:rPr>
            </w:pPr>
            <w:r>
              <w:rPr>
                <w:rFonts w:ascii="Times New Roman" w:hAnsi="Times New Roman"/>
                <w:sz w:val="20"/>
                <w:szCs w:val="20"/>
              </w:rPr>
              <w:t>Dohledové orgány</w:t>
            </w:r>
          </w:p>
          <w:p w14:paraId="4E934F49" w14:textId="77777777" w:rsidR="008F2053" w:rsidRPr="008F2053" w:rsidRDefault="008F2053" w:rsidP="00AE02E9">
            <w:pPr>
              <w:jc w:val="both"/>
              <w:rPr>
                <w:rFonts w:ascii="Times New Roman" w:hAnsi="Times New Roman"/>
                <w:sz w:val="20"/>
                <w:szCs w:val="20"/>
              </w:rPr>
            </w:pPr>
            <w:r>
              <w:rPr>
                <w:rFonts w:ascii="Times New Roman" w:hAnsi="Times New Roman"/>
                <w:sz w:val="20"/>
                <w:szCs w:val="20"/>
              </w:rPr>
              <w:t>Orgány činné v trestním řízení</w:t>
            </w:r>
          </w:p>
        </w:tc>
        <w:tc>
          <w:tcPr>
            <w:tcW w:w="4814" w:type="dxa"/>
          </w:tcPr>
          <w:p w14:paraId="04557DE3" w14:textId="3C513E02" w:rsidR="008F2053" w:rsidRDefault="00171408" w:rsidP="00171408">
            <w:pPr>
              <w:jc w:val="both"/>
              <w:rPr>
                <w:rFonts w:ascii="Times New Roman" w:hAnsi="Times New Roman"/>
                <w:sz w:val="20"/>
                <w:szCs w:val="20"/>
              </w:rPr>
            </w:pPr>
            <w:r>
              <w:rPr>
                <w:rFonts w:ascii="Times New Roman" w:hAnsi="Times New Roman"/>
                <w:sz w:val="20"/>
                <w:szCs w:val="20"/>
              </w:rPr>
              <w:t xml:space="preserve">Implementují a vynucují AML legislativu a chrání finanční systém proti </w:t>
            </w:r>
            <w:r w:rsidR="0040278F">
              <w:rPr>
                <w:rFonts w:ascii="Times New Roman" w:hAnsi="Times New Roman"/>
                <w:sz w:val="20"/>
                <w:szCs w:val="20"/>
              </w:rPr>
              <w:t xml:space="preserve">jeho </w:t>
            </w:r>
            <w:r>
              <w:rPr>
                <w:rFonts w:ascii="Times New Roman" w:hAnsi="Times New Roman"/>
                <w:sz w:val="20"/>
                <w:szCs w:val="20"/>
              </w:rPr>
              <w:t>zneužití (ML/TF).</w:t>
            </w:r>
          </w:p>
        </w:tc>
      </w:tr>
      <w:tr w:rsidR="00171408" w:rsidRPr="008F2053" w14:paraId="2A051EFB" w14:textId="77777777" w:rsidTr="008F2053">
        <w:tc>
          <w:tcPr>
            <w:tcW w:w="1413" w:type="dxa"/>
          </w:tcPr>
          <w:p w14:paraId="33C9978F" w14:textId="77777777" w:rsidR="00171408" w:rsidRDefault="00171408" w:rsidP="00AE02E9">
            <w:pPr>
              <w:jc w:val="both"/>
              <w:rPr>
                <w:rFonts w:ascii="Times New Roman" w:hAnsi="Times New Roman"/>
                <w:sz w:val="20"/>
                <w:szCs w:val="20"/>
              </w:rPr>
            </w:pPr>
            <w:r>
              <w:rPr>
                <w:rFonts w:ascii="Times New Roman" w:hAnsi="Times New Roman"/>
                <w:sz w:val="20"/>
                <w:szCs w:val="20"/>
              </w:rPr>
              <w:t>Klienti</w:t>
            </w:r>
          </w:p>
        </w:tc>
        <w:tc>
          <w:tcPr>
            <w:tcW w:w="2835" w:type="dxa"/>
          </w:tcPr>
          <w:p w14:paraId="57C80916" w14:textId="77777777" w:rsidR="00171408" w:rsidRDefault="00171408" w:rsidP="00AE02E9">
            <w:pPr>
              <w:jc w:val="both"/>
              <w:rPr>
                <w:rFonts w:ascii="Times New Roman" w:hAnsi="Times New Roman"/>
                <w:sz w:val="20"/>
                <w:szCs w:val="20"/>
              </w:rPr>
            </w:pPr>
            <w:r>
              <w:rPr>
                <w:rFonts w:ascii="Times New Roman" w:hAnsi="Times New Roman"/>
                <w:sz w:val="20"/>
                <w:szCs w:val="20"/>
              </w:rPr>
              <w:t>Klienti povinných osob</w:t>
            </w:r>
          </w:p>
        </w:tc>
        <w:tc>
          <w:tcPr>
            <w:tcW w:w="4814" w:type="dxa"/>
          </w:tcPr>
          <w:p w14:paraId="30117D6A" w14:textId="77777777" w:rsidR="00171408" w:rsidRDefault="001333EF" w:rsidP="00171408">
            <w:pPr>
              <w:jc w:val="both"/>
              <w:rPr>
                <w:rFonts w:ascii="Times New Roman" w:hAnsi="Times New Roman"/>
                <w:sz w:val="20"/>
                <w:szCs w:val="20"/>
              </w:rPr>
            </w:pPr>
            <w:r>
              <w:rPr>
                <w:rFonts w:ascii="Times New Roman" w:hAnsi="Times New Roman"/>
                <w:sz w:val="20"/>
                <w:szCs w:val="20"/>
              </w:rPr>
              <w:t>Musí se podřídit identifikaci a kontrole povinných osob. Mohou být dotčen</w:t>
            </w:r>
            <w:r w:rsidR="004116AB">
              <w:rPr>
                <w:rFonts w:ascii="Times New Roman" w:hAnsi="Times New Roman"/>
                <w:sz w:val="20"/>
                <w:szCs w:val="20"/>
              </w:rPr>
              <w:t>i</w:t>
            </w:r>
            <w:r>
              <w:rPr>
                <w:rFonts w:ascii="Times New Roman" w:hAnsi="Times New Roman"/>
                <w:sz w:val="20"/>
                <w:szCs w:val="20"/>
              </w:rPr>
              <w:t xml:space="preserve"> užším přístupem ke službám povinných osob, příp. služby mohou mít vyšší cenu kvůli vyšším AML nákladům.</w:t>
            </w:r>
          </w:p>
        </w:tc>
      </w:tr>
      <w:tr w:rsidR="001333EF" w:rsidRPr="008F2053" w14:paraId="7CC718FD" w14:textId="77777777" w:rsidTr="008F2053">
        <w:tc>
          <w:tcPr>
            <w:tcW w:w="1413" w:type="dxa"/>
          </w:tcPr>
          <w:p w14:paraId="21824400" w14:textId="77777777" w:rsidR="001333EF" w:rsidRDefault="001333EF" w:rsidP="00AE02E9">
            <w:pPr>
              <w:jc w:val="both"/>
              <w:rPr>
                <w:rFonts w:ascii="Times New Roman" w:hAnsi="Times New Roman"/>
                <w:sz w:val="20"/>
                <w:szCs w:val="20"/>
              </w:rPr>
            </w:pPr>
            <w:r>
              <w:rPr>
                <w:rFonts w:ascii="Times New Roman" w:hAnsi="Times New Roman"/>
                <w:sz w:val="20"/>
                <w:szCs w:val="20"/>
              </w:rPr>
              <w:t>Podnikání</w:t>
            </w:r>
          </w:p>
        </w:tc>
        <w:tc>
          <w:tcPr>
            <w:tcW w:w="2835" w:type="dxa"/>
          </w:tcPr>
          <w:p w14:paraId="1D776C0C" w14:textId="77777777" w:rsidR="001333EF" w:rsidRDefault="001333EF" w:rsidP="00AE02E9">
            <w:pPr>
              <w:jc w:val="both"/>
              <w:rPr>
                <w:rFonts w:ascii="Times New Roman" w:hAnsi="Times New Roman"/>
                <w:sz w:val="20"/>
                <w:szCs w:val="20"/>
              </w:rPr>
            </w:pPr>
            <w:r>
              <w:rPr>
                <w:rFonts w:ascii="Times New Roman" w:hAnsi="Times New Roman"/>
                <w:sz w:val="20"/>
                <w:szCs w:val="20"/>
              </w:rPr>
              <w:t>Obecně podnikatelé</w:t>
            </w:r>
          </w:p>
        </w:tc>
        <w:tc>
          <w:tcPr>
            <w:tcW w:w="4814" w:type="dxa"/>
          </w:tcPr>
          <w:p w14:paraId="0978DD1B" w14:textId="77777777" w:rsidR="001333EF" w:rsidRDefault="001333EF" w:rsidP="00171408">
            <w:pPr>
              <w:jc w:val="both"/>
              <w:rPr>
                <w:rFonts w:ascii="Times New Roman" w:hAnsi="Times New Roman"/>
                <w:sz w:val="20"/>
                <w:szCs w:val="20"/>
              </w:rPr>
            </w:pPr>
            <w:r>
              <w:rPr>
                <w:rFonts w:ascii="Times New Roman" w:hAnsi="Times New Roman"/>
                <w:sz w:val="20"/>
                <w:szCs w:val="20"/>
              </w:rPr>
              <w:t>Přísnější omezení sice mohou komplikovat obchodní transakce, nicméně absence AML režimu by zvýšila rizika spojená s praním peněz a financováním terorismu, což by zpětně škodilo obchodním zájmům.</w:t>
            </w:r>
          </w:p>
        </w:tc>
      </w:tr>
      <w:tr w:rsidR="00082F07" w:rsidRPr="008F2053" w14:paraId="38F93ED1" w14:textId="77777777" w:rsidTr="008F2053">
        <w:tc>
          <w:tcPr>
            <w:tcW w:w="1413" w:type="dxa"/>
          </w:tcPr>
          <w:p w14:paraId="7D16AD59" w14:textId="77777777" w:rsidR="00082F07" w:rsidRDefault="00082F07" w:rsidP="00AE02E9">
            <w:pPr>
              <w:jc w:val="both"/>
              <w:rPr>
                <w:rFonts w:ascii="Times New Roman" w:hAnsi="Times New Roman"/>
                <w:sz w:val="20"/>
                <w:szCs w:val="20"/>
              </w:rPr>
            </w:pPr>
            <w:r>
              <w:rPr>
                <w:rFonts w:ascii="Times New Roman" w:hAnsi="Times New Roman"/>
                <w:sz w:val="20"/>
                <w:szCs w:val="20"/>
              </w:rPr>
              <w:t>Pachatelé trestné činnosti</w:t>
            </w:r>
          </w:p>
        </w:tc>
        <w:tc>
          <w:tcPr>
            <w:tcW w:w="2835" w:type="dxa"/>
          </w:tcPr>
          <w:p w14:paraId="6A0530E1" w14:textId="77777777" w:rsidR="00082F07" w:rsidRDefault="00082F07" w:rsidP="00082F07">
            <w:pPr>
              <w:jc w:val="both"/>
              <w:rPr>
                <w:rFonts w:ascii="Times New Roman" w:hAnsi="Times New Roman"/>
                <w:sz w:val="20"/>
                <w:szCs w:val="20"/>
              </w:rPr>
            </w:pPr>
            <w:r>
              <w:rPr>
                <w:rFonts w:ascii="Times New Roman" w:hAnsi="Times New Roman"/>
                <w:sz w:val="20"/>
                <w:szCs w:val="20"/>
              </w:rPr>
              <w:t>Pachatelé majetkové TČ s potřebou legalizovat výnosy, teroristé, zkorumpované politicky exponované osoby (PEP)</w:t>
            </w:r>
          </w:p>
        </w:tc>
        <w:tc>
          <w:tcPr>
            <w:tcW w:w="4814" w:type="dxa"/>
          </w:tcPr>
          <w:p w14:paraId="64312A30" w14:textId="77777777" w:rsidR="00082F07" w:rsidRDefault="00082F07" w:rsidP="00171408">
            <w:pPr>
              <w:jc w:val="both"/>
              <w:rPr>
                <w:rFonts w:ascii="Times New Roman" w:hAnsi="Times New Roman"/>
                <w:sz w:val="20"/>
                <w:szCs w:val="20"/>
              </w:rPr>
            </w:pPr>
            <w:r>
              <w:rPr>
                <w:rFonts w:ascii="Times New Roman" w:hAnsi="Times New Roman"/>
                <w:sz w:val="20"/>
                <w:szCs w:val="20"/>
              </w:rPr>
              <w:t>Znemožňuje se jim zneužívání finančního systému, resp. pokud ke zneužití dojde, zvyšuje se pravděpodobnost odhalení a stíhání v důsledku přijatých opatření.</w:t>
            </w:r>
          </w:p>
          <w:p w14:paraId="4D2C5658" w14:textId="77777777" w:rsidR="00082F07" w:rsidRDefault="00082F07" w:rsidP="00171408">
            <w:pPr>
              <w:jc w:val="both"/>
              <w:rPr>
                <w:rFonts w:ascii="Times New Roman" w:hAnsi="Times New Roman"/>
                <w:sz w:val="20"/>
                <w:szCs w:val="20"/>
              </w:rPr>
            </w:pPr>
            <w:r>
              <w:rPr>
                <w:rFonts w:ascii="Times New Roman" w:hAnsi="Times New Roman"/>
                <w:sz w:val="20"/>
                <w:szCs w:val="20"/>
              </w:rPr>
              <w:t>Zároveň platí, že pachatelé jsou velmi zdatní v odhalování a využívání jakýchkoli mezer v systému.</w:t>
            </w:r>
          </w:p>
        </w:tc>
      </w:tr>
      <w:tr w:rsidR="00082F07" w:rsidRPr="008F2053" w14:paraId="1DB7436B" w14:textId="77777777" w:rsidTr="008F2053">
        <w:tc>
          <w:tcPr>
            <w:tcW w:w="1413" w:type="dxa"/>
          </w:tcPr>
          <w:p w14:paraId="4CEBB164" w14:textId="77777777" w:rsidR="00082F07" w:rsidRDefault="00082F07" w:rsidP="00AE02E9">
            <w:pPr>
              <w:jc w:val="both"/>
              <w:rPr>
                <w:rFonts w:ascii="Times New Roman" w:hAnsi="Times New Roman"/>
                <w:sz w:val="20"/>
                <w:szCs w:val="20"/>
              </w:rPr>
            </w:pPr>
            <w:r>
              <w:rPr>
                <w:rFonts w:ascii="Times New Roman" w:hAnsi="Times New Roman"/>
                <w:sz w:val="20"/>
                <w:szCs w:val="20"/>
              </w:rPr>
              <w:t>Občané ČR</w:t>
            </w:r>
          </w:p>
        </w:tc>
        <w:tc>
          <w:tcPr>
            <w:tcW w:w="2835" w:type="dxa"/>
          </w:tcPr>
          <w:p w14:paraId="09011E86" w14:textId="77777777" w:rsidR="00082F07" w:rsidRDefault="00082F07" w:rsidP="00082F07">
            <w:pPr>
              <w:jc w:val="both"/>
              <w:rPr>
                <w:rFonts w:ascii="Times New Roman" w:hAnsi="Times New Roman"/>
                <w:sz w:val="20"/>
                <w:szCs w:val="20"/>
              </w:rPr>
            </w:pPr>
            <w:r>
              <w:rPr>
                <w:rFonts w:ascii="Times New Roman" w:hAnsi="Times New Roman"/>
                <w:sz w:val="20"/>
                <w:szCs w:val="20"/>
              </w:rPr>
              <w:t>Občané ČR a osoby žijící na území ČR</w:t>
            </w:r>
          </w:p>
        </w:tc>
        <w:tc>
          <w:tcPr>
            <w:tcW w:w="4814" w:type="dxa"/>
          </w:tcPr>
          <w:p w14:paraId="0AFCC251" w14:textId="77777777" w:rsidR="00261147" w:rsidRDefault="00261147" w:rsidP="00676D60">
            <w:pPr>
              <w:jc w:val="both"/>
              <w:rPr>
                <w:rFonts w:ascii="Times New Roman" w:hAnsi="Times New Roman"/>
                <w:sz w:val="20"/>
                <w:szCs w:val="20"/>
              </w:rPr>
            </w:pPr>
            <w:r>
              <w:rPr>
                <w:rFonts w:ascii="Times New Roman" w:hAnsi="Times New Roman"/>
                <w:sz w:val="20"/>
                <w:szCs w:val="20"/>
              </w:rPr>
              <w:t>Jsou v důsledku kvalitní AML/CTF politiky zprostředkovaně beneficienty ochrany před trestnou činností a teroristickými útoky a prevence před korupcí, daňovým</w:t>
            </w:r>
            <w:r w:rsidR="00676D60">
              <w:rPr>
                <w:rFonts w:ascii="Times New Roman" w:hAnsi="Times New Roman"/>
                <w:sz w:val="20"/>
                <w:szCs w:val="20"/>
              </w:rPr>
              <w:t>i</w:t>
            </w:r>
            <w:r>
              <w:rPr>
                <w:rFonts w:ascii="Times New Roman" w:hAnsi="Times New Roman"/>
                <w:sz w:val="20"/>
                <w:szCs w:val="20"/>
              </w:rPr>
              <w:t xml:space="preserve"> únik</w:t>
            </w:r>
            <w:r w:rsidR="00676D60">
              <w:rPr>
                <w:rFonts w:ascii="Times New Roman" w:hAnsi="Times New Roman"/>
                <w:sz w:val="20"/>
                <w:szCs w:val="20"/>
              </w:rPr>
              <w:t>y</w:t>
            </w:r>
            <w:r>
              <w:rPr>
                <w:rFonts w:ascii="Times New Roman" w:hAnsi="Times New Roman"/>
                <w:sz w:val="20"/>
                <w:szCs w:val="20"/>
              </w:rPr>
              <w:t xml:space="preserve"> apod.</w:t>
            </w:r>
          </w:p>
        </w:tc>
      </w:tr>
      <w:tr w:rsidR="00261147" w:rsidRPr="008F2053" w14:paraId="33D2DDDF" w14:textId="77777777" w:rsidTr="008F2053">
        <w:tc>
          <w:tcPr>
            <w:tcW w:w="1413" w:type="dxa"/>
          </w:tcPr>
          <w:p w14:paraId="1AA216DF" w14:textId="77777777" w:rsidR="00261147" w:rsidRDefault="00261147" w:rsidP="00AE02E9">
            <w:pPr>
              <w:jc w:val="both"/>
              <w:rPr>
                <w:rFonts w:ascii="Times New Roman" w:hAnsi="Times New Roman"/>
                <w:sz w:val="20"/>
                <w:szCs w:val="20"/>
              </w:rPr>
            </w:pPr>
            <w:r>
              <w:rPr>
                <w:rFonts w:ascii="Times New Roman" w:hAnsi="Times New Roman"/>
                <w:sz w:val="20"/>
                <w:szCs w:val="20"/>
              </w:rPr>
              <w:t>Neobčané ČR</w:t>
            </w:r>
          </w:p>
        </w:tc>
        <w:tc>
          <w:tcPr>
            <w:tcW w:w="2835" w:type="dxa"/>
          </w:tcPr>
          <w:p w14:paraId="575428ED" w14:textId="77777777" w:rsidR="00261147" w:rsidRDefault="00261147" w:rsidP="00082F07">
            <w:pPr>
              <w:jc w:val="both"/>
              <w:rPr>
                <w:rFonts w:ascii="Times New Roman" w:hAnsi="Times New Roman"/>
                <w:sz w:val="20"/>
                <w:szCs w:val="20"/>
              </w:rPr>
            </w:pPr>
            <w:r>
              <w:rPr>
                <w:rFonts w:ascii="Times New Roman" w:hAnsi="Times New Roman"/>
                <w:sz w:val="20"/>
                <w:szCs w:val="20"/>
              </w:rPr>
              <w:t>Okolní státy a jejich občané</w:t>
            </w:r>
          </w:p>
        </w:tc>
        <w:tc>
          <w:tcPr>
            <w:tcW w:w="4814" w:type="dxa"/>
          </w:tcPr>
          <w:p w14:paraId="52B2E39D" w14:textId="77777777" w:rsidR="00261147" w:rsidRDefault="00261147" w:rsidP="00171408">
            <w:pPr>
              <w:jc w:val="both"/>
              <w:rPr>
                <w:rFonts w:ascii="Times New Roman" w:hAnsi="Times New Roman"/>
                <w:sz w:val="20"/>
                <w:szCs w:val="20"/>
              </w:rPr>
            </w:pPr>
            <w:r>
              <w:rPr>
                <w:rFonts w:ascii="Times New Roman" w:hAnsi="Times New Roman"/>
                <w:sz w:val="20"/>
                <w:szCs w:val="20"/>
              </w:rPr>
              <w:t>Jsou v důsledku české AML/CTF politiky zprostředkovaně beneficienty ochrany před zneužíváním českého finančního systému pro účely praní peněz či financování terorismu.</w:t>
            </w:r>
          </w:p>
        </w:tc>
      </w:tr>
    </w:tbl>
    <w:p w14:paraId="3B9673B4" w14:textId="77777777" w:rsidR="001164BF" w:rsidRPr="00082F07" w:rsidRDefault="00082F07" w:rsidP="00082F07">
      <w:pPr>
        <w:spacing w:after="0" w:line="240" w:lineRule="auto"/>
        <w:jc w:val="right"/>
        <w:rPr>
          <w:rFonts w:ascii="Times New Roman" w:hAnsi="Times New Roman"/>
          <w:i/>
          <w:sz w:val="20"/>
          <w:szCs w:val="20"/>
        </w:rPr>
      </w:pPr>
      <w:r w:rsidRPr="00082F07">
        <w:rPr>
          <w:rFonts w:ascii="Times New Roman" w:hAnsi="Times New Roman"/>
          <w:i/>
          <w:sz w:val="20"/>
          <w:szCs w:val="20"/>
        </w:rPr>
        <w:t>(Zdroj: Studie dopadů EK)</w:t>
      </w:r>
    </w:p>
    <w:p w14:paraId="15E18301" w14:textId="77777777" w:rsidR="001164BF" w:rsidRDefault="001164BF" w:rsidP="00AE02E9">
      <w:pPr>
        <w:spacing w:after="0" w:line="240" w:lineRule="auto"/>
        <w:jc w:val="both"/>
        <w:rPr>
          <w:rFonts w:ascii="Times New Roman" w:hAnsi="Times New Roman"/>
          <w:sz w:val="24"/>
          <w:szCs w:val="24"/>
        </w:rPr>
      </w:pPr>
    </w:p>
    <w:p w14:paraId="076B8333" w14:textId="77777777" w:rsidR="008E2499" w:rsidRDefault="005254A0" w:rsidP="00AE02E9">
      <w:pPr>
        <w:spacing w:after="0" w:line="240" w:lineRule="auto"/>
        <w:jc w:val="both"/>
        <w:rPr>
          <w:rFonts w:ascii="Times New Roman" w:hAnsi="Times New Roman"/>
          <w:sz w:val="24"/>
          <w:szCs w:val="24"/>
        </w:rPr>
      </w:pPr>
      <w:r>
        <w:rPr>
          <w:rFonts w:ascii="Times New Roman" w:hAnsi="Times New Roman"/>
          <w:sz w:val="24"/>
          <w:szCs w:val="24"/>
        </w:rPr>
        <w:t>Zvláště lze jako dotčené subjekty zmínit svěřenské fondy a politicky exponované osoby (viz níže.).</w:t>
      </w:r>
      <w:r w:rsidR="008E2499">
        <w:rPr>
          <w:rFonts w:ascii="Times New Roman" w:hAnsi="Times New Roman"/>
          <w:sz w:val="24"/>
          <w:szCs w:val="24"/>
        </w:rPr>
        <w:t xml:space="preserve"> </w:t>
      </w:r>
    </w:p>
    <w:p w14:paraId="4294FA18" w14:textId="77777777" w:rsidR="001164BF" w:rsidRDefault="008E2499" w:rsidP="00AE02E9">
      <w:pPr>
        <w:spacing w:after="0" w:line="240" w:lineRule="auto"/>
        <w:jc w:val="both"/>
        <w:rPr>
          <w:rFonts w:ascii="Times New Roman" w:hAnsi="Times New Roman"/>
          <w:sz w:val="24"/>
          <w:szCs w:val="24"/>
        </w:rPr>
      </w:pPr>
      <w:r>
        <w:rPr>
          <w:rFonts w:ascii="Times New Roman" w:hAnsi="Times New Roman"/>
          <w:sz w:val="24"/>
          <w:szCs w:val="24"/>
        </w:rPr>
        <w:t>Dále mezi dotčené subjekty patří orgány stavovské samosprávy u vybraných profesí, např. Česká advokátní komora, Notářská komora ČR, Komora auditorů ČR, Komora daňových poradců, Exekutorská komora ČR; přičemž těmto orgánům je svěřena dozorová činnost nad plněním AML povinností dle AMLZ u dotčených profesí.</w:t>
      </w:r>
    </w:p>
    <w:p w14:paraId="684B37E5" w14:textId="77777777" w:rsidR="008E2499" w:rsidRDefault="008E2499" w:rsidP="00AE02E9">
      <w:pPr>
        <w:spacing w:after="0" w:line="240" w:lineRule="auto"/>
        <w:jc w:val="both"/>
        <w:rPr>
          <w:rFonts w:ascii="Times New Roman" w:hAnsi="Times New Roman"/>
          <w:sz w:val="24"/>
          <w:szCs w:val="24"/>
        </w:rPr>
      </w:pPr>
    </w:p>
    <w:p w14:paraId="35B15820" w14:textId="77777777" w:rsidR="001B5CF1" w:rsidRDefault="009C737E" w:rsidP="008234CA">
      <w:pPr>
        <w:numPr>
          <w:ilvl w:val="1"/>
          <w:numId w:val="1"/>
        </w:numPr>
        <w:spacing w:after="0" w:line="240" w:lineRule="auto"/>
        <w:ind w:left="0"/>
        <w:jc w:val="both"/>
        <w:rPr>
          <w:rFonts w:ascii="Times New Roman" w:hAnsi="Times New Roman"/>
          <w:sz w:val="24"/>
          <w:szCs w:val="24"/>
        </w:rPr>
      </w:pPr>
      <w:r w:rsidRPr="001B5CF1">
        <w:rPr>
          <w:rFonts w:ascii="Times New Roman" w:hAnsi="Times New Roman"/>
          <w:sz w:val="24"/>
          <w:szCs w:val="24"/>
        </w:rPr>
        <w:t>Popis cílového stavu</w:t>
      </w:r>
    </w:p>
    <w:p w14:paraId="6F8EA328" w14:textId="77777777" w:rsidR="004F10B9" w:rsidRDefault="004F10B9" w:rsidP="004F10B9">
      <w:pPr>
        <w:spacing w:after="0" w:line="240" w:lineRule="auto"/>
        <w:jc w:val="both"/>
        <w:rPr>
          <w:rFonts w:ascii="Times New Roman" w:hAnsi="Times New Roman"/>
          <w:sz w:val="24"/>
          <w:szCs w:val="24"/>
        </w:rPr>
      </w:pPr>
    </w:p>
    <w:p w14:paraId="4E162613" w14:textId="77777777" w:rsidR="004F10B9" w:rsidRDefault="004F10B9" w:rsidP="004F10B9">
      <w:pPr>
        <w:spacing w:after="0" w:line="240" w:lineRule="auto"/>
        <w:jc w:val="both"/>
        <w:rPr>
          <w:rFonts w:ascii="Times New Roman" w:hAnsi="Times New Roman"/>
          <w:sz w:val="24"/>
          <w:szCs w:val="24"/>
        </w:rPr>
      </w:pPr>
      <w:r>
        <w:rPr>
          <w:rFonts w:ascii="Times New Roman" w:hAnsi="Times New Roman"/>
          <w:sz w:val="24"/>
          <w:szCs w:val="24"/>
        </w:rPr>
        <w:t>V obecné rovině lze cílový stav popsat následovně:</w:t>
      </w:r>
    </w:p>
    <w:p w14:paraId="42BF7A26" w14:textId="77777777" w:rsidR="004F10B9" w:rsidRDefault="004F10B9" w:rsidP="004F10B9">
      <w:pPr>
        <w:spacing w:after="0" w:line="240" w:lineRule="auto"/>
        <w:jc w:val="both"/>
        <w:rPr>
          <w:rFonts w:ascii="Times New Roman" w:hAnsi="Times New Roman"/>
          <w:sz w:val="24"/>
          <w:szCs w:val="24"/>
        </w:rPr>
      </w:pPr>
    </w:p>
    <w:p w14:paraId="46BDD613" w14:textId="77777777" w:rsidR="004F10B9" w:rsidRPr="004F10B9" w:rsidRDefault="004F10B9" w:rsidP="004F10B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0"/>
          <w:szCs w:val="20"/>
        </w:rPr>
      </w:pPr>
      <w:r w:rsidRPr="004F10B9">
        <w:rPr>
          <w:rFonts w:ascii="Times New Roman" w:hAnsi="Times New Roman"/>
          <w:sz w:val="20"/>
          <w:szCs w:val="20"/>
        </w:rPr>
        <w:t xml:space="preserve">Hlavními cíli navrhovaných opatření je </w:t>
      </w:r>
      <w:proofErr w:type="gramStart"/>
      <w:r w:rsidRPr="004F10B9">
        <w:rPr>
          <w:rFonts w:ascii="Times New Roman" w:hAnsi="Times New Roman"/>
          <w:sz w:val="20"/>
          <w:szCs w:val="20"/>
        </w:rPr>
        <w:t xml:space="preserve">posílit </w:t>
      </w:r>
      <w:r w:rsidRPr="00A8208C">
        <w:rPr>
          <w:rFonts w:ascii="Times New Roman" w:hAnsi="Times New Roman"/>
          <w:sz w:val="20"/>
          <w:szCs w:val="20"/>
        </w:rPr>
        <w:t>[...]</w:t>
      </w:r>
      <w:r w:rsidRPr="004F10B9">
        <w:rPr>
          <w:rFonts w:ascii="Times New Roman" w:hAnsi="Times New Roman"/>
          <w:sz w:val="20"/>
          <w:szCs w:val="20"/>
        </w:rPr>
        <w:t xml:space="preserve"> trh</w:t>
      </w:r>
      <w:proofErr w:type="gramEnd"/>
      <w:r w:rsidRPr="004F10B9">
        <w:rPr>
          <w:rFonts w:ascii="Times New Roman" w:hAnsi="Times New Roman"/>
          <w:sz w:val="20"/>
          <w:szCs w:val="20"/>
        </w:rPr>
        <w:t xml:space="preserve"> </w:t>
      </w:r>
      <w:r w:rsidR="00E97BEE" w:rsidRPr="00A8208C">
        <w:rPr>
          <w:rFonts w:ascii="Times New Roman" w:hAnsi="Times New Roman"/>
          <w:sz w:val="20"/>
          <w:szCs w:val="20"/>
        </w:rPr>
        <w:t>[...]</w:t>
      </w:r>
      <w:r w:rsidRPr="004F10B9">
        <w:rPr>
          <w:rFonts w:ascii="Times New Roman" w:hAnsi="Times New Roman"/>
          <w:sz w:val="20"/>
          <w:szCs w:val="20"/>
        </w:rPr>
        <w:t xml:space="preserve">, ochránit zájmy společnosti před trestnou činností a teroristickými činy, zabezpečit ekonomickou prosperitu </w:t>
      </w:r>
      <w:r w:rsidRPr="00A8208C">
        <w:rPr>
          <w:rFonts w:ascii="Times New Roman" w:hAnsi="Times New Roman"/>
          <w:sz w:val="20"/>
          <w:szCs w:val="20"/>
        </w:rPr>
        <w:t xml:space="preserve">[...] </w:t>
      </w:r>
      <w:r w:rsidRPr="004F10B9">
        <w:rPr>
          <w:rFonts w:ascii="Times New Roman" w:hAnsi="Times New Roman"/>
          <w:sz w:val="20"/>
          <w:szCs w:val="20"/>
        </w:rPr>
        <w:t xml:space="preserve">zajištěním efektivního podnikatelského prostředí, přispět k finanční stabilitě ochranou spolehlivého a řádného fungování finančního systému a jeho integrity. </w:t>
      </w:r>
    </w:p>
    <w:p w14:paraId="7BCA81AC" w14:textId="77777777" w:rsidR="004F10B9" w:rsidRPr="004F10B9" w:rsidRDefault="004F10B9" w:rsidP="004F10B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0"/>
          <w:szCs w:val="20"/>
        </w:rPr>
      </w:pPr>
    </w:p>
    <w:p w14:paraId="22DD9D78" w14:textId="77777777" w:rsidR="004F10B9" w:rsidRPr="004F10B9" w:rsidRDefault="004F10B9" w:rsidP="004F10B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0"/>
          <w:szCs w:val="20"/>
        </w:rPr>
      </w:pPr>
      <w:r w:rsidRPr="004F10B9">
        <w:rPr>
          <w:rFonts w:ascii="Times New Roman" w:hAnsi="Times New Roman"/>
          <w:sz w:val="20"/>
          <w:szCs w:val="20"/>
        </w:rPr>
        <w:t xml:space="preserve">Těchto cílů bude dosaženo zajištěním souladu mezi </w:t>
      </w:r>
      <w:proofErr w:type="gramStart"/>
      <w:r w:rsidRPr="004F10B9">
        <w:rPr>
          <w:rFonts w:ascii="Times New Roman" w:hAnsi="Times New Roman"/>
          <w:sz w:val="20"/>
          <w:szCs w:val="20"/>
        </w:rPr>
        <w:t xml:space="preserve">přístupem </w:t>
      </w:r>
      <w:r w:rsidRPr="00A8208C">
        <w:rPr>
          <w:rFonts w:ascii="Times New Roman" w:hAnsi="Times New Roman"/>
          <w:sz w:val="20"/>
          <w:szCs w:val="20"/>
        </w:rPr>
        <w:t>[...] n</w:t>
      </w:r>
      <w:r w:rsidRPr="004F10B9">
        <w:rPr>
          <w:rFonts w:ascii="Times New Roman" w:hAnsi="Times New Roman"/>
          <w:sz w:val="20"/>
          <w:szCs w:val="20"/>
        </w:rPr>
        <w:t>a</w:t>
      </w:r>
      <w:proofErr w:type="gramEnd"/>
      <w:r w:rsidRPr="004F10B9">
        <w:rPr>
          <w:rFonts w:ascii="Times New Roman" w:hAnsi="Times New Roman"/>
          <w:sz w:val="20"/>
          <w:szCs w:val="20"/>
        </w:rPr>
        <w:t xml:space="preserve"> mezinárodní úrovni, zajištěním souladu mezi vnitrostátními předpisy, jakož i flexibility při jejich provádění, zabezpečením toho, že se pravidla zaměří na rizika a budou upravena tak, aby řešila nově se objevující hrozby.</w:t>
      </w:r>
    </w:p>
    <w:p w14:paraId="2AEED358" w14:textId="77777777" w:rsidR="004F10B9" w:rsidRDefault="004F10B9" w:rsidP="004F10B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272EAD23" w14:textId="77777777" w:rsidR="004F10B9" w:rsidRPr="00E97BEE" w:rsidRDefault="004F10B9" w:rsidP="004F10B9">
      <w:pPr>
        <w:spacing w:after="0" w:line="240" w:lineRule="auto"/>
        <w:jc w:val="right"/>
        <w:rPr>
          <w:rFonts w:ascii="Times New Roman" w:hAnsi="Times New Roman"/>
          <w:i/>
          <w:sz w:val="20"/>
          <w:szCs w:val="20"/>
        </w:rPr>
      </w:pPr>
      <w:r w:rsidRPr="00E97BEE">
        <w:rPr>
          <w:rFonts w:ascii="Times New Roman" w:hAnsi="Times New Roman"/>
          <w:i/>
          <w:sz w:val="20"/>
          <w:szCs w:val="20"/>
        </w:rPr>
        <w:t xml:space="preserve">Zdroj: Důvodová zpráva k čtvrté AML směrnici </w:t>
      </w:r>
    </w:p>
    <w:p w14:paraId="44B4ED35" w14:textId="77777777" w:rsidR="004F10B9" w:rsidRPr="004F10B9" w:rsidRDefault="004F10B9" w:rsidP="004F10B9">
      <w:pPr>
        <w:spacing w:after="0" w:line="240" w:lineRule="auto"/>
        <w:jc w:val="both"/>
        <w:rPr>
          <w:rFonts w:ascii="Times New Roman" w:hAnsi="Times New Roman"/>
          <w:sz w:val="24"/>
          <w:szCs w:val="24"/>
        </w:rPr>
      </w:pPr>
    </w:p>
    <w:p w14:paraId="6BFCEDC2" w14:textId="77777777" w:rsidR="004F10B9" w:rsidRPr="00E97BEE" w:rsidRDefault="00E97BEE" w:rsidP="004F10B9">
      <w:pPr>
        <w:spacing w:after="0" w:line="240" w:lineRule="auto"/>
        <w:jc w:val="both"/>
        <w:rPr>
          <w:rFonts w:ascii="Times New Roman" w:hAnsi="Times New Roman"/>
          <w:sz w:val="24"/>
          <w:szCs w:val="24"/>
        </w:rPr>
      </w:pPr>
      <w:r>
        <w:rPr>
          <w:rFonts w:ascii="Times New Roman" w:hAnsi="Times New Roman"/>
          <w:sz w:val="24"/>
          <w:szCs w:val="24"/>
        </w:rPr>
        <w:t>Širší kontext pro výše uvedený cílový stav představuje rámec, v němž byla přijata čtvrtá AML směrnice:</w:t>
      </w:r>
    </w:p>
    <w:p w14:paraId="613A0DB5" w14:textId="77777777" w:rsidR="001B5CF1" w:rsidRPr="001B5CF1" w:rsidRDefault="001B5CF1" w:rsidP="001B5CF1">
      <w:pPr>
        <w:spacing w:after="0" w:line="240" w:lineRule="auto"/>
        <w:jc w:val="both"/>
        <w:rPr>
          <w:rFonts w:ascii="Times New Roman" w:hAnsi="Times New Roman"/>
          <w:sz w:val="24"/>
          <w:szCs w:val="24"/>
        </w:rPr>
      </w:pPr>
    </w:p>
    <w:p w14:paraId="0B2CB7B1" w14:textId="77777777" w:rsidR="00E97BEE" w:rsidRPr="00E97BEE" w:rsidRDefault="00E97BEE" w:rsidP="00E97BEE">
      <w:pPr>
        <w:pBdr>
          <w:top w:val="single" w:sz="4" w:space="1" w:color="auto"/>
          <w:left w:val="single" w:sz="4" w:space="4" w:color="auto"/>
          <w:bottom w:val="single" w:sz="4" w:space="1" w:color="auto"/>
          <w:right w:val="single" w:sz="4" w:space="4" w:color="auto"/>
        </w:pBdr>
        <w:jc w:val="both"/>
        <w:rPr>
          <w:rFonts w:ascii="Times New Roman" w:hAnsi="Times New Roman"/>
          <w:b/>
          <w:i/>
          <w:sz w:val="20"/>
          <w:szCs w:val="20"/>
        </w:rPr>
      </w:pPr>
      <w:r w:rsidRPr="00E97BEE">
        <w:rPr>
          <w:rFonts w:ascii="Times New Roman" w:hAnsi="Times New Roman"/>
          <w:b/>
          <w:sz w:val="20"/>
          <w:szCs w:val="20"/>
        </w:rPr>
        <w:t>Obecné souvislosti</w:t>
      </w:r>
    </w:p>
    <w:p w14:paraId="4D8FBA19" w14:textId="77777777" w:rsidR="00E97BEE" w:rsidRPr="00E97BEE" w:rsidRDefault="00E97BEE" w:rsidP="00E97BEE">
      <w:pPr>
        <w:pBdr>
          <w:top w:val="single" w:sz="4" w:space="1" w:color="auto"/>
          <w:left w:val="single" w:sz="4" w:space="4" w:color="auto"/>
          <w:bottom w:val="single" w:sz="4" w:space="1" w:color="auto"/>
          <w:right w:val="single" w:sz="4" w:space="4" w:color="auto"/>
        </w:pBdr>
        <w:jc w:val="both"/>
        <w:rPr>
          <w:rFonts w:ascii="Times New Roman" w:hAnsi="Times New Roman"/>
          <w:sz w:val="20"/>
          <w:szCs w:val="20"/>
        </w:rPr>
      </w:pPr>
      <w:r w:rsidRPr="00E97BEE">
        <w:rPr>
          <w:rFonts w:ascii="Times New Roman" w:hAnsi="Times New Roman"/>
          <w:sz w:val="20"/>
          <w:szCs w:val="20"/>
        </w:rPr>
        <w:t xml:space="preserve">Odstranění překážek na vnitřním trhu usnadňuje nejen vznik nebo rozvoj legitimního </w:t>
      </w:r>
      <w:proofErr w:type="gramStart"/>
      <w:r w:rsidRPr="00E97BEE">
        <w:rPr>
          <w:rFonts w:ascii="Times New Roman" w:hAnsi="Times New Roman"/>
          <w:sz w:val="20"/>
          <w:szCs w:val="20"/>
        </w:rPr>
        <w:t xml:space="preserve">podnikání </w:t>
      </w:r>
      <w:r w:rsidR="0093045D" w:rsidRPr="00A8208C">
        <w:rPr>
          <w:rFonts w:ascii="Times New Roman" w:hAnsi="Times New Roman"/>
          <w:sz w:val="20"/>
          <w:szCs w:val="20"/>
        </w:rPr>
        <w:t>[...]</w:t>
      </w:r>
      <w:r w:rsidRPr="00E97BEE">
        <w:rPr>
          <w:rFonts w:ascii="Times New Roman" w:hAnsi="Times New Roman"/>
          <w:sz w:val="20"/>
          <w:szCs w:val="20"/>
        </w:rPr>
        <w:t>, ale</w:t>
      </w:r>
      <w:proofErr w:type="gramEnd"/>
      <w:r w:rsidRPr="00E97BEE">
        <w:rPr>
          <w:rFonts w:ascii="Times New Roman" w:hAnsi="Times New Roman"/>
          <w:sz w:val="20"/>
          <w:szCs w:val="20"/>
        </w:rPr>
        <w:t xml:space="preserve"> může také poskytnout více příležitostí k praní peněz a financování terorismu. Pachatelé trestné činnosti, kteří se podílejí na legalizaci výnosů z trestné činnosti, by se proto mohli pokusit utajit nebo zastřít pravou povahu, zdroj nebo vlastnictví daného majetku a převést ho na zdánlivě legitimní výnosy. Zdroji financování terorismu mohou být navíc zákonné i nezákonné aktivity, protože teroristické organizace se zapojují do výdělečných činností, které samy o sobě mohou být nebo se přinejmenším jeví jako legitimní. Praním peněz a financováním terorismu je tedy vysoce ohrožena integrita, řádné fungování, pověst a stabilita finančního systému, což může mít potenciálně ničivé důsledky pro širší společnost.</w:t>
      </w:r>
    </w:p>
    <w:p w14:paraId="1DE31EC9" w14:textId="77777777" w:rsidR="00E97BEE" w:rsidRPr="00E97BEE" w:rsidRDefault="00E97BEE" w:rsidP="00E97BEE">
      <w:pPr>
        <w:pBdr>
          <w:top w:val="single" w:sz="4" w:space="1" w:color="auto"/>
          <w:left w:val="single" w:sz="4" w:space="4" w:color="auto"/>
          <w:bottom w:val="single" w:sz="4" w:space="1" w:color="auto"/>
          <w:right w:val="single" w:sz="4" w:space="4" w:color="auto"/>
        </w:pBdr>
        <w:jc w:val="both"/>
        <w:rPr>
          <w:rFonts w:ascii="Times New Roman" w:hAnsi="Times New Roman"/>
          <w:sz w:val="20"/>
          <w:szCs w:val="20"/>
        </w:rPr>
      </w:pPr>
      <w:r w:rsidRPr="00E97BEE">
        <w:rPr>
          <w:rFonts w:ascii="Times New Roman" w:hAnsi="Times New Roman"/>
          <w:sz w:val="20"/>
          <w:szCs w:val="20"/>
        </w:rPr>
        <w:t>Za účelem ochrany řádného fungování finančního systému a vnitřního trhu již byly přijaty evropské právní předpisy. Avšak měnící se povaha hrozeb spojených s praním peněz a financováním terorismu, kterou umožňuje neustálý vývoj technologií a prostředků dostupných pachatelům trestné činnosti, vyžaduje neustálé přizpůsobování právního rámce za účelem boje s těmito hrozbami.</w:t>
      </w:r>
    </w:p>
    <w:p w14:paraId="2D20C65C" w14:textId="77777777" w:rsidR="00E97BEE" w:rsidRPr="00E97BEE" w:rsidRDefault="00E97BEE" w:rsidP="00E97BEE">
      <w:pPr>
        <w:pBdr>
          <w:top w:val="single" w:sz="4" w:space="1" w:color="auto"/>
          <w:left w:val="single" w:sz="4" w:space="4" w:color="auto"/>
          <w:bottom w:val="single" w:sz="4" w:space="1" w:color="auto"/>
          <w:right w:val="single" w:sz="4" w:space="4" w:color="auto"/>
        </w:pBdr>
        <w:jc w:val="both"/>
        <w:rPr>
          <w:rFonts w:ascii="Times New Roman" w:hAnsi="Times New Roman"/>
          <w:sz w:val="20"/>
          <w:szCs w:val="20"/>
        </w:rPr>
      </w:pPr>
      <w:r w:rsidRPr="00E97BEE">
        <w:rPr>
          <w:rFonts w:ascii="Times New Roman" w:hAnsi="Times New Roman"/>
          <w:sz w:val="20"/>
          <w:szCs w:val="20"/>
        </w:rPr>
        <w:t>Na úrovni EU stanoví směrnice 2005/60/ES ze dne 26. října 2005 o předcházení zneužití finančního systému k</w:t>
      </w:r>
      <w:r w:rsidR="003C4F2D">
        <w:rPr>
          <w:rFonts w:ascii="Times New Roman" w:hAnsi="Times New Roman"/>
          <w:sz w:val="20"/>
          <w:szCs w:val="20"/>
        </w:rPr>
        <w:t> </w:t>
      </w:r>
      <w:r w:rsidRPr="00E97BEE">
        <w:rPr>
          <w:rFonts w:ascii="Times New Roman" w:hAnsi="Times New Roman"/>
          <w:sz w:val="20"/>
          <w:szCs w:val="20"/>
        </w:rPr>
        <w:t xml:space="preserve">praní peněz a financování </w:t>
      </w:r>
      <w:proofErr w:type="gramStart"/>
      <w:r w:rsidRPr="00E97BEE">
        <w:rPr>
          <w:rFonts w:ascii="Times New Roman" w:hAnsi="Times New Roman"/>
          <w:sz w:val="20"/>
          <w:szCs w:val="20"/>
        </w:rPr>
        <w:t>terorismu (</w:t>
      </w:r>
      <w:r w:rsidR="0093045D" w:rsidRPr="00A8208C">
        <w:rPr>
          <w:rFonts w:ascii="Times New Roman" w:hAnsi="Times New Roman"/>
          <w:sz w:val="20"/>
          <w:szCs w:val="20"/>
        </w:rPr>
        <w:t>[...]</w:t>
      </w:r>
      <w:r w:rsidR="0093045D" w:rsidRPr="00E97BEE">
        <w:rPr>
          <w:rFonts w:ascii="Times New Roman" w:hAnsi="Times New Roman"/>
          <w:sz w:val="20"/>
          <w:szCs w:val="20"/>
        </w:rPr>
        <w:t xml:space="preserve"> </w:t>
      </w:r>
      <w:r w:rsidRPr="00E97BEE">
        <w:rPr>
          <w:rFonts w:ascii="Times New Roman" w:hAnsi="Times New Roman"/>
          <w:sz w:val="20"/>
          <w:szCs w:val="20"/>
        </w:rPr>
        <w:t>„třetí</w:t>
      </w:r>
      <w:proofErr w:type="gramEnd"/>
      <w:r w:rsidRPr="00E97BEE">
        <w:rPr>
          <w:rFonts w:ascii="Times New Roman" w:hAnsi="Times New Roman"/>
          <w:sz w:val="20"/>
          <w:szCs w:val="20"/>
        </w:rPr>
        <w:t xml:space="preserve"> SPP“) rámec určený k ochraně spolehlivosti, integrity a stability úvěrových a finančních institucí a důvěry ve finanční systém jako celek, proti rizikům praní peněz a financování terorismu. Pravidla EU do značné míry vycházejí z mezinárodních standardů přijatých Finančním akčním výborem (FATF) a vzhledem k tomu, že směrnice vychází z koncepce minimální harmonizace, je rámec doplněn pravidly přijatými na vnitrostátní úrovni.</w:t>
      </w:r>
    </w:p>
    <w:p w14:paraId="5D6679E2" w14:textId="77777777" w:rsidR="00E97BEE" w:rsidRPr="00E97BEE" w:rsidRDefault="00E97BEE" w:rsidP="00E97BEE">
      <w:pPr>
        <w:pBdr>
          <w:top w:val="single" w:sz="4" w:space="1" w:color="auto"/>
          <w:left w:val="single" w:sz="4" w:space="4" w:color="auto"/>
          <w:bottom w:val="single" w:sz="4" w:space="1" w:color="auto"/>
          <w:right w:val="single" w:sz="4" w:space="4" w:color="auto"/>
        </w:pBdr>
        <w:jc w:val="both"/>
        <w:rPr>
          <w:rFonts w:ascii="Times New Roman" w:hAnsi="Times New Roman"/>
          <w:sz w:val="20"/>
          <w:szCs w:val="20"/>
        </w:rPr>
      </w:pPr>
      <w:r w:rsidRPr="00E97BEE">
        <w:rPr>
          <w:rFonts w:ascii="Times New Roman" w:hAnsi="Times New Roman"/>
          <w:sz w:val="20"/>
          <w:szCs w:val="20"/>
        </w:rPr>
        <w:t xml:space="preserve">FATF provedl důkladný přezkum mezinárodních standardů na mezinárodní úrovni a v únoru 2012 přijal nový soubor doporučení. </w:t>
      </w:r>
    </w:p>
    <w:p w14:paraId="3F5EB15D" w14:textId="77777777" w:rsidR="00E97BEE" w:rsidRPr="00E97BEE" w:rsidRDefault="00E97BEE" w:rsidP="00E97BEE">
      <w:pPr>
        <w:pBdr>
          <w:top w:val="single" w:sz="4" w:space="1" w:color="auto"/>
          <w:left w:val="single" w:sz="4" w:space="4" w:color="auto"/>
          <w:bottom w:val="single" w:sz="4" w:space="1" w:color="auto"/>
          <w:right w:val="single" w:sz="4" w:space="4" w:color="auto"/>
        </w:pBdr>
        <w:jc w:val="both"/>
        <w:rPr>
          <w:rFonts w:ascii="Times New Roman" w:hAnsi="Times New Roman"/>
          <w:sz w:val="20"/>
          <w:szCs w:val="20"/>
        </w:rPr>
      </w:pPr>
      <w:r w:rsidRPr="00E97BEE">
        <w:rPr>
          <w:rFonts w:ascii="Times New Roman" w:hAnsi="Times New Roman"/>
          <w:sz w:val="20"/>
          <w:szCs w:val="20"/>
        </w:rPr>
        <w:t xml:space="preserve">Souběžně s mezinárodním postupem provádí Evropská komise svůj vlastní přezkum evropského rámce. Současná revize směrnice doplňuje revidovaná doporučení FATF, která sama o sobě představují významné posílení rámce boje proti praní peněz a financování terorismu. </w:t>
      </w:r>
    </w:p>
    <w:p w14:paraId="2EC70398" w14:textId="77777777" w:rsidR="00E97BEE" w:rsidRPr="00E97BEE" w:rsidRDefault="00E97BEE" w:rsidP="00E97BEE">
      <w:pPr>
        <w:spacing w:after="0" w:line="240" w:lineRule="auto"/>
        <w:jc w:val="right"/>
        <w:rPr>
          <w:rFonts w:ascii="Times New Roman" w:hAnsi="Times New Roman"/>
          <w:i/>
          <w:sz w:val="20"/>
          <w:szCs w:val="20"/>
        </w:rPr>
      </w:pPr>
      <w:r w:rsidRPr="00E97BEE">
        <w:rPr>
          <w:rFonts w:ascii="Times New Roman" w:hAnsi="Times New Roman"/>
          <w:i/>
          <w:sz w:val="20"/>
          <w:szCs w:val="20"/>
        </w:rPr>
        <w:t xml:space="preserve">Zdroj: Důvodová zpráva k čtvrté AML směrnici </w:t>
      </w:r>
    </w:p>
    <w:p w14:paraId="23E1AAA6" w14:textId="77777777" w:rsidR="00023CDE" w:rsidRDefault="00023CDE" w:rsidP="009C737E">
      <w:pPr>
        <w:rPr>
          <w:rFonts w:ascii="Times New Roman" w:hAnsi="Times New Roman"/>
          <w:sz w:val="24"/>
          <w:szCs w:val="24"/>
        </w:rPr>
      </w:pPr>
    </w:p>
    <w:p w14:paraId="235C6046" w14:textId="77777777" w:rsidR="009C737E" w:rsidRPr="00ED099D" w:rsidRDefault="00E97BEE" w:rsidP="00F27234">
      <w:pPr>
        <w:keepNext/>
        <w:rPr>
          <w:rFonts w:ascii="Times New Roman" w:hAnsi="Times New Roman"/>
          <w:i/>
          <w:sz w:val="24"/>
          <w:szCs w:val="24"/>
        </w:rPr>
      </w:pPr>
      <w:r>
        <w:rPr>
          <w:rFonts w:ascii="Times New Roman" w:hAnsi="Times New Roman"/>
          <w:sz w:val="24"/>
          <w:szCs w:val="24"/>
        </w:rPr>
        <w:lastRenderedPageBreak/>
        <w:t>Konkrétní cíle</w:t>
      </w:r>
      <w:r w:rsidR="009C737E" w:rsidRPr="0046145D">
        <w:rPr>
          <w:rFonts w:ascii="Times New Roman" w:hAnsi="Times New Roman"/>
          <w:sz w:val="24"/>
          <w:szCs w:val="24"/>
        </w:rPr>
        <w:t xml:space="preserve"> </w:t>
      </w:r>
      <w:r>
        <w:rPr>
          <w:rFonts w:ascii="Times New Roman" w:hAnsi="Times New Roman"/>
          <w:sz w:val="24"/>
          <w:szCs w:val="24"/>
        </w:rPr>
        <w:t>navrhované úpravy jsou uvedeny v části 1.2.</w:t>
      </w:r>
      <w:r w:rsidR="009C737E" w:rsidRPr="0046145D">
        <w:rPr>
          <w:rFonts w:ascii="Times New Roman" w:hAnsi="Times New Roman"/>
          <w:sz w:val="24"/>
          <w:szCs w:val="24"/>
        </w:rPr>
        <w:t xml:space="preserve"> </w:t>
      </w:r>
    </w:p>
    <w:p w14:paraId="29E61939" w14:textId="77777777" w:rsidR="001B5CF1" w:rsidRDefault="000244EA" w:rsidP="00F27234">
      <w:pPr>
        <w:keepNext/>
        <w:numPr>
          <w:ilvl w:val="1"/>
          <w:numId w:val="1"/>
        </w:numPr>
        <w:spacing w:after="0" w:line="240" w:lineRule="auto"/>
        <w:ind w:left="0"/>
        <w:jc w:val="both"/>
        <w:rPr>
          <w:rFonts w:ascii="Times New Roman" w:hAnsi="Times New Roman"/>
          <w:sz w:val="24"/>
          <w:szCs w:val="24"/>
        </w:rPr>
      </w:pPr>
      <w:r>
        <w:rPr>
          <w:rFonts w:ascii="Times New Roman" w:hAnsi="Times New Roman"/>
          <w:sz w:val="24"/>
          <w:szCs w:val="24"/>
        </w:rPr>
        <w:t>H</w:t>
      </w:r>
      <w:r w:rsidR="009C737E" w:rsidRPr="001B5CF1">
        <w:rPr>
          <w:rFonts w:ascii="Times New Roman" w:hAnsi="Times New Roman"/>
          <w:sz w:val="24"/>
          <w:szCs w:val="24"/>
        </w:rPr>
        <w:t>odnocení rizika</w:t>
      </w:r>
    </w:p>
    <w:p w14:paraId="7B627798" w14:textId="77777777" w:rsidR="001B5CF1" w:rsidRPr="001B5CF1" w:rsidRDefault="001B5CF1" w:rsidP="00F27234">
      <w:pPr>
        <w:keepNext/>
        <w:spacing w:after="0" w:line="240" w:lineRule="auto"/>
        <w:jc w:val="both"/>
        <w:rPr>
          <w:rFonts w:ascii="Times New Roman" w:hAnsi="Times New Roman"/>
          <w:sz w:val="24"/>
          <w:szCs w:val="24"/>
        </w:rPr>
      </w:pPr>
    </w:p>
    <w:p w14:paraId="0B9304E6" w14:textId="77777777" w:rsidR="009C737E" w:rsidRPr="0046145D" w:rsidRDefault="00923CAD" w:rsidP="000244EA">
      <w:pPr>
        <w:jc w:val="both"/>
        <w:rPr>
          <w:rFonts w:ascii="Times New Roman" w:hAnsi="Times New Roman"/>
          <w:sz w:val="24"/>
          <w:szCs w:val="24"/>
        </w:rPr>
      </w:pPr>
      <w:r>
        <w:rPr>
          <w:rFonts w:ascii="Times New Roman" w:hAnsi="Times New Roman"/>
          <w:sz w:val="24"/>
          <w:szCs w:val="24"/>
        </w:rPr>
        <w:t>Existuje široký konsensus napříč politickým spektrem v tom smyslu, že nedostatečná ochrana finanč</w:t>
      </w:r>
      <w:r w:rsidR="002D67E2">
        <w:rPr>
          <w:rFonts w:ascii="Times New Roman" w:hAnsi="Times New Roman"/>
          <w:sz w:val="24"/>
          <w:szCs w:val="24"/>
        </w:rPr>
        <w:t>n</w:t>
      </w:r>
      <w:r>
        <w:rPr>
          <w:rFonts w:ascii="Times New Roman" w:hAnsi="Times New Roman"/>
          <w:sz w:val="24"/>
          <w:szCs w:val="24"/>
        </w:rPr>
        <w:t>ího systému proti trestnímu a teroristickému zneužití může vyústit v obrovské škody. Systémy, které dostatečně nebojují proti praní peněz a financování terorismu, riskují:</w:t>
      </w:r>
    </w:p>
    <w:p w14:paraId="222F96A4" w14:textId="77777777" w:rsidR="00923CAD" w:rsidRDefault="00923CAD" w:rsidP="000244EA">
      <w:pPr>
        <w:pStyle w:val="Odstavecseseznamem"/>
        <w:numPr>
          <w:ilvl w:val="0"/>
          <w:numId w:val="5"/>
        </w:numPr>
        <w:ind w:left="360"/>
        <w:rPr>
          <w:rFonts w:ascii="Times New Roman" w:hAnsi="Times New Roman"/>
          <w:sz w:val="24"/>
          <w:szCs w:val="24"/>
        </w:rPr>
      </w:pPr>
      <w:r>
        <w:rPr>
          <w:rFonts w:ascii="Times New Roman" w:hAnsi="Times New Roman"/>
          <w:sz w:val="24"/>
          <w:szCs w:val="24"/>
        </w:rPr>
        <w:t>Škodu společnosti v tom smyslu, že výnosy trestné činnosti a financování terorismu podporují další trestnou činnost a terorismus;</w:t>
      </w:r>
      <w:r w:rsidR="0040312F">
        <w:rPr>
          <w:rFonts w:ascii="Times New Roman" w:hAnsi="Times New Roman"/>
          <w:sz w:val="24"/>
          <w:szCs w:val="24"/>
        </w:rPr>
        <w:t xml:space="preserve"> velký rozsah výnosů umožňuje i prorůstání zločinu do politiky</w:t>
      </w:r>
    </w:p>
    <w:p w14:paraId="16B2D611" w14:textId="77777777" w:rsidR="000244EA" w:rsidRDefault="00923CAD" w:rsidP="000244EA">
      <w:pPr>
        <w:pStyle w:val="Odstavecseseznamem"/>
        <w:numPr>
          <w:ilvl w:val="0"/>
          <w:numId w:val="5"/>
        </w:numPr>
        <w:ind w:left="360"/>
        <w:rPr>
          <w:rFonts w:ascii="Times New Roman" w:hAnsi="Times New Roman"/>
          <w:sz w:val="24"/>
          <w:szCs w:val="24"/>
        </w:rPr>
      </w:pPr>
      <w:r>
        <w:rPr>
          <w:rFonts w:ascii="Times New Roman" w:hAnsi="Times New Roman"/>
          <w:sz w:val="24"/>
          <w:szCs w:val="24"/>
        </w:rPr>
        <w:t>Negativní ekonomické důsledky</w:t>
      </w:r>
      <w:r w:rsidR="000244EA">
        <w:rPr>
          <w:rFonts w:ascii="Times New Roman" w:hAnsi="Times New Roman"/>
          <w:sz w:val="24"/>
          <w:szCs w:val="24"/>
        </w:rPr>
        <w:t xml:space="preserve"> – nižší hospodářský růst, nižší investice</w:t>
      </w:r>
    </w:p>
    <w:p w14:paraId="65CAFE66" w14:textId="77777777" w:rsidR="000244EA" w:rsidRDefault="000244EA" w:rsidP="000244EA">
      <w:pPr>
        <w:pStyle w:val="Odstavecseseznamem"/>
        <w:numPr>
          <w:ilvl w:val="0"/>
          <w:numId w:val="5"/>
        </w:numPr>
        <w:ind w:left="360"/>
        <w:rPr>
          <w:rFonts w:ascii="Times New Roman" w:hAnsi="Times New Roman"/>
          <w:sz w:val="24"/>
          <w:szCs w:val="24"/>
        </w:rPr>
      </w:pPr>
      <w:r>
        <w:rPr>
          <w:rFonts w:ascii="Times New Roman" w:hAnsi="Times New Roman"/>
          <w:sz w:val="24"/>
          <w:szCs w:val="24"/>
        </w:rPr>
        <w:t>Nestabilitu finančního trhu, ztrátu reputace, ztrátu důvěry klientů a investorů</w:t>
      </w:r>
    </w:p>
    <w:p w14:paraId="378E800C" w14:textId="77777777" w:rsidR="000244EA" w:rsidRDefault="000244EA" w:rsidP="000244EA">
      <w:pPr>
        <w:jc w:val="both"/>
        <w:rPr>
          <w:rFonts w:ascii="Times New Roman" w:hAnsi="Times New Roman"/>
          <w:sz w:val="24"/>
          <w:szCs w:val="24"/>
        </w:rPr>
      </w:pPr>
    </w:p>
    <w:p w14:paraId="70D322E6" w14:textId="77777777" w:rsidR="000244EA" w:rsidRDefault="000244EA" w:rsidP="000244EA">
      <w:pPr>
        <w:jc w:val="both"/>
        <w:rPr>
          <w:rFonts w:ascii="Times New Roman" w:hAnsi="Times New Roman"/>
          <w:sz w:val="24"/>
          <w:szCs w:val="24"/>
        </w:rPr>
      </w:pPr>
      <w:r>
        <w:rPr>
          <w:rFonts w:ascii="Times New Roman" w:hAnsi="Times New Roman"/>
          <w:sz w:val="24"/>
          <w:szCs w:val="24"/>
        </w:rPr>
        <w:t>Dalším konkrétním rizikem v souvislosti s povinností implementace čtvrté AML směrnice je potenciální řízení pro porušení povinností ze strany Evropské komise (</w:t>
      </w:r>
      <w:proofErr w:type="spellStart"/>
      <w:r>
        <w:rPr>
          <w:rFonts w:ascii="Times New Roman" w:hAnsi="Times New Roman"/>
          <w:sz w:val="24"/>
          <w:szCs w:val="24"/>
        </w:rPr>
        <w:t>infringement</w:t>
      </w:r>
      <w:proofErr w:type="spellEnd"/>
      <w:r>
        <w:rPr>
          <w:rFonts w:ascii="Times New Roman" w:hAnsi="Times New Roman"/>
          <w:sz w:val="24"/>
          <w:szCs w:val="24"/>
        </w:rPr>
        <w:t>).</w:t>
      </w:r>
    </w:p>
    <w:p w14:paraId="6EEEC9E3" w14:textId="77777777" w:rsidR="00D12774" w:rsidRDefault="000244EA" w:rsidP="000244EA">
      <w:pPr>
        <w:jc w:val="both"/>
        <w:rPr>
          <w:rFonts w:ascii="Times New Roman" w:hAnsi="Times New Roman"/>
          <w:sz w:val="24"/>
          <w:szCs w:val="24"/>
        </w:rPr>
      </w:pPr>
      <w:r>
        <w:rPr>
          <w:rFonts w:ascii="Times New Roman" w:hAnsi="Times New Roman"/>
          <w:sz w:val="24"/>
          <w:szCs w:val="24"/>
        </w:rPr>
        <w:t xml:space="preserve">Souvisejícím rizikem je, v případě nedostatečné implementace, resp. obecně nedostatečného AML/CTF právního rámce, negativní hodnocení ze strany výboru Moneyval Rady Evropy, což může </w:t>
      </w:r>
      <w:r w:rsidR="000C6886">
        <w:rPr>
          <w:rFonts w:ascii="Times New Roman" w:hAnsi="Times New Roman"/>
          <w:sz w:val="24"/>
          <w:szCs w:val="24"/>
        </w:rPr>
        <w:t xml:space="preserve">mít za důsledek ekonomické sankce ze strany G7 </w:t>
      </w:r>
      <w:r>
        <w:rPr>
          <w:rFonts w:ascii="Times New Roman" w:hAnsi="Times New Roman"/>
          <w:sz w:val="24"/>
          <w:szCs w:val="24"/>
        </w:rPr>
        <w:t xml:space="preserve">i snížení ratingu českých </w:t>
      </w:r>
      <w:r w:rsidR="001F1D75">
        <w:rPr>
          <w:rFonts w:ascii="Times New Roman" w:hAnsi="Times New Roman"/>
          <w:sz w:val="24"/>
          <w:szCs w:val="24"/>
        </w:rPr>
        <w:t>finančních institucí (povinných osob)</w:t>
      </w:r>
      <w:r>
        <w:rPr>
          <w:rFonts w:ascii="Times New Roman" w:hAnsi="Times New Roman"/>
          <w:sz w:val="24"/>
          <w:szCs w:val="24"/>
        </w:rPr>
        <w:t xml:space="preserve"> a jejich následnou nekonkurenceschopnost v zahraničním srovnání.</w:t>
      </w:r>
    </w:p>
    <w:p w14:paraId="59C3FEE0" w14:textId="77777777" w:rsidR="00EA271F" w:rsidRPr="000244EA" w:rsidRDefault="00EA271F" w:rsidP="000244EA">
      <w:pPr>
        <w:jc w:val="both"/>
        <w:rPr>
          <w:rFonts w:ascii="Times New Roman" w:hAnsi="Times New Roman"/>
          <w:sz w:val="24"/>
          <w:szCs w:val="24"/>
        </w:rPr>
      </w:pPr>
    </w:p>
    <w:p w14:paraId="4F15C97D" w14:textId="77777777" w:rsidR="00D12774" w:rsidRDefault="00D12774" w:rsidP="00D12774">
      <w:pPr>
        <w:pStyle w:val="Odstavecseseznamem"/>
        <w:numPr>
          <w:ilvl w:val="0"/>
          <w:numId w:val="1"/>
        </w:numPr>
        <w:ind w:left="0"/>
        <w:rPr>
          <w:rFonts w:ascii="Times New Roman" w:hAnsi="Times New Roman"/>
          <w:b/>
          <w:sz w:val="24"/>
          <w:szCs w:val="24"/>
        </w:rPr>
      </w:pPr>
      <w:r>
        <w:rPr>
          <w:rFonts w:ascii="Times New Roman" w:hAnsi="Times New Roman"/>
          <w:b/>
          <w:sz w:val="24"/>
          <w:szCs w:val="24"/>
        </w:rPr>
        <w:t>NÁVRH VARIANT ŘEŠENÍ</w:t>
      </w:r>
    </w:p>
    <w:p w14:paraId="11DFB2C1" w14:textId="77777777" w:rsidR="00D12774" w:rsidRDefault="00D12774" w:rsidP="00D12774">
      <w:pPr>
        <w:rPr>
          <w:rFonts w:ascii="Times New Roman" w:hAnsi="Times New Roman"/>
          <w:b/>
          <w:sz w:val="24"/>
          <w:szCs w:val="24"/>
        </w:rPr>
      </w:pPr>
    </w:p>
    <w:p w14:paraId="4DD950A2" w14:textId="77777777" w:rsidR="00A86732" w:rsidRDefault="00D12774" w:rsidP="006A00DC">
      <w:pPr>
        <w:jc w:val="both"/>
        <w:rPr>
          <w:rFonts w:ascii="Times New Roman" w:hAnsi="Times New Roman"/>
          <w:sz w:val="24"/>
          <w:szCs w:val="24"/>
        </w:rPr>
      </w:pPr>
      <w:r>
        <w:rPr>
          <w:rFonts w:ascii="Times New Roman" w:hAnsi="Times New Roman"/>
          <w:sz w:val="24"/>
          <w:szCs w:val="24"/>
        </w:rPr>
        <w:t xml:space="preserve">Vzhledem k výše uvedeným cílům a právnímu i skutkovému stavu předkladatel při hodnocení dopadů zvážil </w:t>
      </w:r>
      <w:r w:rsidR="00471732">
        <w:rPr>
          <w:rFonts w:ascii="Times New Roman" w:hAnsi="Times New Roman"/>
          <w:sz w:val="24"/>
          <w:szCs w:val="24"/>
        </w:rPr>
        <w:t xml:space="preserve">u jednotlivých témat </w:t>
      </w:r>
      <w:r>
        <w:rPr>
          <w:rFonts w:ascii="Times New Roman" w:hAnsi="Times New Roman"/>
          <w:sz w:val="24"/>
          <w:szCs w:val="24"/>
        </w:rPr>
        <w:t xml:space="preserve">následující varianty řešení. </w:t>
      </w:r>
    </w:p>
    <w:p w14:paraId="24F72B5F" w14:textId="77777777" w:rsidR="006A00DC" w:rsidRDefault="009A7656" w:rsidP="0040278F">
      <w:pPr>
        <w:pStyle w:val="Odstavecseseznamem"/>
        <w:numPr>
          <w:ilvl w:val="1"/>
          <w:numId w:val="1"/>
        </w:numPr>
        <w:ind w:left="432"/>
        <w:rPr>
          <w:rFonts w:ascii="Times New Roman" w:hAnsi="Times New Roman"/>
          <w:b/>
          <w:sz w:val="24"/>
          <w:szCs w:val="24"/>
        </w:rPr>
      </w:pPr>
      <w:r w:rsidRPr="0040278F">
        <w:rPr>
          <w:rFonts w:ascii="Times New Roman" w:hAnsi="Times New Roman"/>
          <w:b/>
          <w:sz w:val="24"/>
          <w:szCs w:val="24"/>
        </w:rPr>
        <w:t xml:space="preserve">Zahrnutí provozovatelů hazardních her mezi povinné osoby </w:t>
      </w:r>
    </w:p>
    <w:p w14:paraId="34B9C3FA" w14:textId="77777777" w:rsidR="00343C82" w:rsidRPr="0040278F" w:rsidRDefault="00343C82" w:rsidP="0040278F">
      <w:pPr>
        <w:pStyle w:val="Odstavecseseznamem"/>
        <w:ind w:left="432" w:firstLine="0"/>
        <w:rPr>
          <w:rFonts w:ascii="Times New Roman" w:hAnsi="Times New Roman"/>
          <w:b/>
          <w:sz w:val="24"/>
          <w:szCs w:val="24"/>
        </w:rPr>
      </w:pPr>
    </w:p>
    <w:p w14:paraId="3947B128" w14:textId="6937BB13" w:rsidR="009A7656" w:rsidRPr="009A7656" w:rsidRDefault="00B913FA" w:rsidP="009A7656">
      <w:pPr>
        <w:jc w:val="both"/>
        <w:rPr>
          <w:rFonts w:ascii="Times New Roman" w:hAnsi="Times New Roman"/>
          <w:sz w:val="24"/>
          <w:szCs w:val="24"/>
        </w:rPr>
      </w:pPr>
      <w:r>
        <w:rPr>
          <w:rFonts w:ascii="Times New Roman" w:hAnsi="Times New Roman"/>
          <w:sz w:val="24"/>
          <w:szCs w:val="24"/>
        </w:rPr>
        <w:t>Dle stávající úpravy AML zákona jsou povinnými osobami pouze provozovatelé kasin</w:t>
      </w:r>
      <w:r w:rsidR="00A54C5C">
        <w:rPr>
          <w:rFonts w:ascii="Times New Roman" w:hAnsi="Times New Roman"/>
          <w:sz w:val="24"/>
          <w:szCs w:val="24"/>
        </w:rPr>
        <w:t xml:space="preserve"> (§ 2 odst. 1 písm</w:t>
      </w:r>
      <w:r w:rsidR="002D67E2">
        <w:rPr>
          <w:rFonts w:ascii="Times New Roman" w:hAnsi="Times New Roman"/>
          <w:sz w:val="24"/>
          <w:szCs w:val="24"/>
        </w:rPr>
        <w:t>.</w:t>
      </w:r>
      <w:r w:rsidR="00A54C5C">
        <w:rPr>
          <w:rFonts w:ascii="Times New Roman" w:hAnsi="Times New Roman"/>
          <w:sz w:val="24"/>
          <w:szCs w:val="24"/>
        </w:rPr>
        <w:t xml:space="preserve"> c))</w:t>
      </w:r>
      <w:r>
        <w:rPr>
          <w:rFonts w:ascii="Times New Roman" w:hAnsi="Times New Roman"/>
          <w:sz w:val="24"/>
          <w:szCs w:val="24"/>
        </w:rPr>
        <w:t xml:space="preserve">. </w:t>
      </w:r>
      <w:r w:rsidR="009A7656">
        <w:rPr>
          <w:rFonts w:ascii="Times New Roman" w:hAnsi="Times New Roman"/>
          <w:sz w:val="24"/>
          <w:szCs w:val="24"/>
        </w:rPr>
        <w:t xml:space="preserve">Čtvrtá </w:t>
      </w:r>
      <w:r w:rsidR="009A7656" w:rsidRPr="009A7656">
        <w:rPr>
          <w:rFonts w:ascii="Times New Roman" w:hAnsi="Times New Roman"/>
          <w:sz w:val="24"/>
          <w:szCs w:val="24"/>
        </w:rPr>
        <w:t>AML</w:t>
      </w:r>
      <w:r w:rsidR="009A7656">
        <w:rPr>
          <w:rFonts w:ascii="Times New Roman" w:hAnsi="Times New Roman"/>
          <w:sz w:val="24"/>
          <w:szCs w:val="24"/>
        </w:rPr>
        <w:t xml:space="preserve"> směrnice</w:t>
      </w:r>
      <w:r w:rsidR="009A7656" w:rsidRPr="009A7656">
        <w:rPr>
          <w:rFonts w:ascii="Times New Roman" w:hAnsi="Times New Roman"/>
          <w:sz w:val="24"/>
          <w:szCs w:val="24"/>
        </w:rPr>
        <w:t xml:space="preserve"> zahrnuje mezi povinné osoby obecně provozovatele hazardních her </w:t>
      </w:r>
      <w:r w:rsidR="00BF3881">
        <w:rPr>
          <w:rFonts w:ascii="Times New Roman" w:hAnsi="Times New Roman"/>
          <w:sz w:val="24"/>
          <w:szCs w:val="24"/>
        </w:rPr>
        <w:t xml:space="preserve">při transakcích </w:t>
      </w:r>
      <w:r w:rsidR="009A7656">
        <w:rPr>
          <w:rFonts w:ascii="Times New Roman" w:hAnsi="Times New Roman"/>
          <w:sz w:val="24"/>
          <w:szCs w:val="24"/>
        </w:rPr>
        <w:t>nad 2.000 EUR</w:t>
      </w:r>
      <w:r w:rsidR="009A7656" w:rsidRPr="009A7656">
        <w:rPr>
          <w:rFonts w:ascii="Times New Roman" w:hAnsi="Times New Roman"/>
          <w:sz w:val="24"/>
          <w:szCs w:val="24"/>
        </w:rPr>
        <w:t xml:space="preserve">, nicméně dovoluje, s výjimkou kasin, na základě hodnocení rizik plně či částečně vyloučit </w:t>
      </w:r>
      <w:r w:rsidR="006E3B5D">
        <w:rPr>
          <w:rFonts w:ascii="Times New Roman" w:hAnsi="Times New Roman"/>
          <w:sz w:val="24"/>
          <w:szCs w:val="24"/>
        </w:rPr>
        <w:t xml:space="preserve">některé další </w:t>
      </w:r>
      <w:r w:rsidR="009A7656" w:rsidRPr="009A7656">
        <w:rPr>
          <w:rFonts w:ascii="Times New Roman" w:hAnsi="Times New Roman"/>
          <w:sz w:val="24"/>
          <w:szCs w:val="24"/>
        </w:rPr>
        <w:t>hazardní hry</w:t>
      </w:r>
      <w:r w:rsidR="009A7656">
        <w:rPr>
          <w:rFonts w:ascii="Times New Roman" w:hAnsi="Times New Roman"/>
          <w:sz w:val="24"/>
          <w:szCs w:val="24"/>
        </w:rPr>
        <w:t>.</w:t>
      </w:r>
      <w:r w:rsidR="009A7656" w:rsidRPr="009A7656">
        <w:rPr>
          <w:rFonts w:ascii="Times New Roman" w:hAnsi="Times New Roman"/>
          <w:sz w:val="24"/>
          <w:szCs w:val="24"/>
        </w:rPr>
        <w:t xml:space="preserve"> </w:t>
      </w:r>
    </w:p>
    <w:tbl>
      <w:tblPr>
        <w:tblStyle w:val="Mkatabulky"/>
        <w:tblW w:w="0" w:type="auto"/>
        <w:tblLook w:val="04A0" w:firstRow="1" w:lastRow="0" w:firstColumn="1" w:lastColumn="0" w:noHBand="0" w:noVBand="1"/>
      </w:tblPr>
      <w:tblGrid>
        <w:gridCol w:w="4531"/>
        <w:gridCol w:w="4531"/>
      </w:tblGrid>
      <w:tr w:rsidR="006A00DC" w14:paraId="72BE8B00" w14:textId="77777777" w:rsidTr="00093F8B">
        <w:tc>
          <w:tcPr>
            <w:tcW w:w="4531" w:type="dxa"/>
            <w:shd w:val="clear" w:color="auto" w:fill="DEEAF6" w:themeFill="accent1" w:themeFillTint="33"/>
          </w:tcPr>
          <w:p w14:paraId="0E64169D" w14:textId="77777777" w:rsidR="006A00DC" w:rsidRPr="00093F8B" w:rsidRDefault="00093F8B" w:rsidP="009C737E">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30C438A9" w14:textId="77777777" w:rsidR="006A00DC" w:rsidRPr="00093F8B" w:rsidRDefault="00093F8B" w:rsidP="009C737E">
            <w:pPr>
              <w:rPr>
                <w:rFonts w:ascii="Times New Roman" w:hAnsi="Times New Roman" w:cs="Times New Roman"/>
                <w:b/>
                <w:sz w:val="24"/>
                <w:szCs w:val="24"/>
              </w:rPr>
            </w:pPr>
            <w:r>
              <w:rPr>
                <w:rFonts w:ascii="Times New Roman" w:hAnsi="Times New Roman" w:cs="Times New Roman"/>
                <w:b/>
                <w:sz w:val="24"/>
                <w:szCs w:val="24"/>
              </w:rPr>
              <w:t>Varianty</w:t>
            </w:r>
          </w:p>
        </w:tc>
      </w:tr>
      <w:tr w:rsidR="00B913FA" w14:paraId="0A67B542" w14:textId="77777777" w:rsidTr="006A00DC">
        <w:tc>
          <w:tcPr>
            <w:tcW w:w="4531" w:type="dxa"/>
            <w:vMerge w:val="restart"/>
          </w:tcPr>
          <w:p w14:paraId="12E77684" w14:textId="77777777" w:rsidR="00B913FA" w:rsidRPr="00093F8B" w:rsidRDefault="00B913FA" w:rsidP="00093F8B">
            <w:pPr>
              <w:jc w:val="both"/>
              <w:rPr>
                <w:rFonts w:ascii="Times New Roman" w:hAnsi="Times New Roman"/>
                <w:sz w:val="24"/>
                <w:szCs w:val="24"/>
              </w:rPr>
            </w:pPr>
            <w:r w:rsidRPr="00093F8B">
              <w:rPr>
                <w:rFonts w:ascii="Times New Roman" w:hAnsi="Times New Roman"/>
                <w:sz w:val="24"/>
                <w:szCs w:val="24"/>
              </w:rPr>
              <w:t xml:space="preserve">Zahrnutí provozovatelů hazardních her mezi povinné osoby </w:t>
            </w:r>
          </w:p>
        </w:tc>
        <w:tc>
          <w:tcPr>
            <w:tcW w:w="4531" w:type="dxa"/>
          </w:tcPr>
          <w:p w14:paraId="54BA4EA3" w14:textId="77777777" w:rsidR="00B913FA" w:rsidRDefault="00B913FA" w:rsidP="009C737E">
            <w:pPr>
              <w:rPr>
                <w:rFonts w:ascii="Times New Roman" w:hAnsi="Times New Roman" w:cs="Times New Roman"/>
                <w:sz w:val="24"/>
                <w:szCs w:val="24"/>
              </w:rPr>
            </w:pPr>
            <w:r>
              <w:rPr>
                <w:rFonts w:ascii="Times New Roman" w:hAnsi="Times New Roman" w:cs="Times New Roman"/>
                <w:sz w:val="24"/>
                <w:szCs w:val="24"/>
              </w:rPr>
              <w:t>Nulová varianta</w:t>
            </w:r>
            <w:r w:rsidR="00A54C5C">
              <w:rPr>
                <w:rFonts w:ascii="Times New Roman" w:hAnsi="Times New Roman" w:cs="Times New Roman"/>
                <w:sz w:val="24"/>
                <w:szCs w:val="24"/>
              </w:rPr>
              <w:t>: na základě hodnocení rizik ponechat mezi povinnými osobami nadále pouze kasina</w:t>
            </w:r>
          </w:p>
        </w:tc>
      </w:tr>
      <w:tr w:rsidR="00B913FA" w14:paraId="40B96E5E" w14:textId="77777777" w:rsidTr="006A00DC">
        <w:tc>
          <w:tcPr>
            <w:tcW w:w="4531" w:type="dxa"/>
            <w:vMerge/>
          </w:tcPr>
          <w:p w14:paraId="47A169FC" w14:textId="77777777" w:rsidR="00B913FA" w:rsidRPr="00093F8B" w:rsidRDefault="00B913FA" w:rsidP="00093F8B">
            <w:pPr>
              <w:jc w:val="both"/>
              <w:rPr>
                <w:rFonts w:ascii="Times New Roman" w:hAnsi="Times New Roman"/>
                <w:sz w:val="24"/>
                <w:szCs w:val="24"/>
              </w:rPr>
            </w:pPr>
          </w:p>
        </w:tc>
        <w:tc>
          <w:tcPr>
            <w:tcW w:w="4531" w:type="dxa"/>
          </w:tcPr>
          <w:p w14:paraId="166BCD8E" w14:textId="77777777" w:rsidR="00B913FA" w:rsidRDefault="00B913FA" w:rsidP="009C737E">
            <w:pPr>
              <w:rPr>
                <w:rFonts w:ascii="Times New Roman" w:hAnsi="Times New Roman" w:cs="Times New Roman"/>
                <w:sz w:val="24"/>
                <w:szCs w:val="24"/>
              </w:rPr>
            </w:pPr>
            <w:r>
              <w:rPr>
                <w:rFonts w:ascii="Times New Roman" w:hAnsi="Times New Roman" w:cs="Times New Roman"/>
                <w:sz w:val="24"/>
                <w:szCs w:val="24"/>
              </w:rPr>
              <w:t>Zahrnout mezi povinné osoby všechny provozovatele hazardních her</w:t>
            </w:r>
          </w:p>
        </w:tc>
      </w:tr>
      <w:tr w:rsidR="00B913FA" w14:paraId="6B013080" w14:textId="77777777" w:rsidTr="006A00DC">
        <w:tc>
          <w:tcPr>
            <w:tcW w:w="4531" w:type="dxa"/>
            <w:vMerge/>
          </w:tcPr>
          <w:p w14:paraId="24CBE551" w14:textId="77777777" w:rsidR="00B913FA" w:rsidRPr="00093F8B" w:rsidRDefault="00B913FA" w:rsidP="00093F8B">
            <w:pPr>
              <w:jc w:val="both"/>
              <w:rPr>
                <w:rFonts w:ascii="Times New Roman" w:hAnsi="Times New Roman"/>
                <w:sz w:val="24"/>
                <w:szCs w:val="24"/>
              </w:rPr>
            </w:pPr>
          </w:p>
        </w:tc>
        <w:tc>
          <w:tcPr>
            <w:tcW w:w="4531" w:type="dxa"/>
          </w:tcPr>
          <w:p w14:paraId="3D290DBF" w14:textId="77777777" w:rsidR="00B913FA" w:rsidRDefault="00B913FA" w:rsidP="009C737E">
            <w:pPr>
              <w:rPr>
                <w:rFonts w:ascii="Times New Roman" w:hAnsi="Times New Roman" w:cs="Times New Roman"/>
                <w:sz w:val="24"/>
                <w:szCs w:val="24"/>
              </w:rPr>
            </w:pPr>
            <w:r>
              <w:rPr>
                <w:rFonts w:ascii="Times New Roman" w:hAnsi="Times New Roman" w:cs="Times New Roman"/>
                <w:sz w:val="24"/>
                <w:szCs w:val="24"/>
              </w:rPr>
              <w:t>Zahrnout mezi povinné osoby vybrané provozovatele hazardních her na základě hodnocení rizik</w:t>
            </w:r>
          </w:p>
        </w:tc>
      </w:tr>
    </w:tbl>
    <w:p w14:paraId="27AE8FB8" w14:textId="77777777" w:rsidR="009C737E" w:rsidRDefault="009C737E" w:rsidP="009C737E">
      <w:pPr>
        <w:rPr>
          <w:rFonts w:ascii="Times New Roman" w:hAnsi="Times New Roman" w:cs="Times New Roman"/>
          <w:sz w:val="24"/>
          <w:szCs w:val="24"/>
        </w:rPr>
      </w:pPr>
    </w:p>
    <w:p w14:paraId="6ECC4B00" w14:textId="77777777" w:rsidR="003B2209" w:rsidRDefault="00A54C5C" w:rsidP="0040278F">
      <w:pPr>
        <w:pStyle w:val="Odstavecseseznamem"/>
        <w:numPr>
          <w:ilvl w:val="1"/>
          <w:numId w:val="1"/>
        </w:numPr>
        <w:ind w:left="432"/>
        <w:rPr>
          <w:rFonts w:ascii="Times New Roman" w:hAnsi="Times New Roman"/>
          <w:b/>
          <w:sz w:val="24"/>
          <w:szCs w:val="24"/>
        </w:rPr>
      </w:pPr>
      <w:r w:rsidRPr="0040278F">
        <w:rPr>
          <w:rFonts w:ascii="Times New Roman" w:hAnsi="Times New Roman"/>
          <w:b/>
          <w:sz w:val="24"/>
          <w:szCs w:val="24"/>
        </w:rPr>
        <w:t xml:space="preserve">Změna </w:t>
      </w:r>
      <w:r w:rsidR="00EC7943" w:rsidRPr="0040278F">
        <w:rPr>
          <w:rFonts w:ascii="Times New Roman" w:hAnsi="Times New Roman"/>
          <w:b/>
          <w:sz w:val="24"/>
          <w:szCs w:val="24"/>
        </w:rPr>
        <w:t xml:space="preserve">definice povinných osob co do </w:t>
      </w:r>
      <w:r w:rsidRPr="0040278F">
        <w:rPr>
          <w:rFonts w:ascii="Times New Roman" w:hAnsi="Times New Roman"/>
          <w:b/>
          <w:sz w:val="24"/>
          <w:szCs w:val="24"/>
        </w:rPr>
        <w:t xml:space="preserve">výše </w:t>
      </w:r>
      <w:r w:rsidR="00EC7943" w:rsidRPr="0040278F">
        <w:rPr>
          <w:rFonts w:ascii="Times New Roman" w:hAnsi="Times New Roman"/>
          <w:b/>
          <w:sz w:val="24"/>
          <w:szCs w:val="24"/>
        </w:rPr>
        <w:t>hotovostních plateb u obchodníků se zbožím</w:t>
      </w:r>
    </w:p>
    <w:p w14:paraId="376DA541" w14:textId="77777777" w:rsidR="00343C82" w:rsidRPr="0040278F" w:rsidRDefault="00343C82" w:rsidP="0040278F">
      <w:pPr>
        <w:pStyle w:val="Odstavecseseznamem"/>
        <w:ind w:left="432" w:firstLine="0"/>
        <w:rPr>
          <w:rFonts w:ascii="Times New Roman" w:hAnsi="Times New Roman"/>
          <w:b/>
          <w:sz w:val="24"/>
          <w:szCs w:val="24"/>
        </w:rPr>
      </w:pPr>
    </w:p>
    <w:p w14:paraId="2E6631F1" w14:textId="77777777" w:rsidR="00A54C5C" w:rsidRDefault="00A54C5C" w:rsidP="00EC7943">
      <w:pPr>
        <w:jc w:val="both"/>
        <w:rPr>
          <w:rFonts w:ascii="Times New Roman" w:hAnsi="Times New Roman" w:cs="Times New Roman"/>
          <w:sz w:val="24"/>
          <w:szCs w:val="24"/>
        </w:rPr>
      </w:pPr>
      <w:r>
        <w:rPr>
          <w:rFonts w:ascii="Times New Roman" w:hAnsi="Times New Roman" w:cs="Times New Roman"/>
          <w:sz w:val="24"/>
          <w:szCs w:val="24"/>
        </w:rPr>
        <w:t>Stávající AML</w:t>
      </w:r>
      <w:r w:rsidR="00EC7943">
        <w:rPr>
          <w:rFonts w:ascii="Times New Roman" w:hAnsi="Times New Roman" w:cs="Times New Roman"/>
          <w:sz w:val="24"/>
          <w:szCs w:val="24"/>
        </w:rPr>
        <w:t xml:space="preserve"> zákon zahrnuje mezi povinné osoby podnikatele, kteří přijímají platbu v hotovosti v hodnotě 15 000 EUR nebo vyšší (§ 2 odst. 2 písm. d), resp. písm. e)). Čtvrtá AML směrnice v tomto ohledu stanoví limit 10.000 EUR</w:t>
      </w:r>
      <w:r w:rsidR="006E3B5D">
        <w:rPr>
          <w:rFonts w:ascii="Times New Roman" w:hAnsi="Times New Roman" w:cs="Times New Roman"/>
          <w:sz w:val="24"/>
          <w:szCs w:val="24"/>
        </w:rPr>
        <w:t xml:space="preserve"> a rozšiřuje s tím spojené povinnosti na platby v obou směrech</w:t>
      </w:r>
      <w:r w:rsidR="00EC7943">
        <w:rPr>
          <w:rFonts w:ascii="Times New Roman" w:hAnsi="Times New Roman" w:cs="Times New Roman"/>
          <w:sz w:val="24"/>
          <w:szCs w:val="24"/>
        </w:rPr>
        <w:t>.</w:t>
      </w:r>
    </w:p>
    <w:tbl>
      <w:tblPr>
        <w:tblStyle w:val="Mkatabulky"/>
        <w:tblW w:w="0" w:type="auto"/>
        <w:tblLook w:val="04A0" w:firstRow="1" w:lastRow="0" w:firstColumn="1" w:lastColumn="0" w:noHBand="0" w:noVBand="1"/>
      </w:tblPr>
      <w:tblGrid>
        <w:gridCol w:w="4531"/>
        <w:gridCol w:w="4531"/>
      </w:tblGrid>
      <w:tr w:rsidR="005F467C" w14:paraId="3C327782" w14:textId="77777777" w:rsidTr="008234CA">
        <w:tc>
          <w:tcPr>
            <w:tcW w:w="4531" w:type="dxa"/>
            <w:shd w:val="clear" w:color="auto" w:fill="DEEAF6" w:themeFill="accent1" w:themeFillTint="33"/>
          </w:tcPr>
          <w:p w14:paraId="2196B69B" w14:textId="77777777" w:rsidR="005F467C" w:rsidRPr="00093F8B" w:rsidRDefault="005F467C" w:rsidP="008234CA">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2DE819CC" w14:textId="77777777" w:rsidR="005F467C" w:rsidRPr="00093F8B" w:rsidRDefault="005F467C" w:rsidP="008234CA">
            <w:pPr>
              <w:rPr>
                <w:rFonts w:ascii="Times New Roman" w:hAnsi="Times New Roman" w:cs="Times New Roman"/>
                <w:b/>
                <w:sz w:val="24"/>
                <w:szCs w:val="24"/>
              </w:rPr>
            </w:pPr>
            <w:r>
              <w:rPr>
                <w:rFonts w:ascii="Times New Roman" w:hAnsi="Times New Roman" w:cs="Times New Roman"/>
                <w:b/>
                <w:sz w:val="24"/>
                <w:szCs w:val="24"/>
              </w:rPr>
              <w:t>Varianty</w:t>
            </w:r>
          </w:p>
        </w:tc>
      </w:tr>
      <w:tr w:rsidR="005F467C" w14:paraId="342A3976" w14:textId="77777777" w:rsidTr="008234CA">
        <w:tc>
          <w:tcPr>
            <w:tcW w:w="4531" w:type="dxa"/>
            <w:vMerge w:val="restart"/>
          </w:tcPr>
          <w:p w14:paraId="771F8C3E" w14:textId="77777777" w:rsidR="005F467C" w:rsidRPr="005F467C" w:rsidRDefault="005F467C" w:rsidP="008234CA">
            <w:pPr>
              <w:jc w:val="both"/>
              <w:rPr>
                <w:rFonts w:ascii="Times New Roman" w:hAnsi="Times New Roman"/>
                <w:sz w:val="24"/>
                <w:szCs w:val="24"/>
              </w:rPr>
            </w:pPr>
            <w:r>
              <w:rPr>
                <w:rFonts w:ascii="Times New Roman" w:hAnsi="Times New Roman" w:cs="Times New Roman"/>
                <w:sz w:val="24"/>
                <w:szCs w:val="24"/>
              </w:rPr>
              <w:t>D</w:t>
            </w:r>
            <w:r w:rsidRPr="005F467C">
              <w:rPr>
                <w:rFonts w:ascii="Times New Roman" w:hAnsi="Times New Roman" w:cs="Times New Roman"/>
                <w:sz w:val="24"/>
                <w:szCs w:val="24"/>
              </w:rPr>
              <w:t>efinice povinných osob co do výše hotovostních plateb</w:t>
            </w:r>
          </w:p>
        </w:tc>
        <w:tc>
          <w:tcPr>
            <w:tcW w:w="4531" w:type="dxa"/>
          </w:tcPr>
          <w:p w14:paraId="10541472" w14:textId="77777777" w:rsidR="005F467C" w:rsidRDefault="005F467C" w:rsidP="005F467C">
            <w:pPr>
              <w:rPr>
                <w:rFonts w:ascii="Times New Roman" w:hAnsi="Times New Roman" w:cs="Times New Roman"/>
                <w:sz w:val="24"/>
                <w:szCs w:val="24"/>
              </w:rPr>
            </w:pPr>
            <w:r>
              <w:rPr>
                <w:rFonts w:ascii="Times New Roman" w:hAnsi="Times New Roman" w:cs="Times New Roman"/>
                <w:sz w:val="24"/>
                <w:szCs w:val="24"/>
              </w:rPr>
              <w:t>Nulová varianta (</w:t>
            </w:r>
            <w:r w:rsidR="00CB4245">
              <w:rPr>
                <w:rFonts w:ascii="Times New Roman" w:hAnsi="Times New Roman" w:cs="Times New Roman"/>
                <w:sz w:val="24"/>
                <w:szCs w:val="24"/>
              </w:rPr>
              <w:t>pouze</w:t>
            </w:r>
            <w:r>
              <w:rPr>
                <w:rFonts w:ascii="Times New Roman" w:hAnsi="Times New Roman" w:cs="Times New Roman"/>
                <w:sz w:val="24"/>
                <w:szCs w:val="24"/>
              </w:rPr>
              <w:t xml:space="preserve"> formální)</w:t>
            </w:r>
          </w:p>
          <w:p w14:paraId="04A11EE0" w14:textId="77777777" w:rsidR="005F467C" w:rsidRDefault="005F467C" w:rsidP="005F467C">
            <w:pPr>
              <w:rPr>
                <w:rFonts w:ascii="Times New Roman" w:hAnsi="Times New Roman" w:cs="Times New Roman"/>
                <w:sz w:val="24"/>
                <w:szCs w:val="24"/>
              </w:rPr>
            </w:pPr>
          </w:p>
        </w:tc>
      </w:tr>
      <w:tr w:rsidR="005F467C" w14:paraId="59497965" w14:textId="77777777" w:rsidTr="008234CA">
        <w:tc>
          <w:tcPr>
            <w:tcW w:w="4531" w:type="dxa"/>
            <w:vMerge/>
          </w:tcPr>
          <w:p w14:paraId="52EB45A6" w14:textId="77777777" w:rsidR="005F467C" w:rsidRDefault="005F467C" w:rsidP="008234CA">
            <w:pPr>
              <w:jc w:val="both"/>
              <w:rPr>
                <w:rFonts w:ascii="Times New Roman" w:hAnsi="Times New Roman" w:cs="Times New Roman"/>
                <w:sz w:val="24"/>
                <w:szCs w:val="24"/>
              </w:rPr>
            </w:pPr>
          </w:p>
        </w:tc>
        <w:tc>
          <w:tcPr>
            <w:tcW w:w="4531" w:type="dxa"/>
          </w:tcPr>
          <w:p w14:paraId="26DBCCB8" w14:textId="77777777" w:rsidR="005F467C" w:rsidRDefault="005F467C" w:rsidP="005F467C">
            <w:pPr>
              <w:rPr>
                <w:rFonts w:ascii="Times New Roman" w:hAnsi="Times New Roman" w:cs="Times New Roman"/>
                <w:sz w:val="24"/>
                <w:szCs w:val="24"/>
              </w:rPr>
            </w:pPr>
            <w:r>
              <w:rPr>
                <w:rFonts w:ascii="Times New Roman" w:hAnsi="Times New Roman" w:cs="Times New Roman"/>
                <w:sz w:val="24"/>
                <w:szCs w:val="24"/>
              </w:rPr>
              <w:t>Změna limit</w:t>
            </w:r>
            <w:r w:rsidR="00784F59">
              <w:rPr>
                <w:rFonts w:ascii="Times New Roman" w:hAnsi="Times New Roman" w:cs="Times New Roman"/>
                <w:sz w:val="24"/>
                <w:szCs w:val="24"/>
              </w:rPr>
              <w:t>u</w:t>
            </w:r>
            <w:r>
              <w:rPr>
                <w:rFonts w:ascii="Times New Roman" w:hAnsi="Times New Roman" w:cs="Times New Roman"/>
                <w:sz w:val="24"/>
                <w:szCs w:val="24"/>
              </w:rPr>
              <w:t xml:space="preserve"> v souladu se směrnicí</w:t>
            </w:r>
          </w:p>
        </w:tc>
      </w:tr>
    </w:tbl>
    <w:p w14:paraId="72C30DA0" w14:textId="77777777" w:rsidR="00AA1D39" w:rsidRDefault="00AA1D39" w:rsidP="00EC7943">
      <w:pPr>
        <w:jc w:val="both"/>
        <w:rPr>
          <w:rFonts w:ascii="Times New Roman" w:hAnsi="Times New Roman" w:cs="Times New Roman"/>
          <w:sz w:val="24"/>
          <w:szCs w:val="24"/>
        </w:rPr>
      </w:pPr>
    </w:p>
    <w:p w14:paraId="3FEEAF95" w14:textId="77777777" w:rsidR="005F467C" w:rsidRDefault="00AA1D39" w:rsidP="00EC7943">
      <w:pPr>
        <w:jc w:val="both"/>
        <w:rPr>
          <w:rFonts w:ascii="Times New Roman" w:hAnsi="Times New Roman" w:cs="Times New Roman"/>
          <w:sz w:val="24"/>
          <w:szCs w:val="24"/>
        </w:rPr>
      </w:pPr>
      <w:r>
        <w:rPr>
          <w:rFonts w:ascii="Times New Roman" w:hAnsi="Times New Roman" w:cs="Times New Roman"/>
          <w:sz w:val="24"/>
          <w:szCs w:val="24"/>
        </w:rPr>
        <w:t xml:space="preserve">Návazně na změnu definice je třeba provést totožnou změnu i na jiných místech AML zákona, kde limit 15 000 EUR figuruje (např. </w:t>
      </w:r>
      <w:r w:rsidR="00D34476">
        <w:rPr>
          <w:rFonts w:ascii="Times New Roman" w:hAnsi="Times New Roman" w:cs="Times New Roman"/>
          <w:sz w:val="24"/>
          <w:szCs w:val="24"/>
        </w:rPr>
        <w:t>§ 28</w:t>
      </w:r>
      <w:r>
        <w:rPr>
          <w:rFonts w:ascii="Times New Roman" w:hAnsi="Times New Roman" w:cs="Times New Roman"/>
          <w:sz w:val="24"/>
          <w:szCs w:val="24"/>
        </w:rPr>
        <w:t>).</w:t>
      </w:r>
    </w:p>
    <w:p w14:paraId="66411E76" w14:textId="77777777" w:rsidR="00CB4245" w:rsidRDefault="00CB4245" w:rsidP="00CB4245">
      <w:pPr>
        <w:jc w:val="both"/>
        <w:rPr>
          <w:rFonts w:ascii="Times New Roman" w:hAnsi="Times New Roman" w:cs="Times New Roman"/>
          <w:b/>
          <w:sz w:val="24"/>
          <w:szCs w:val="24"/>
        </w:rPr>
      </w:pPr>
    </w:p>
    <w:p w14:paraId="6B3A784C" w14:textId="77777777" w:rsidR="00CB4245" w:rsidRDefault="00CB4245" w:rsidP="0040278F">
      <w:pPr>
        <w:pStyle w:val="Odstavecseseznamem"/>
        <w:numPr>
          <w:ilvl w:val="1"/>
          <w:numId w:val="1"/>
        </w:numPr>
        <w:ind w:left="432"/>
        <w:rPr>
          <w:rFonts w:ascii="Times New Roman" w:hAnsi="Times New Roman"/>
          <w:b/>
          <w:sz w:val="24"/>
          <w:szCs w:val="24"/>
        </w:rPr>
      </w:pPr>
      <w:r w:rsidRPr="0040278F">
        <w:rPr>
          <w:rFonts w:ascii="Times New Roman" w:hAnsi="Times New Roman"/>
          <w:b/>
          <w:sz w:val="24"/>
          <w:szCs w:val="24"/>
        </w:rPr>
        <w:t>Změna definice politicky exponovaných osob</w:t>
      </w:r>
    </w:p>
    <w:p w14:paraId="0619CCB6" w14:textId="77777777" w:rsidR="0054088B" w:rsidRPr="0040278F" w:rsidRDefault="0054088B" w:rsidP="0040278F">
      <w:pPr>
        <w:pStyle w:val="Odstavecseseznamem"/>
        <w:ind w:left="432" w:firstLine="0"/>
        <w:rPr>
          <w:rFonts w:ascii="Times New Roman" w:hAnsi="Times New Roman"/>
          <w:b/>
          <w:sz w:val="24"/>
          <w:szCs w:val="24"/>
        </w:rPr>
      </w:pPr>
    </w:p>
    <w:p w14:paraId="3D25EDE0" w14:textId="77777777" w:rsidR="00784F59" w:rsidRDefault="00CB4245" w:rsidP="00EC7943">
      <w:pPr>
        <w:jc w:val="both"/>
        <w:rPr>
          <w:rFonts w:ascii="Times New Roman" w:hAnsi="Times New Roman" w:cs="Times New Roman"/>
          <w:sz w:val="24"/>
          <w:szCs w:val="24"/>
        </w:rPr>
      </w:pPr>
      <w:r>
        <w:rPr>
          <w:rFonts w:ascii="Times New Roman" w:hAnsi="Times New Roman" w:cs="Times New Roman"/>
          <w:sz w:val="24"/>
          <w:szCs w:val="24"/>
        </w:rPr>
        <w:t xml:space="preserve">Stávající AML zákon </w:t>
      </w:r>
      <w:r w:rsidR="00C63A24">
        <w:rPr>
          <w:rFonts w:ascii="Times New Roman" w:hAnsi="Times New Roman" w:cs="Times New Roman"/>
          <w:sz w:val="24"/>
          <w:szCs w:val="24"/>
        </w:rPr>
        <w:t xml:space="preserve">jako politicky exponované osoby </w:t>
      </w:r>
      <w:r w:rsidR="00AA1D39">
        <w:rPr>
          <w:rFonts w:ascii="Times New Roman" w:hAnsi="Times New Roman" w:cs="Times New Roman"/>
          <w:sz w:val="24"/>
          <w:szCs w:val="24"/>
        </w:rPr>
        <w:t>(také „</w:t>
      </w:r>
      <w:r w:rsidR="00AA1D39" w:rsidRPr="00AA1D39">
        <w:rPr>
          <w:rFonts w:ascii="Times New Roman" w:hAnsi="Times New Roman" w:cs="Times New Roman"/>
          <w:b/>
          <w:sz w:val="24"/>
          <w:szCs w:val="24"/>
        </w:rPr>
        <w:t>PEP</w:t>
      </w:r>
      <w:r w:rsidR="00AA1D39">
        <w:rPr>
          <w:rFonts w:ascii="Times New Roman" w:hAnsi="Times New Roman" w:cs="Times New Roman"/>
          <w:sz w:val="24"/>
          <w:szCs w:val="24"/>
        </w:rPr>
        <w:t xml:space="preserve">") </w:t>
      </w:r>
      <w:r w:rsidR="00C63A24" w:rsidRPr="00AA1D39">
        <w:rPr>
          <w:rFonts w:ascii="Times New Roman" w:hAnsi="Times New Roman" w:cs="Times New Roman"/>
          <w:sz w:val="24"/>
          <w:szCs w:val="24"/>
        </w:rPr>
        <w:t>chápe</w:t>
      </w:r>
      <w:r w:rsidR="00C63A24">
        <w:rPr>
          <w:rFonts w:ascii="Times New Roman" w:hAnsi="Times New Roman" w:cs="Times New Roman"/>
          <w:sz w:val="24"/>
          <w:szCs w:val="24"/>
        </w:rPr>
        <w:t xml:space="preserve"> osoby ve významné veřejné funkci (srov. text § 4 odst. 5 písm. a)), </w:t>
      </w:r>
      <w:r w:rsidR="00AA1D39">
        <w:rPr>
          <w:rFonts w:ascii="Times New Roman" w:hAnsi="Times New Roman" w:cs="Times New Roman"/>
          <w:sz w:val="24"/>
          <w:szCs w:val="24"/>
        </w:rPr>
        <w:t>které však mají</w:t>
      </w:r>
      <w:r w:rsidR="00C63A24">
        <w:rPr>
          <w:rFonts w:ascii="Times New Roman" w:hAnsi="Times New Roman" w:cs="Times New Roman"/>
          <w:sz w:val="24"/>
          <w:szCs w:val="24"/>
        </w:rPr>
        <w:t xml:space="preserve"> bydliště mimo Českou republiku, nebo danou veřejnou funkci vykonáv</w:t>
      </w:r>
      <w:r w:rsidR="00AA1D39">
        <w:rPr>
          <w:rFonts w:ascii="Times New Roman" w:hAnsi="Times New Roman" w:cs="Times New Roman"/>
          <w:sz w:val="24"/>
          <w:szCs w:val="24"/>
        </w:rPr>
        <w:t>ají</w:t>
      </w:r>
      <w:r w:rsidR="00C63A24">
        <w:rPr>
          <w:rFonts w:ascii="Times New Roman" w:hAnsi="Times New Roman" w:cs="Times New Roman"/>
          <w:sz w:val="24"/>
          <w:szCs w:val="24"/>
        </w:rPr>
        <w:t xml:space="preserve"> mimo Českou republiku. Z definice </w:t>
      </w:r>
      <w:r w:rsidR="00AA1D39">
        <w:rPr>
          <w:rFonts w:ascii="Times New Roman" w:hAnsi="Times New Roman" w:cs="Times New Roman"/>
          <w:sz w:val="24"/>
          <w:szCs w:val="24"/>
        </w:rPr>
        <w:t xml:space="preserve">PEP </w:t>
      </w:r>
      <w:r w:rsidR="00C63A24">
        <w:rPr>
          <w:rFonts w:ascii="Times New Roman" w:hAnsi="Times New Roman" w:cs="Times New Roman"/>
          <w:sz w:val="24"/>
          <w:szCs w:val="24"/>
        </w:rPr>
        <w:t>jsou tak vyloučeny české politicky exponované osoby, s výjimkou těc</w:t>
      </w:r>
      <w:r w:rsidR="00AA1D39">
        <w:rPr>
          <w:rFonts w:ascii="Times New Roman" w:hAnsi="Times New Roman" w:cs="Times New Roman"/>
          <w:sz w:val="24"/>
          <w:szCs w:val="24"/>
        </w:rPr>
        <w:t xml:space="preserve">h, které mají bydliště mimo ČR a těch, které veřejnou funkci vykonávají mimo ČR. </w:t>
      </w:r>
    </w:p>
    <w:p w14:paraId="7323845C" w14:textId="3DDCC255" w:rsidR="00C63A24" w:rsidRDefault="00C63A24" w:rsidP="00EC7943">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CB01FF" w14:paraId="69176914" w14:textId="77777777" w:rsidTr="008234CA">
        <w:tc>
          <w:tcPr>
            <w:tcW w:w="4531" w:type="dxa"/>
            <w:shd w:val="clear" w:color="auto" w:fill="DEEAF6" w:themeFill="accent1" w:themeFillTint="33"/>
          </w:tcPr>
          <w:p w14:paraId="3499C365" w14:textId="77777777" w:rsidR="00CB01FF" w:rsidRPr="00093F8B" w:rsidRDefault="00CB01FF" w:rsidP="008234CA">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09E9CAD8" w14:textId="77777777" w:rsidR="00CB01FF" w:rsidRPr="00093F8B" w:rsidRDefault="00CB01FF" w:rsidP="008234CA">
            <w:pPr>
              <w:rPr>
                <w:rFonts w:ascii="Times New Roman" w:hAnsi="Times New Roman" w:cs="Times New Roman"/>
                <w:b/>
                <w:sz w:val="24"/>
                <w:szCs w:val="24"/>
              </w:rPr>
            </w:pPr>
            <w:r>
              <w:rPr>
                <w:rFonts w:ascii="Times New Roman" w:hAnsi="Times New Roman" w:cs="Times New Roman"/>
                <w:b/>
                <w:sz w:val="24"/>
                <w:szCs w:val="24"/>
              </w:rPr>
              <w:t>Varianty</w:t>
            </w:r>
          </w:p>
        </w:tc>
      </w:tr>
      <w:tr w:rsidR="00CB01FF" w14:paraId="1FCAFE7C" w14:textId="77777777" w:rsidTr="008234CA">
        <w:tc>
          <w:tcPr>
            <w:tcW w:w="4531" w:type="dxa"/>
            <w:vMerge w:val="restart"/>
          </w:tcPr>
          <w:p w14:paraId="42270F57" w14:textId="77777777" w:rsidR="00CB01FF" w:rsidRPr="00CB01FF" w:rsidRDefault="00CB01FF" w:rsidP="00CB01FF">
            <w:pPr>
              <w:jc w:val="both"/>
              <w:rPr>
                <w:rFonts w:ascii="Times New Roman" w:hAnsi="Times New Roman" w:cs="Times New Roman"/>
                <w:sz w:val="24"/>
                <w:szCs w:val="24"/>
              </w:rPr>
            </w:pPr>
            <w:r w:rsidRPr="00CB01FF">
              <w:rPr>
                <w:rFonts w:ascii="Times New Roman" w:hAnsi="Times New Roman" w:cs="Times New Roman"/>
                <w:sz w:val="24"/>
                <w:szCs w:val="24"/>
              </w:rPr>
              <w:t>Definice politicky exponovaných osob</w:t>
            </w:r>
          </w:p>
          <w:p w14:paraId="6F8445BC" w14:textId="77777777" w:rsidR="00CB01FF" w:rsidRPr="00784F59" w:rsidRDefault="00CB01FF" w:rsidP="008234CA">
            <w:pPr>
              <w:jc w:val="both"/>
              <w:rPr>
                <w:rFonts w:ascii="Times New Roman" w:hAnsi="Times New Roman"/>
                <w:sz w:val="24"/>
                <w:szCs w:val="24"/>
              </w:rPr>
            </w:pPr>
          </w:p>
        </w:tc>
        <w:tc>
          <w:tcPr>
            <w:tcW w:w="4531" w:type="dxa"/>
          </w:tcPr>
          <w:p w14:paraId="407421ED" w14:textId="77777777" w:rsidR="00CB01FF" w:rsidRDefault="00CB01FF" w:rsidP="008234CA">
            <w:pPr>
              <w:rPr>
                <w:rFonts w:ascii="Times New Roman" w:hAnsi="Times New Roman" w:cs="Times New Roman"/>
                <w:sz w:val="24"/>
                <w:szCs w:val="24"/>
              </w:rPr>
            </w:pPr>
            <w:r>
              <w:rPr>
                <w:rFonts w:ascii="Times New Roman" w:hAnsi="Times New Roman" w:cs="Times New Roman"/>
                <w:sz w:val="24"/>
                <w:szCs w:val="24"/>
              </w:rPr>
              <w:t>Nulová varianta (pouze formální)</w:t>
            </w:r>
          </w:p>
          <w:p w14:paraId="424658D7" w14:textId="77777777" w:rsidR="00CB01FF" w:rsidRDefault="00CB01FF" w:rsidP="008234CA">
            <w:pPr>
              <w:rPr>
                <w:rFonts w:ascii="Times New Roman" w:hAnsi="Times New Roman" w:cs="Times New Roman"/>
                <w:sz w:val="24"/>
                <w:szCs w:val="24"/>
              </w:rPr>
            </w:pPr>
          </w:p>
        </w:tc>
      </w:tr>
      <w:tr w:rsidR="00CB01FF" w14:paraId="26C38E4E" w14:textId="77777777" w:rsidTr="008234CA">
        <w:tc>
          <w:tcPr>
            <w:tcW w:w="4531" w:type="dxa"/>
            <w:vMerge/>
          </w:tcPr>
          <w:p w14:paraId="49918E5F" w14:textId="77777777" w:rsidR="00CB01FF" w:rsidRDefault="00CB01FF" w:rsidP="008234CA">
            <w:pPr>
              <w:jc w:val="both"/>
              <w:rPr>
                <w:rFonts w:ascii="Times New Roman" w:hAnsi="Times New Roman" w:cs="Times New Roman"/>
                <w:sz w:val="24"/>
                <w:szCs w:val="24"/>
              </w:rPr>
            </w:pPr>
          </w:p>
        </w:tc>
        <w:tc>
          <w:tcPr>
            <w:tcW w:w="4531" w:type="dxa"/>
          </w:tcPr>
          <w:p w14:paraId="700FBC9C" w14:textId="77777777" w:rsidR="00CB01FF" w:rsidRDefault="00CB01FF" w:rsidP="00DC093F">
            <w:pPr>
              <w:rPr>
                <w:rFonts w:ascii="Times New Roman" w:hAnsi="Times New Roman" w:cs="Times New Roman"/>
                <w:sz w:val="24"/>
                <w:szCs w:val="24"/>
              </w:rPr>
            </w:pPr>
            <w:r>
              <w:rPr>
                <w:rFonts w:ascii="Times New Roman" w:hAnsi="Times New Roman" w:cs="Times New Roman"/>
                <w:sz w:val="24"/>
                <w:szCs w:val="24"/>
              </w:rPr>
              <w:t xml:space="preserve">Změna definice v souladu se směrnicí </w:t>
            </w:r>
          </w:p>
        </w:tc>
      </w:tr>
    </w:tbl>
    <w:p w14:paraId="373713E3" w14:textId="77777777" w:rsidR="00CB01FF" w:rsidRDefault="00CB01FF" w:rsidP="00EC7943">
      <w:pPr>
        <w:jc w:val="both"/>
        <w:rPr>
          <w:rFonts w:ascii="Times New Roman" w:hAnsi="Times New Roman" w:cs="Times New Roman"/>
          <w:sz w:val="24"/>
          <w:szCs w:val="24"/>
        </w:rPr>
      </w:pPr>
    </w:p>
    <w:p w14:paraId="5702C53A" w14:textId="77777777" w:rsidR="00CB01FF" w:rsidRDefault="00471732" w:rsidP="0040278F">
      <w:pPr>
        <w:pStyle w:val="Odstavecseseznamem"/>
        <w:numPr>
          <w:ilvl w:val="1"/>
          <w:numId w:val="1"/>
        </w:numPr>
        <w:ind w:left="432"/>
        <w:rPr>
          <w:rFonts w:ascii="Times New Roman" w:hAnsi="Times New Roman"/>
          <w:b/>
          <w:sz w:val="24"/>
          <w:szCs w:val="24"/>
        </w:rPr>
      </w:pPr>
      <w:r w:rsidRPr="0040278F">
        <w:rPr>
          <w:rFonts w:ascii="Times New Roman" w:hAnsi="Times New Roman"/>
          <w:b/>
          <w:sz w:val="24"/>
          <w:szCs w:val="24"/>
        </w:rPr>
        <w:t xml:space="preserve">Zahrnutí </w:t>
      </w:r>
      <w:r w:rsidR="00D103F0" w:rsidRPr="0040278F">
        <w:rPr>
          <w:rFonts w:ascii="Times New Roman" w:hAnsi="Times New Roman"/>
          <w:b/>
          <w:sz w:val="24"/>
          <w:szCs w:val="24"/>
        </w:rPr>
        <w:t>poskytovatelů služeb spojených s virtuálními měnami mezi povinné osoby</w:t>
      </w:r>
    </w:p>
    <w:p w14:paraId="7A291538" w14:textId="77777777" w:rsidR="0054088B" w:rsidRPr="0040278F" w:rsidRDefault="0054088B" w:rsidP="0040278F">
      <w:pPr>
        <w:pStyle w:val="Odstavecseseznamem"/>
        <w:ind w:left="432" w:firstLine="0"/>
        <w:rPr>
          <w:rFonts w:ascii="Times New Roman" w:hAnsi="Times New Roman"/>
          <w:b/>
          <w:sz w:val="24"/>
          <w:szCs w:val="24"/>
        </w:rPr>
      </w:pPr>
    </w:p>
    <w:p w14:paraId="20553324" w14:textId="7FF55829" w:rsidR="00471732" w:rsidRDefault="00471732" w:rsidP="00EC7943">
      <w:pPr>
        <w:jc w:val="both"/>
        <w:rPr>
          <w:rFonts w:ascii="Times New Roman" w:hAnsi="Times New Roman" w:cs="Times New Roman"/>
          <w:sz w:val="24"/>
          <w:szCs w:val="24"/>
        </w:rPr>
      </w:pPr>
      <w:r>
        <w:rPr>
          <w:rFonts w:ascii="Times New Roman" w:hAnsi="Times New Roman" w:cs="Times New Roman"/>
          <w:sz w:val="24"/>
          <w:szCs w:val="24"/>
        </w:rPr>
        <w:t>Zvažovaná změna není vyvolána přijetím čtvrté AML směrnice</w:t>
      </w:r>
      <w:r w:rsidR="0040290D">
        <w:rPr>
          <w:rFonts w:ascii="Times New Roman" w:hAnsi="Times New Roman" w:cs="Times New Roman"/>
          <w:sz w:val="24"/>
          <w:szCs w:val="24"/>
        </w:rPr>
        <w:t>, nicméně je důsledkem hodnocení rizik, vyplývajících z nových produktů či technologií</w:t>
      </w:r>
      <w:r w:rsidR="00605C79">
        <w:rPr>
          <w:rFonts w:ascii="Times New Roman" w:hAnsi="Times New Roman" w:cs="Times New Roman"/>
          <w:sz w:val="24"/>
          <w:szCs w:val="24"/>
        </w:rPr>
        <w:t xml:space="preserve">, jak ukládá </w:t>
      </w:r>
      <w:r w:rsidR="00CB63FC">
        <w:rPr>
          <w:rFonts w:ascii="Times New Roman" w:hAnsi="Times New Roman" w:cs="Times New Roman"/>
          <w:sz w:val="24"/>
          <w:szCs w:val="24"/>
        </w:rPr>
        <w:t>doporučení FATF</w:t>
      </w:r>
      <w:r w:rsidR="00605C79">
        <w:rPr>
          <w:rFonts w:ascii="Times New Roman" w:hAnsi="Times New Roman" w:cs="Times New Roman"/>
          <w:sz w:val="24"/>
          <w:szCs w:val="24"/>
        </w:rPr>
        <w:t xml:space="preserve"> č. 15</w:t>
      </w:r>
      <w:r>
        <w:rPr>
          <w:rFonts w:ascii="Times New Roman" w:hAnsi="Times New Roman" w:cs="Times New Roman"/>
          <w:sz w:val="24"/>
          <w:szCs w:val="24"/>
        </w:rPr>
        <w:t xml:space="preserve">. Stávající AML zákon </w:t>
      </w:r>
      <w:r w:rsidR="006B52D1">
        <w:rPr>
          <w:rFonts w:ascii="Times New Roman" w:hAnsi="Times New Roman" w:cs="Times New Roman"/>
          <w:sz w:val="24"/>
          <w:szCs w:val="24"/>
        </w:rPr>
        <w:t>upravuje</w:t>
      </w:r>
      <w:r>
        <w:rPr>
          <w:rFonts w:ascii="Times New Roman" w:hAnsi="Times New Roman" w:cs="Times New Roman"/>
          <w:sz w:val="24"/>
          <w:szCs w:val="24"/>
        </w:rPr>
        <w:t xml:space="preserve"> problematiku elektronických peněz</w:t>
      </w:r>
      <w:r w:rsidR="00F86B85">
        <w:rPr>
          <w:rFonts w:ascii="Times New Roman" w:hAnsi="Times New Roman" w:cs="Times New Roman"/>
          <w:sz w:val="24"/>
          <w:szCs w:val="24"/>
        </w:rPr>
        <w:t>.</w:t>
      </w:r>
      <w:r>
        <w:rPr>
          <w:rStyle w:val="Znakapoznpodarou"/>
          <w:rFonts w:ascii="Times New Roman" w:hAnsi="Times New Roman" w:cs="Times New Roman"/>
          <w:sz w:val="24"/>
          <w:szCs w:val="24"/>
        </w:rPr>
        <w:footnoteReference w:id="2"/>
      </w:r>
      <w:r w:rsidR="00F86B85">
        <w:rPr>
          <w:rFonts w:ascii="Times New Roman" w:hAnsi="Times New Roman" w:cs="Times New Roman"/>
          <w:sz w:val="24"/>
          <w:szCs w:val="24"/>
        </w:rPr>
        <w:t xml:space="preserve"> Instituce elektronických peněz, resp. vydavatele elektronických peněz zahrnuje mezi povin</w:t>
      </w:r>
      <w:r w:rsidR="0002013B">
        <w:rPr>
          <w:rFonts w:ascii="Times New Roman" w:hAnsi="Times New Roman" w:cs="Times New Roman"/>
          <w:sz w:val="24"/>
          <w:szCs w:val="24"/>
        </w:rPr>
        <w:t>né osoby (§</w:t>
      </w:r>
      <w:r w:rsidR="00CB63FC">
        <w:rPr>
          <w:rFonts w:ascii="Times New Roman" w:hAnsi="Times New Roman" w:cs="Times New Roman"/>
          <w:sz w:val="24"/>
          <w:szCs w:val="24"/>
        </w:rPr>
        <w:t> </w:t>
      </w:r>
      <w:r w:rsidR="0002013B">
        <w:rPr>
          <w:rFonts w:ascii="Times New Roman" w:hAnsi="Times New Roman" w:cs="Times New Roman"/>
          <w:sz w:val="24"/>
          <w:szCs w:val="24"/>
        </w:rPr>
        <w:t>2 odst. 1 písm. b</w:t>
      </w:r>
      <w:r w:rsidR="00605C79">
        <w:rPr>
          <w:rFonts w:ascii="Times New Roman" w:hAnsi="Times New Roman" w:cs="Times New Roman"/>
          <w:sz w:val="24"/>
          <w:szCs w:val="24"/>
        </w:rPr>
        <w:t>)</w:t>
      </w:r>
      <w:r w:rsidR="0002013B">
        <w:rPr>
          <w:rFonts w:ascii="Times New Roman" w:hAnsi="Times New Roman" w:cs="Times New Roman"/>
          <w:sz w:val="24"/>
          <w:szCs w:val="24"/>
        </w:rPr>
        <w:t xml:space="preserve"> bod 5) a upravuje výjimku z povinnosti identifikace a kontroly klienta, pokud transakce nepřekročí stanovenou výši (§ 13)</w:t>
      </w:r>
      <w:r w:rsidR="00AF2B91">
        <w:rPr>
          <w:rFonts w:ascii="Times New Roman" w:hAnsi="Times New Roman" w:cs="Times New Roman"/>
          <w:sz w:val="24"/>
          <w:szCs w:val="24"/>
        </w:rPr>
        <w:t xml:space="preserve">. </w:t>
      </w:r>
      <w:r w:rsidR="0002013B">
        <w:rPr>
          <w:rFonts w:ascii="Times New Roman" w:hAnsi="Times New Roman" w:cs="Times New Roman"/>
          <w:sz w:val="24"/>
          <w:szCs w:val="24"/>
        </w:rPr>
        <w:t xml:space="preserve"> </w:t>
      </w:r>
      <w:r w:rsidR="00D103F0">
        <w:rPr>
          <w:rFonts w:ascii="Times New Roman" w:hAnsi="Times New Roman" w:cs="Times New Roman"/>
          <w:sz w:val="24"/>
          <w:szCs w:val="24"/>
        </w:rPr>
        <w:t xml:space="preserve">AML zákon však neřeší poskytování služeb spojených s virtuálními měnami (tzv. „směnárníky s virtuálními měnami“), kde </w:t>
      </w:r>
      <w:r w:rsidR="00D103F0">
        <w:rPr>
          <w:rFonts w:ascii="Times New Roman" w:hAnsi="Times New Roman" w:cs="Times New Roman"/>
          <w:sz w:val="24"/>
          <w:szCs w:val="24"/>
        </w:rPr>
        <w:lastRenderedPageBreak/>
        <w:t>předkladatel zvážil zahrnutí těchto osob mezi povinné osoby.</w:t>
      </w:r>
      <w:r w:rsidR="00AF6916">
        <w:rPr>
          <w:rFonts w:ascii="Times New Roman" w:hAnsi="Times New Roman" w:cs="Times New Roman"/>
          <w:sz w:val="24"/>
          <w:szCs w:val="24"/>
        </w:rPr>
        <w:t xml:space="preserve"> Virtuální měny nepředstavují elektronické peníze, neboť nejsou „měnami“ v právním smyslu. Jsou nicméně využívány jako platební nástroje a představují AML rizika.</w:t>
      </w:r>
      <w:r w:rsidR="00EE5223">
        <w:rPr>
          <w:rFonts w:ascii="Times New Roman" w:hAnsi="Times New Roman" w:cs="Times New Roman"/>
          <w:sz w:val="24"/>
          <w:szCs w:val="24"/>
        </w:rPr>
        <w:t xml:space="preserve"> Dle zprávy Evropské centrální banky (</w:t>
      </w:r>
      <w:proofErr w:type="spellStart"/>
      <w:r w:rsidR="00EE5223" w:rsidRPr="00D17588">
        <w:rPr>
          <w:rFonts w:ascii="Times New Roman" w:hAnsi="Times New Roman" w:cs="Times New Roman"/>
          <w:sz w:val="24"/>
          <w:szCs w:val="24"/>
        </w:rPr>
        <w:t>Virtual</w:t>
      </w:r>
      <w:proofErr w:type="spellEnd"/>
      <w:r w:rsidR="00EE5223" w:rsidRPr="00D17588">
        <w:rPr>
          <w:rFonts w:ascii="Times New Roman" w:hAnsi="Times New Roman" w:cs="Times New Roman"/>
          <w:sz w:val="24"/>
          <w:szCs w:val="24"/>
        </w:rPr>
        <w:t xml:space="preserve"> </w:t>
      </w:r>
      <w:proofErr w:type="spellStart"/>
      <w:r w:rsidR="00EE5223" w:rsidRPr="00D17588">
        <w:rPr>
          <w:rFonts w:ascii="Times New Roman" w:hAnsi="Times New Roman" w:cs="Times New Roman"/>
          <w:sz w:val="24"/>
          <w:szCs w:val="24"/>
        </w:rPr>
        <w:t>Currency</w:t>
      </w:r>
      <w:proofErr w:type="spellEnd"/>
      <w:r w:rsidR="00EE5223" w:rsidRPr="00D17588">
        <w:rPr>
          <w:rFonts w:ascii="Times New Roman" w:hAnsi="Times New Roman" w:cs="Times New Roman"/>
          <w:sz w:val="24"/>
          <w:szCs w:val="24"/>
        </w:rPr>
        <w:t xml:space="preserve"> </w:t>
      </w:r>
      <w:proofErr w:type="spellStart"/>
      <w:r w:rsidR="00EE5223" w:rsidRPr="00D17588">
        <w:rPr>
          <w:rFonts w:ascii="Times New Roman" w:hAnsi="Times New Roman" w:cs="Times New Roman"/>
          <w:sz w:val="24"/>
          <w:szCs w:val="24"/>
        </w:rPr>
        <w:t>Schemes</w:t>
      </w:r>
      <w:proofErr w:type="spellEnd"/>
      <w:r w:rsidR="00EE5223" w:rsidRPr="00D17588">
        <w:rPr>
          <w:rFonts w:ascii="Times New Roman" w:hAnsi="Times New Roman" w:cs="Times New Roman"/>
          <w:sz w:val="24"/>
          <w:szCs w:val="24"/>
        </w:rPr>
        <w:t xml:space="preserve"> – A </w:t>
      </w:r>
      <w:proofErr w:type="spellStart"/>
      <w:r w:rsidR="00EE5223" w:rsidRPr="00D17588">
        <w:rPr>
          <w:rFonts w:ascii="Times New Roman" w:hAnsi="Times New Roman" w:cs="Times New Roman"/>
          <w:sz w:val="24"/>
          <w:szCs w:val="24"/>
        </w:rPr>
        <w:t>Further</w:t>
      </w:r>
      <w:proofErr w:type="spellEnd"/>
      <w:r w:rsidR="00EE5223" w:rsidRPr="00D17588">
        <w:rPr>
          <w:rFonts w:ascii="Times New Roman" w:hAnsi="Times New Roman" w:cs="Times New Roman"/>
          <w:sz w:val="24"/>
          <w:szCs w:val="24"/>
        </w:rPr>
        <w:t xml:space="preserve"> </w:t>
      </w:r>
      <w:proofErr w:type="spellStart"/>
      <w:r w:rsidR="00EE5223" w:rsidRPr="00D17588">
        <w:rPr>
          <w:rFonts w:ascii="Times New Roman" w:hAnsi="Times New Roman" w:cs="Times New Roman"/>
          <w:sz w:val="24"/>
          <w:szCs w:val="24"/>
        </w:rPr>
        <w:t>Analysis</w:t>
      </w:r>
      <w:proofErr w:type="spellEnd"/>
      <w:r w:rsidR="00EE5223" w:rsidRPr="00D17588">
        <w:rPr>
          <w:rFonts w:ascii="Times New Roman" w:hAnsi="Times New Roman" w:cs="Times New Roman"/>
          <w:sz w:val="24"/>
          <w:szCs w:val="24"/>
        </w:rPr>
        <w:t xml:space="preserve">, </w:t>
      </w:r>
      <w:proofErr w:type="spellStart"/>
      <w:r w:rsidR="00EE5223" w:rsidRPr="00D17588">
        <w:rPr>
          <w:rFonts w:ascii="Times New Roman" w:hAnsi="Times New Roman" w:cs="Times New Roman"/>
          <w:sz w:val="24"/>
          <w:szCs w:val="24"/>
        </w:rPr>
        <w:t>February</w:t>
      </w:r>
      <w:proofErr w:type="spellEnd"/>
      <w:r w:rsidR="00EE5223" w:rsidRPr="00D17588">
        <w:rPr>
          <w:rFonts w:ascii="Times New Roman" w:hAnsi="Times New Roman" w:cs="Times New Roman"/>
          <w:sz w:val="24"/>
          <w:szCs w:val="24"/>
        </w:rPr>
        <w:t xml:space="preserve"> 2015</w:t>
      </w:r>
      <w:r w:rsidR="00EE5223">
        <w:rPr>
          <w:rFonts w:ascii="Times New Roman" w:hAnsi="Times New Roman" w:cs="Times New Roman"/>
          <w:sz w:val="24"/>
          <w:szCs w:val="24"/>
        </w:rPr>
        <w:t>)</w:t>
      </w:r>
      <w:r w:rsidR="0061587E">
        <w:rPr>
          <w:rFonts w:ascii="Times New Roman" w:hAnsi="Times New Roman" w:cs="Times New Roman"/>
          <w:sz w:val="24"/>
          <w:szCs w:val="24"/>
        </w:rPr>
        <w:t xml:space="preserve"> jsou hlavními riziky nedostatek transparentnosti a kontinuity, závislost na IT platformě a sítích, a anonymita účastníků systému, zvl. příjemce platby.</w:t>
      </w:r>
    </w:p>
    <w:p w14:paraId="024425DE" w14:textId="77777777" w:rsidR="00605C79" w:rsidRPr="00555D7A" w:rsidRDefault="00605C79" w:rsidP="00EC7943">
      <w:pPr>
        <w:jc w:val="both"/>
        <w:rPr>
          <w:rFonts w:ascii="Times New Roman" w:hAnsi="Times New Roman" w:cs="Times New Roman"/>
          <w:i/>
          <w:sz w:val="24"/>
          <w:szCs w:val="24"/>
        </w:rPr>
      </w:pPr>
    </w:p>
    <w:tbl>
      <w:tblPr>
        <w:tblStyle w:val="Mkatabulky"/>
        <w:tblW w:w="0" w:type="auto"/>
        <w:tblLook w:val="04A0" w:firstRow="1" w:lastRow="0" w:firstColumn="1" w:lastColumn="0" w:noHBand="0" w:noVBand="1"/>
      </w:tblPr>
      <w:tblGrid>
        <w:gridCol w:w="4531"/>
        <w:gridCol w:w="4531"/>
      </w:tblGrid>
      <w:tr w:rsidR="00AF2B91" w14:paraId="14728342" w14:textId="77777777" w:rsidTr="008234CA">
        <w:tc>
          <w:tcPr>
            <w:tcW w:w="4531" w:type="dxa"/>
            <w:shd w:val="clear" w:color="auto" w:fill="DEEAF6" w:themeFill="accent1" w:themeFillTint="33"/>
          </w:tcPr>
          <w:p w14:paraId="775DB5EB" w14:textId="77777777" w:rsidR="00AF2B91" w:rsidRPr="00093F8B" w:rsidRDefault="00AF2B91" w:rsidP="008234CA">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6118EE15" w14:textId="77777777" w:rsidR="00AF2B91" w:rsidRPr="00093F8B" w:rsidRDefault="00AF2B91" w:rsidP="008234CA">
            <w:pPr>
              <w:rPr>
                <w:rFonts w:ascii="Times New Roman" w:hAnsi="Times New Roman" w:cs="Times New Roman"/>
                <w:b/>
                <w:sz w:val="24"/>
                <w:szCs w:val="24"/>
              </w:rPr>
            </w:pPr>
            <w:r>
              <w:rPr>
                <w:rFonts w:ascii="Times New Roman" w:hAnsi="Times New Roman" w:cs="Times New Roman"/>
                <w:b/>
                <w:sz w:val="24"/>
                <w:szCs w:val="24"/>
              </w:rPr>
              <w:t>Varianty</w:t>
            </w:r>
          </w:p>
        </w:tc>
      </w:tr>
      <w:tr w:rsidR="00D646F5" w14:paraId="32A6EBF6" w14:textId="77777777" w:rsidTr="008234CA">
        <w:tc>
          <w:tcPr>
            <w:tcW w:w="4531" w:type="dxa"/>
            <w:vMerge w:val="restart"/>
          </w:tcPr>
          <w:p w14:paraId="08223679" w14:textId="77777777" w:rsidR="00D646F5" w:rsidRPr="00AF2B91" w:rsidRDefault="00D646F5" w:rsidP="00AF2B91">
            <w:pPr>
              <w:jc w:val="both"/>
              <w:rPr>
                <w:rFonts w:ascii="Times New Roman" w:hAnsi="Times New Roman" w:cs="Times New Roman"/>
                <w:sz w:val="24"/>
                <w:szCs w:val="24"/>
              </w:rPr>
            </w:pPr>
            <w:r w:rsidRPr="00AF2B91">
              <w:rPr>
                <w:rFonts w:ascii="Times New Roman" w:hAnsi="Times New Roman" w:cs="Times New Roman"/>
                <w:sz w:val="24"/>
                <w:szCs w:val="24"/>
              </w:rPr>
              <w:t xml:space="preserve">Zahrnutí </w:t>
            </w:r>
            <w:r w:rsidR="00D103F0" w:rsidRPr="00D103F0">
              <w:rPr>
                <w:rFonts w:ascii="Times New Roman" w:hAnsi="Times New Roman" w:cs="Times New Roman"/>
                <w:sz w:val="24"/>
                <w:szCs w:val="24"/>
              </w:rPr>
              <w:t>poskytovatelů služeb spojených s virtuálními měnami mezi povinné osoby</w:t>
            </w:r>
          </w:p>
          <w:p w14:paraId="23907BFA" w14:textId="77777777" w:rsidR="00D646F5" w:rsidRPr="00784F59" w:rsidRDefault="00D646F5" w:rsidP="008234CA">
            <w:pPr>
              <w:jc w:val="both"/>
              <w:rPr>
                <w:rFonts w:ascii="Times New Roman" w:hAnsi="Times New Roman"/>
                <w:sz w:val="24"/>
                <w:szCs w:val="24"/>
              </w:rPr>
            </w:pPr>
          </w:p>
        </w:tc>
        <w:tc>
          <w:tcPr>
            <w:tcW w:w="4531" w:type="dxa"/>
          </w:tcPr>
          <w:p w14:paraId="78F0EC40" w14:textId="77777777" w:rsidR="00D646F5" w:rsidRDefault="00D646F5" w:rsidP="008234CA">
            <w:pPr>
              <w:rPr>
                <w:rFonts w:ascii="Times New Roman" w:hAnsi="Times New Roman" w:cs="Times New Roman"/>
                <w:sz w:val="24"/>
                <w:szCs w:val="24"/>
              </w:rPr>
            </w:pPr>
            <w:r>
              <w:rPr>
                <w:rFonts w:ascii="Times New Roman" w:hAnsi="Times New Roman" w:cs="Times New Roman"/>
                <w:sz w:val="24"/>
                <w:szCs w:val="24"/>
              </w:rPr>
              <w:t>Nulová varianta (v souladu se směrnicí)</w:t>
            </w:r>
          </w:p>
          <w:p w14:paraId="4DA44990" w14:textId="77777777" w:rsidR="00D646F5" w:rsidRDefault="00D646F5" w:rsidP="008234CA">
            <w:pPr>
              <w:rPr>
                <w:rFonts w:ascii="Times New Roman" w:hAnsi="Times New Roman" w:cs="Times New Roman"/>
                <w:sz w:val="24"/>
                <w:szCs w:val="24"/>
              </w:rPr>
            </w:pPr>
          </w:p>
        </w:tc>
      </w:tr>
      <w:tr w:rsidR="00D646F5" w14:paraId="41ED5FE6" w14:textId="77777777" w:rsidTr="008234CA">
        <w:tc>
          <w:tcPr>
            <w:tcW w:w="4531" w:type="dxa"/>
            <w:vMerge/>
          </w:tcPr>
          <w:p w14:paraId="48B6FD41" w14:textId="77777777" w:rsidR="00D646F5" w:rsidRDefault="00D646F5" w:rsidP="008234CA">
            <w:pPr>
              <w:jc w:val="both"/>
              <w:rPr>
                <w:rFonts w:ascii="Times New Roman" w:hAnsi="Times New Roman" w:cs="Times New Roman"/>
                <w:sz w:val="24"/>
                <w:szCs w:val="24"/>
              </w:rPr>
            </w:pPr>
          </w:p>
        </w:tc>
        <w:tc>
          <w:tcPr>
            <w:tcW w:w="4531" w:type="dxa"/>
          </w:tcPr>
          <w:p w14:paraId="2F1E8BFE" w14:textId="77777777" w:rsidR="00D646F5" w:rsidRDefault="00D103F0" w:rsidP="0002013B">
            <w:pPr>
              <w:rPr>
                <w:rFonts w:ascii="Times New Roman" w:hAnsi="Times New Roman" w:cs="Times New Roman"/>
                <w:sz w:val="24"/>
                <w:szCs w:val="24"/>
              </w:rPr>
            </w:pPr>
            <w:r w:rsidRPr="00D103F0">
              <w:rPr>
                <w:rFonts w:ascii="Times New Roman" w:hAnsi="Times New Roman" w:cs="Times New Roman"/>
                <w:sz w:val="24"/>
                <w:szCs w:val="24"/>
              </w:rPr>
              <w:t>Zahrnout</w:t>
            </w:r>
            <w:r w:rsidR="0002013B" w:rsidRPr="00D103F0">
              <w:rPr>
                <w:rFonts w:ascii="Times New Roman" w:hAnsi="Times New Roman" w:cs="Times New Roman"/>
                <w:sz w:val="24"/>
                <w:szCs w:val="24"/>
              </w:rPr>
              <w:t xml:space="preserve"> </w:t>
            </w:r>
            <w:r>
              <w:rPr>
                <w:rFonts w:ascii="Times New Roman" w:hAnsi="Times New Roman" w:cs="Times New Roman"/>
                <w:sz w:val="24"/>
                <w:szCs w:val="24"/>
              </w:rPr>
              <w:t xml:space="preserve">poskytovatele </w:t>
            </w:r>
            <w:r w:rsidRPr="00D103F0">
              <w:rPr>
                <w:rFonts w:ascii="Times New Roman" w:hAnsi="Times New Roman" w:cs="Times New Roman"/>
                <w:sz w:val="24"/>
                <w:szCs w:val="24"/>
              </w:rPr>
              <w:t xml:space="preserve">služeb spojených s virtuálními měnami </w:t>
            </w:r>
            <w:r>
              <w:rPr>
                <w:rFonts w:ascii="Times New Roman" w:hAnsi="Times New Roman" w:cs="Times New Roman"/>
                <w:sz w:val="24"/>
                <w:szCs w:val="24"/>
              </w:rPr>
              <w:t xml:space="preserve">(„směnárníky s virtuálními měnami“) </w:t>
            </w:r>
            <w:r w:rsidRPr="00D103F0">
              <w:rPr>
                <w:rFonts w:ascii="Times New Roman" w:hAnsi="Times New Roman" w:cs="Times New Roman"/>
                <w:sz w:val="24"/>
                <w:szCs w:val="24"/>
              </w:rPr>
              <w:t>mezi povinné osoby</w:t>
            </w:r>
          </w:p>
        </w:tc>
      </w:tr>
    </w:tbl>
    <w:p w14:paraId="4A84BF1D" w14:textId="77777777" w:rsidR="00AF2B91" w:rsidRDefault="00AF2B91" w:rsidP="00AF2B91">
      <w:pPr>
        <w:jc w:val="both"/>
        <w:rPr>
          <w:rFonts w:ascii="Times New Roman" w:hAnsi="Times New Roman" w:cs="Times New Roman"/>
          <w:sz w:val="24"/>
          <w:szCs w:val="24"/>
        </w:rPr>
      </w:pPr>
    </w:p>
    <w:p w14:paraId="61A49D17" w14:textId="77777777" w:rsidR="002F7356" w:rsidRPr="00605C79" w:rsidRDefault="002F7356" w:rsidP="00605C79">
      <w:pPr>
        <w:pStyle w:val="Odstavecseseznamem"/>
        <w:numPr>
          <w:ilvl w:val="1"/>
          <w:numId w:val="1"/>
        </w:numPr>
        <w:ind w:left="432"/>
        <w:rPr>
          <w:rFonts w:ascii="Times New Roman" w:hAnsi="Times New Roman"/>
          <w:b/>
          <w:sz w:val="24"/>
          <w:szCs w:val="24"/>
        </w:rPr>
      </w:pPr>
      <w:r w:rsidRPr="00605C79">
        <w:rPr>
          <w:rFonts w:ascii="Times New Roman" w:hAnsi="Times New Roman"/>
          <w:b/>
          <w:sz w:val="24"/>
          <w:szCs w:val="24"/>
        </w:rPr>
        <w:t>Hodnocení rizik povinnými osobami</w:t>
      </w:r>
    </w:p>
    <w:p w14:paraId="032B683B" w14:textId="77777777" w:rsidR="002F7356" w:rsidRPr="006E39F9" w:rsidRDefault="002F7356" w:rsidP="002F7356">
      <w:pPr>
        <w:jc w:val="both"/>
        <w:rPr>
          <w:rFonts w:ascii="Times New Roman" w:hAnsi="Times New Roman" w:cs="Times New Roman"/>
          <w:sz w:val="24"/>
          <w:szCs w:val="24"/>
        </w:rPr>
      </w:pPr>
      <w:r w:rsidRPr="00B744DC">
        <w:rPr>
          <w:rFonts w:ascii="Times New Roman" w:hAnsi="Times New Roman" w:cs="Times New Roman"/>
          <w:sz w:val="24"/>
          <w:szCs w:val="24"/>
        </w:rPr>
        <w:t xml:space="preserve">Čtvrtá AML směrnice </w:t>
      </w:r>
      <w:r w:rsidR="0030396B" w:rsidRPr="00B744DC">
        <w:rPr>
          <w:rFonts w:ascii="Times New Roman" w:hAnsi="Times New Roman" w:cs="Times New Roman"/>
          <w:sz w:val="24"/>
          <w:szCs w:val="24"/>
        </w:rPr>
        <w:t xml:space="preserve">ukládá </w:t>
      </w:r>
      <w:r w:rsidR="005E1148" w:rsidRPr="00B744DC">
        <w:rPr>
          <w:rFonts w:ascii="Times New Roman" w:hAnsi="Times New Roman" w:cs="Times New Roman"/>
          <w:sz w:val="24"/>
          <w:szCs w:val="24"/>
        </w:rPr>
        <w:t xml:space="preserve">členským státům, aby zajistily, že </w:t>
      </w:r>
      <w:r w:rsidR="0030396B" w:rsidRPr="00B744DC">
        <w:rPr>
          <w:rFonts w:ascii="Times New Roman" w:hAnsi="Times New Roman" w:cs="Times New Roman"/>
          <w:sz w:val="24"/>
          <w:szCs w:val="24"/>
        </w:rPr>
        <w:t>povinn</w:t>
      </w:r>
      <w:r w:rsidR="005E1148" w:rsidRPr="000A3CA1">
        <w:rPr>
          <w:rFonts w:ascii="Times New Roman" w:hAnsi="Times New Roman" w:cs="Times New Roman"/>
          <w:sz w:val="24"/>
          <w:szCs w:val="24"/>
        </w:rPr>
        <w:t>é</w:t>
      </w:r>
      <w:r w:rsidR="0030396B" w:rsidRPr="000A3CA1">
        <w:rPr>
          <w:rFonts w:ascii="Times New Roman" w:hAnsi="Times New Roman" w:cs="Times New Roman"/>
          <w:sz w:val="24"/>
          <w:szCs w:val="24"/>
        </w:rPr>
        <w:t xml:space="preserve"> osob</w:t>
      </w:r>
      <w:r w:rsidR="005E1148" w:rsidRPr="00856EEB">
        <w:rPr>
          <w:rFonts w:ascii="Times New Roman" w:hAnsi="Times New Roman" w:cs="Times New Roman"/>
          <w:sz w:val="24"/>
          <w:szCs w:val="24"/>
        </w:rPr>
        <w:t>y budou mít povinnost</w:t>
      </w:r>
      <w:r w:rsidR="0030396B" w:rsidRPr="006E39F9">
        <w:rPr>
          <w:rFonts w:ascii="Times New Roman" w:hAnsi="Times New Roman" w:cs="Times New Roman"/>
          <w:sz w:val="24"/>
          <w:szCs w:val="24"/>
        </w:rPr>
        <w:t xml:space="preserve"> vypracova</w:t>
      </w:r>
      <w:r w:rsidR="005E1148" w:rsidRPr="006E39F9">
        <w:rPr>
          <w:rFonts w:ascii="Times New Roman" w:hAnsi="Times New Roman" w:cs="Times New Roman"/>
          <w:sz w:val="24"/>
          <w:szCs w:val="24"/>
        </w:rPr>
        <w:t>t</w:t>
      </w:r>
      <w:r w:rsidR="0030396B" w:rsidRPr="006E39F9">
        <w:rPr>
          <w:rFonts w:ascii="Times New Roman" w:hAnsi="Times New Roman" w:cs="Times New Roman"/>
          <w:sz w:val="24"/>
          <w:szCs w:val="24"/>
        </w:rPr>
        <w:t xml:space="preserve"> hodnocení rizik, a stanoví některé podmínky tohoto procesu (čl. 8). Stávající AML zákon pouze požaduje, aby povinné osoby zavedly a uplatňovaly systém vnitřních zásad (§ 21). Ustanovení AML zákona </w:t>
      </w:r>
      <w:r w:rsidR="005E1148" w:rsidRPr="006E39F9">
        <w:rPr>
          <w:rFonts w:ascii="Times New Roman" w:hAnsi="Times New Roman" w:cs="Times New Roman"/>
          <w:sz w:val="24"/>
          <w:szCs w:val="24"/>
        </w:rPr>
        <w:t xml:space="preserve">tak </w:t>
      </w:r>
      <w:r w:rsidR="00F82B42" w:rsidRPr="006E39F9">
        <w:rPr>
          <w:rFonts w:ascii="Times New Roman" w:hAnsi="Times New Roman" w:cs="Times New Roman"/>
          <w:sz w:val="24"/>
          <w:szCs w:val="24"/>
        </w:rPr>
        <w:t>je</w:t>
      </w:r>
      <w:r w:rsidR="0030396B" w:rsidRPr="006E39F9">
        <w:rPr>
          <w:rFonts w:ascii="Times New Roman" w:hAnsi="Times New Roman" w:cs="Times New Roman"/>
          <w:sz w:val="24"/>
          <w:szCs w:val="24"/>
        </w:rPr>
        <w:t xml:space="preserve"> třeba doplnit o pravidla hodnocení rizik.</w:t>
      </w:r>
    </w:p>
    <w:tbl>
      <w:tblPr>
        <w:tblStyle w:val="Mkatabulky"/>
        <w:tblW w:w="0" w:type="auto"/>
        <w:tblLook w:val="04A0" w:firstRow="1" w:lastRow="0" w:firstColumn="1" w:lastColumn="0" w:noHBand="0" w:noVBand="1"/>
      </w:tblPr>
      <w:tblGrid>
        <w:gridCol w:w="4531"/>
        <w:gridCol w:w="4531"/>
      </w:tblGrid>
      <w:tr w:rsidR="0030396B" w:rsidRPr="006E39F9" w14:paraId="1682A016" w14:textId="77777777" w:rsidTr="008234CA">
        <w:tc>
          <w:tcPr>
            <w:tcW w:w="4531" w:type="dxa"/>
            <w:shd w:val="clear" w:color="auto" w:fill="DEEAF6" w:themeFill="accent1" w:themeFillTint="33"/>
          </w:tcPr>
          <w:p w14:paraId="334A4FFD" w14:textId="77777777" w:rsidR="0030396B" w:rsidRPr="006E39F9" w:rsidRDefault="0030396B" w:rsidP="008234CA">
            <w:pPr>
              <w:rPr>
                <w:rFonts w:ascii="Times New Roman" w:hAnsi="Times New Roman" w:cs="Times New Roman"/>
                <w:b/>
                <w:sz w:val="24"/>
                <w:szCs w:val="24"/>
              </w:rPr>
            </w:pPr>
            <w:r w:rsidRPr="006E39F9">
              <w:rPr>
                <w:rFonts w:ascii="Times New Roman" w:hAnsi="Times New Roman" w:cs="Times New Roman"/>
                <w:b/>
                <w:sz w:val="24"/>
                <w:szCs w:val="24"/>
              </w:rPr>
              <w:t>Téma</w:t>
            </w:r>
          </w:p>
        </w:tc>
        <w:tc>
          <w:tcPr>
            <w:tcW w:w="4531" w:type="dxa"/>
            <w:shd w:val="clear" w:color="auto" w:fill="DEEAF6" w:themeFill="accent1" w:themeFillTint="33"/>
          </w:tcPr>
          <w:p w14:paraId="44EB6B5D" w14:textId="77777777" w:rsidR="0030396B" w:rsidRPr="006E39F9" w:rsidRDefault="0030396B" w:rsidP="008234CA">
            <w:pPr>
              <w:rPr>
                <w:rFonts w:ascii="Times New Roman" w:hAnsi="Times New Roman" w:cs="Times New Roman"/>
                <w:b/>
                <w:sz w:val="24"/>
                <w:szCs w:val="24"/>
              </w:rPr>
            </w:pPr>
            <w:r w:rsidRPr="006E39F9">
              <w:rPr>
                <w:rFonts w:ascii="Times New Roman" w:hAnsi="Times New Roman" w:cs="Times New Roman"/>
                <w:b/>
                <w:sz w:val="24"/>
                <w:szCs w:val="24"/>
              </w:rPr>
              <w:t>Varianty</w:t>
            </w:r>
          </w:p>
        </w:tc>
      </w:tr>
      <w:tr w:rsidR="0030396B" w:rsidRPr="006E39F9" w14:paraId="275DC5CC" w14:textId="77777777" w:rsidTr="008234CA">
        <w:tc>
          <w:tcPr>
            <w:tcW w:w="4531" w:type="dxa"/>
            <w:vMerge w:val="restart"/>
          </w:tcPr>
          <w:p w14:paraId="2C44228B" w14:textId="77777777" w:rsidR="0030396B" w:rsidRPr="006E39F9" w:rsidRDefault="0030396B" w:rsidP="0030396B">
            <w:pPr>
              <w:jc w:val="both"/>
              <w:rPr>
                <w:rFonts w:ascii="Times New Roman" w:hAnsi="Times New Roman" w:cs="Times New Roman"/>
                <w:sz w:val="24"/>
                <w:szCs w:val="24"/>
              </w:rPr>
            </w:pPr>
            <w:r w:rsidRPr="006E39F9">
              <w:rPr>
                <w:rFonts w:ascii="Times New Roman" w:hAnsi="Times New Roman" w:cs="Times New Roman"/>
                <w:sz w:val="24"/>
                <w:szCs w:val="24"/>
              </w:rPr>
              <w:t>Hodnocení rizik povinnými osobami</w:t>
            </w:r>
          </w:p>
          <w:p w14:paraId="4CEDEAF6" w14:textId="77777777" w:rsidR="0030396B" w:rsidRPr="006E39F9" w:rsidRDefault="0030396B" w:rsidP="008234CA">
            <w:pPr>
              <w:jc w:val="both"/>
              <w:rPr>
                <w:rFonts w:ascii="Times New Roman" w:hAnsi="Times New Roman"/>
                <w:sz w:val="24"/>
                <w:szCs w:val="24"/>
              </w:rPr>
            </w:pPr>
          </w:p>
        </w:tc>
        <w:tc>
          <w:tcPr>
            <w:tcW w:w="4531" w:type="dxa"/>
          </w:tcPr>
          <w:p w14:paraId="5E5BCF9C" w14:textId="77777777" w:rsidR="0030396B" w:rsidRPr="006E39F9" w:rsidRDefault="0030396B" w:rsidP="008234CA">
            <w:pPr>
              <w:rPr>
                <w:rFonts w:ascii="Times New Roman" w:hAnsi="Times New Roman" w:cs="Times New Roman"/>
                <w:sz w:val="24"/>
                <w:szCs w:val="24"/>
              </w:rPr>
            </w:pPr>
            <w:r w:rsidRPr="006E39F9">
              <w:rPr>
                <w:rFonts w:ascii="Times New Roman" w:hAnsi="Times New Roman" w:cs="Times New Roman"/>
                <w:sz w:val="24"/>
                <w:szCs w:val="24"/>
              </w:rPr>
              <w:t>Nulová varianta (pouze formální)</w:t>
            </w:r>
          </w:p>
          <w:p w14:paraId="03387143" w14:textId="77777777" w:rsidR="0030396B" w:rsidRPr="006E39F9" w:rsidRDefault="0030396B" w:rsidP="008234CA">
            <w:pPr>
              <w:rPr>
                <w:rFonts w:ascii="Times New Roman" w:hAnsi="Times New Roman" w:cs="Times New Roman"/>
                <w:sz w:val="24"/>
                <w:szCs w:val="24"/>
              </w:rPr>
            </w:pPr>
          </w:p>
        </w:tc>
      </w:tr>
      <w:tr w:rsidR="0030396B" w:rsidRPr="006E39F9" w14:paraId="7E31F464" w14:textId="77777777" w:rsidTr="008234CA">
        <w:tc>
          <w:tcPr>
            <w:tcW w:w="4531" w:type="dxa"/>
            <w:vMerge/>
          </w:tcPr>
          <w:p w14:paraId="5379EE44" w14:textId="77777777" w:rsidR="0030396B" w:rsidRPr="006E39F9" w:rsidRDefault="0030396B" w:rsidP="008234CA">
            <w:pPr>
              <w:jc w:val="both"/>
              <w:rPr>
                <w:rFonts w:ascii="Times New Roman" w:hAnsi="Times New Roman" w:cs="Times New Roman"/>
                <w:sz w:val="24"/>
                <w:szCs w:val="24"/>
              </w:rPr>
            </w:pPr>
          </w:p>
        </w:tc>
        <w:tc>
          <w:tcPr>
            <w:tcW w:w="4531" w:type="dxa"/>
          </w:tcPr>
          <w:p w14:paraId="07B6784E" w14:textId="77777777" w:rsidR="0030396B" w:rsidRPr="006E39F9" w:rsidRDefault="00F40A4D" w:rsidP="008234CA">
            <w:pPr>
              <w:rPr>
                <w:rFonts w:ascii="Times New Roman" w:hAnsi="Times New Roman" w:cs="Times New Roman"/>
                <w:sz w:val="24"/>
                <w:szCs w:val="24"/>
              </w:rPr>
            </w:pPr>
            <w:r w:rsidRPr="006E39F9">
              <w:rPr>
                <w:rFonts w:ascii="Times New Roman" w:hAnsi="Times New Roman" w:cs="Times New Roman"/>
                <w:sz w:val="24"/>
                <w:szCs w:val="24"/>
              </w:rPr>
              <w:t xml:space="preserve">Stanovit povinným osobám povinnosti ohledně hodnocení rizik </w:t>
            </w:r>
          </w:p>
        </w:tc>
      </w:tr>
    </w:tbl>
    <w:p w14:paraId="5D799909" w14:textId="77777777" w:rsidR="0030396B" w:rsidRPr="006E39F9" w:rsidRDefault="0030396B" w:rsidP="002F7356">
      <w:pPr>
        <w:jc w:val="both"/>
        <w:rPr>
          <w:rFonts w:ascii="Times New Roman" w:hAnsi="Times New Roman" w:cs="Times New Roman"/>
          <w:sz w:val="24"/>
          <w:szCs w:val="24"/>
        </w:rPr>
      </w:pPr>
    </w:p>
    <w:p w14:paraId="1CF0E017" w14:textId="77777777" w:rsidR="00DC77BA" w:rsidRDefault="006E39F9" w:rsidP="00426861">
      <w:pPr>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Čtvrtá AML směrnice</w:t>
      </w:r>
      <w:r w:rsidRPr="006E39F9" w:rsidDel="006E39F9">
        <w:rPr>
          <w:rFonts w:ascii="Times New Roman" w:hAnsi="Times New Roman" w:cs="Times New Roman"/>
          <w:sz w:val="24"/>
          <w:szCs w:val="24"/>
        </w:rPr>
        <w:t xml:space="preserve"> </w:t>
      </w:r>
      <w:r w:rsidR="00F82B42" w:rsidRPr="001A3944">
        <w:rPr>
          <w:rFonts w:ascii="Times New Roman" w:hAnsi="Times New Roman" w:cs="Times New Roman"/>
          <w:sz w:val="24"/>
          <w:szCs w:val="24"/>
        </w:rPr>
        <w:t>návazně na hodnocení rizik ukládá povinnosti</w:t>
      </w:r>
      <w:r w:rsidR="00DC77BA" w:rsidRPr="001A3944">
        <w:rPr>
          <w:rFonts w:ascii="Times New Roman" w:hAnsi="Times New Roman" w:cs="Times New Roman"/>
          <w:sz w:val="24"/>
          <w:szCs w:val="24"/>
        </w:rPr>
        <w:t xml:space="preserve"> zesílené kon</w:t>
      </w:r>
      <w:r w:rsidR="00426861" w:rsidRPr="001A3944">
        <w:rPr>
          <w:rFonts w:ascii="Times New Roman" w:hAnsi="Times New Roman" w:cs="Times New Roman"/>
          <w:sz w:val="24"/>
          <w:szCs w:val="24"/>
        </w:rPr>
        <w:t xml:space="preserve">troly </w:t>
      </w:r>
      <w:r w:rsidR="00DC77BA" w:rsidRPr="001A3944">
        <w:rPr>
          <w:rFonts w:ascii="Times New Roman" w:hAnsi="Times New Roman" w:cs="Times New Roman"/>
          <w:sz w:val="24"/>
          <w:szCs w:val="24"/>
        </w:rPr>
        <w:t xml:space="preserve">klienta (čl. </w:t>
      </w:r>
      <w:r w:rsidR="00C255DA">
        <w:rPr>
          <w:rFonts w:ascii="Times New Roman" w:hAnsi="Times New Roman" w:cs="Times New Roman"/>
          <w:sz w:val="24"/>
          <w:szCs w:val="24"/>
        </w:rPr>
        <w:t>18</w:t>
      </w:r>
      <w:r w:rsidR="00C255DA" w:rsidRPr="001A3944">
        <w:rPr>
          <w:rFonts w:ascii="Times New Roman" w:hAnsi="Times New Roman" w:cs="Times New Roman"/>
          <w:sz w:val="24"/>
          <w:szCs w:val="24"/>
        </w:rPr>
        <w:t xml:space="preserve"> </w:t>
      </w:r>
      <w:r w:rsidR="00DC77BA" w:rsidRPr="001A3944">
        <w:rPr>
          <w:rFonts w:ascii="Times New Roman" w:hAnsi="Times New Roman" w:cs="Times New Roman"/>
          <w:sz w:val="24"/>
          <w:szCs w:val="24"/>
        </w:rPr>
        <w:t>ve 4</w:t>
      </w:r>
      <w:r w:rsidR="001A3944">
        <w:rPr>
          <w:rFonts w:ascii="Times New Roman" w:hAnsi="Times New Roman" w:cs="Times New Roman"/>
          <w:sz w:val="24"/>
          <w:szCs w:val="24"/>
        </w:rPr>
        <w:t xml:space="preserve">. </w:t>
      </w:r>
      <w:r w:rsidR="00DC77BA" w:rsidRPr="001A3944">
        <w:rPr>
          <w:rFonts w:ascii="Times New Roman" w:hAnsi="Times New Roman" w:cs="Times New Roman"/>
          <w:sz w:val="24"/>
          <w:szCs w:val="24"/>
        </w:rPr>
        <w:t>AMLD, čl. 13 ve 3</w:t>
      </w:r>
      <w:r w:rsidR="001A3944">
        <w:rPr>
          <w:rFonts w:ascii="Times New Roman" w:hAnsi="Times New Roman" w:cs="Times New Roman"/>
          <w:sz w:val="24"/>
          <w:szCs w:val="24"/>
        </w:rPr>
        <w:t xml:space="preserve">. </w:t>
      </w:r>
      <w:r w:rsidR="00DC77BA" w:rsidRPr="001A3944">
        <w:rPr>
          <w:rFonts w:ascii="Times New Roman" w:hAnsi="Times New Roman" w:cs="Times New Roman"/>
          <w:sz w:val="24"/>
          <w:szCs w:val="24"/>
        </w:rPr>
        <w:t xml:space="preserve">AMLD). </w:t>
      </w:r>
      <w:r w:rsidR="00426861" w:rsidRPr="001A3944">
        <w:rPr>
          <w:rFonts w:ascii="Times New Roman" w:hAnsi="Times New Roman" w:cs="Times New Roman"/>
          <w:sz w:val="24"/>
          <w:szCs w:val="24"/>
        </w:rPr>
        <w:t>P</w:t>
      </w:r>
      <w:r w:rsidR="00DC77BA" w:rsidRPr="001A3944">
        <w:rPr>
          <w:rFonts w:ascii="Times New Roman" w:hAnsi="Times New Roman" w:cs="Times New Roman"/>
          <w:sz w:val="24"/>
          <w:szCs w:val="24"/>
        </w:rPr>
        <w:t xml:space="preserve">ovinné osoby </w:t>
      </w:r>
      <w:r w:rsidR="00426861" w:rsidRPr="001A3944">
        <w:rPr>
          <w:rFonts w:ascii="Times New Roman" w:hAnsi="Times New Roman" w:cs="Times New Roman"/>
          <w:sz w:val="24"/>
          <w:szCs w:val="24"/>
        </w:rPr>
        <w:t xml:space="preserve">musí </w:t>
      </w:r>
      <w:r w:rsidR="00DC77BA" w:rsidRPr="001A3944">
        <w:rPr>
          <w:rFonts w:ascii="Times New Roman" w:hAnsi="Times New Roman" w:cs="Times New Roman"/>
          <w:sz w:val="24"/>
          <w:szCs w:val="24"/>
        </w:rPr>
        <w:t>uplatňovat vůči vysoce rizikovým klientům zesílenou kontrolu</w:t>
      </w:r>
      <w:r w:rsidR="00F82B42" w:rsidRPr="00B744DC">
        <w:rPr>
          <w:rFonts w:ascii="Times New Roman" w:hAnsi="Times New Roman" w:cs="Times New Roman"/>
          <w:sz w:val="24"/>
          <w:szCs w:val="24"/>
        </w:rPr>
        <w:t xml:space="preserve">, což vyplývá ze znění § 9 odst. 3 </w:t>
      </w:r>
      <w:r w:rsidR="00426861" w:rsidRPr="00B744DC">
        <w:rPr>
          <w:rFonts w:ascii="Times New Roman" w:hAnsi="Times New Roman" w:cs="Times New Roman"/>
          <w:sz w:val="24"/>
          <w:szCs w:val="24"/>
        </w:rPr>
        <w:t xml:space="preserve">stávajícího </w:t>
      </w:r>
      <w:r w:rsidR="00F82B42" w:rsidRPr="00B744DC">
        <w:rPr>
          <w:rFonts w:ascii="Times New Roman" w:hAnsi="Times New Roman" w:cs="Times New Roman"/>
          <w:sz w:val="24"/>
          <w:szCs w:val="24"/>
        </w:rPr>
        <w:t>AML zákona.</w:t>
      </w:r>
    </w:p>
    <w:p w14:paraId="5FD18275" w14:textId="77777777" w:rsidR="00426861" w:rsidRPr="00426861" w:rsidRDefault="00426861" w:rsidP="00426861">
      <w:pPr>
        <w:shd w:val="clear" w:color="auto" w:fill="FFFFFF" w:themeFill="background1"/>
        <w:jc w:val="both"/>
        <w:rPr>
          <w:rFonts w:ascii="Times New Roman" w:hAnsi="Times New Roman" w:cs="Times New Roman"/>
          <w:sz w:val="24"/>
          <w:szCs w:val="24"/>
        </w:rPr>
      </w:pPr>
    </w:p>
    <w:p w14:paraId="0386B3E0" w14:textId="77777777" w:rsidR="006A560E" w:rsidRDefault="006A560E" w:rsidP="00605C79">
      <w:pPr>
        <w:pStyle w:val="Odstavecseseznamem"/>
        <w:numPr>
          <w:ilvl w:val="1"/>
          <w:numId w:val="1"/>
        </w:numPr>
        <w:ind w:left="432"/>
        <w:rPr>
          <w:rFonts w:ascii="Times New Roman" w:hAnsi="Times New Roman"/>
          <w:b/>
          <w:sz w:val="24"/>
          <w:szCs w:val="24"/>
        </w:rPr>
      </w:pPr>
      <w:r w:rsidRPr="00605C79">
        <w:rPr>
          <w:rFonts w:ascii="Times New Roman" w:hAnsi="Times New Roman"/>
          <w:b/>
          <w:sz w:val="24"/>
          <w:szCs w:val="24"/>
        </w:rPr>
        <w:t>Informace o skutečných vlastnících</w:t>
      </w:r>
      <w:r w:rsidR="00C85482" w:rsidRPr="00605C79">
        <w:rPr>
          <w:rFonts w:ascii="Times New Roman" w:hAnsi="Times New Roman"/>
          <w:b/>
          <w:sz w:val="24"/>
          <w:szCs w:val="24"/>
        </w:rPr>
        <w:t xml:space="preserve"> právnických osob</w:t>
      </w:r>
    </w:p>
    <w:p w14:paraId="58B04D7A" w14:textId="77777777" w:rsidR="0054088B" w:rsidRPr="00605C79" w:rsidRDefault="0054088B" w:rsidP="00605C79">
      <w:pPr>
        <w:pStyle w:val="Odstavecseseznamem"/>
        <w:ind w:left="432" w:firstLine="0"/>
        <w:rPr>
          <w:rFonts w:ascii="Times New Roman" w:hAnsi="Times New Roman"/>
          <w:b/>
          <w:sz w:val="24"/>
          <w:szCs w:val="24"/>
        </w:rPr>
      </w:pPr>
    </w:p>
    <w:p w14:paraId="61AF4508" w14:textId="6F0C2237" w:rsidR="009F1F8F" w:rsidRDefault="00E90808" w:rsidP="002F7356">
      <w:pPr>
        <w:jc w:val="both"/>
        <w:rPr>
          <w:rFonts w:ascii="Times New Roman" w:hAnsi="Times New Roman" w:cs="Times New Roman"/>
          <w:sz w:val="24"/>
          <w:szCs w:val="24"/>
        </w:rPr>
      </w:pPr>
      <w:r>
        <w:rPr>
          <w:rFonts w:ascii="Times New Roman" w:hAnsi="Times New Roman" w:cs="Times New Roman"/>
          <w:sz w:val="24"/>
          <w:szCs w:val="24"/>
        </w:rPr>
        <w:t>V souladu s mezinárodními trendy požaduje čtvrtá AML směrnice, aby povinné osoby zko</w:t>
      </w:r>
      <w:r w:rsidR="00E10F17">
        <w:rPr>
          <w:rFonts w:ascii="Times New Roman" w:hAnsi="Times New Roman" w:cs="Times New Roman"/>
          <w:sz w:val="24"/>
          <w:szCs w:val="24"/>
        </w:rPr>
        <w:t>umaly skutečné vlastníky (čl. 13</w:t>
      </w:r>
      <w:r>
        <w:rPr>
          <w:rFonts w:ascii="Times New Roman" w:hAnsi="Times New Roman" w:cs="Times New Roman"/>
          <w:sz w:val="24"/>
          <w:szCs w:val="24"/>
        </w:rPr>
        <w:t xml:space="preserve"> odst. 1 písm. b)</w:t>
      </w:r>
      <w:r w:rsidR="009F1F8F">
        <w:rPr>
          <w:rFonts w:ascii="Times New Roman" w:hAnsi="Times New Roman" w:cs="Times New Roman"/>
          <w:sz w:val="24"/>
          <w:szCs w:val="24"/>
        </w:rPr>
        <w:t>)</w:t>
      </w:r>
      <w:r>
        <w:rPr>
          <w:rFonts w:ascii="Times New Roman" w:hAnsi="Times New Roman" w:cs="Times New Roman"/>
          <w:sz w:val="24"/>
          <w:szCs w:val="24"/>
        </w:rPr>
        <w:t xml:space="preserve"> a zároveň ukládá členským státům, aby zajistily</w:t>
      </w:r>
      <w:r w:rsidR="009F1F8F">
        <w:rPr>
          <w:rFonts w:ascii="Times New Roman" w:hAnsi="Times New Roman" w:cs="Times New Roman"/>
          <w:sz w:val="24"/>
          <w:szCs w:val="24"/>
        </w:rPr>
        <w:t xml:space="preserve"> dostupnost takových údajů </w:t>
      </w:r>
      <w:r w:rsidR="00C85482">
        <w:rPr>
          <w:rFonts w:ascii="Times New Roman" w:hAnsi="Times New Roman" w:cs="Times New Roman"/>
          <w:sz w:val="24"/>
          <w:szCs w:val="24"/>
        </w:rPr>
        <w:t xml:space="preserve">v centrálním registru </w:t>
      </w:r>
      <w:r w:rsidR="009F1F8F">
        <w:rPr>
          <w:rFonts w:ascii="Times New Roman" w:hAnsi="Times New Roman" w:cs="Times New Roman"/>
          <w:sz w:val="24"/>
          <w:szCs w:val="24"/>
        </w:rPr>
        <w:t xml:space="preserve">(čl. </w:t>
      </w:r>
      <w:r w:rsidR="005740BB">
        <w:rPr>
          <w:rFonts w:ascii="Times New Roman" w:hAnsi="Times New Roman" w:cs="Times New Roman"/>
          <w:sz w:val="24"/>
          <w:szCs w:val="24"/>
        </w:rPr>
        <w:t xml:space="preserve">30 </w:t>
      </w:r>
      <w:proofErr w:type="spellStart"/>
      <w:r w:rsidR="009F1F8F">
        <w:rPr>
          <w:rFonts w:ascii="Times New Roman" w:hAnsi="Times New Roman" w:cs="Times New Roman"/>
          <w:sz w:val="24"/>
          <w:szCs w:val="24"/>
        </w:rPr>
        <w:t>an</w:t>
      </w:r>
      <w:proofErr w:type="spellEnd"/>
      <w:r w:rsidR="009F1F8F">
        <w:rPr>
          <w:rFonts w:ascii="Times New Roman" w:hAnsi="Times New Roman" w:cs="Times New Roman"/>
          <w:sz w:val="24"/>
          <w:szCs w:val="24"/>
        </w:rPr>
        <w:t xml:space="preserve">.). </w:t>
      </w:r>
    </w:p>
    <w:p w14:paraId="1BF827A3" w14:textId="207D80AE" w:rsidR="00626E65" w:rsidRDefault="009F1F8F" w:rsidP="002F7356">
      <w:pPr>
        <w:jc w:val="both"/>
        <w:rPr>
          <w:rFonts w:ascii="Times New Roman" w:hAnsi="Times New Roman" w:cs="Times New Roman"/>
          <w:sz w:val="24"/>
          <w:szCs w:val="24"/>
        </w:rPr>
      </w:pPr>
      <w:r>
        <w:rPr>
          <w:rFonts w:ascii="Times New Roman" w:hAnsi="Times New Roman" w:cs="Times New Roman"/>
          <w:sz w:val="24"/>
          <w:szCs w:val="24"/>
        </w:rPr>
        <w:t xml:space="preserve">Při implementaci této povinnosti ze směrnice spolupracuje Ministerstvo financí s Ministerstvem spravedlnosti coby gestorem </w:t>
      </w:r>
      <w:r w:rsidR="00C85482">
        <w:rPr>
          <w:rFonts w:ascii="Times New Roman" w:hAnsi="Times New Roman" w:cs="Times New Roman"/>
          <w:sz w:val="24"/>
          <w:szCs w:val="24"/>
        </w:rPr>
        <w:t>zákona č. 304/2013 Sb., o veřejných rejstřících právnických a fyzických osob</w:t>
      </w:r>
      <w:r>
        <w:rPr>
          <w:rFonts w:ascii="Times New Roman" w:hAnsi="Times New Roman" w:cs="Times New Roman"/>
          <w:sz w:val="24"/>
          <w:szCs w:val="24"/>
        </w:rPr>
        <w:t>. Otázku dopadů této změny považuje</w:t>
      </w:r>
      <w:r w:rsidR="009F65DD">
        <w:rPr>
          <w:rFonts w:ascii="Times New Roman" w:hAnsi="Times New Roman" w:cs="Times New Roman"/>
          <w:sz w:val="24"/>
          <w:szCs w:val="24"/>
        </w:rPr>
        <w:t xml:space="preserve"> předkladatel</w:t>
      </w:r>
      <w:r>
        <w:rPr>
          <w:rFonts w:ascii="Times New Roman" w:hAnsi="Times New Roman" w:cs="Times New Roman"/>
          <w:sz w:val="24"/>
          <w:szCs w:val="24"/>
        </w:rPr>
        <w:t xml:space="preserve"> za natolik významnou, že jí je věnováno samostatné hodnocení dopadů (RIA)</w:t>
      </w:r>
      <w:r w:rsidR="00626E65">
        <w:rPr>
          <w:rFonts w:ascii="Times New Roman" w:hAnsi="Times New Roman" w:cs="Times New Roman"/>
          <w:sz w:val="24"/>
          <w:szCs w:val="24"/>
        </w:rPr>
        <w:t>, včetně zvážení jednotlivých variant implementace</w:t>
      </w:r>
      <w:r w:rsidR="00426861">
        <w:rPr>
          <w:rFonts w:ascii="Times New Roman" w:hAnsi="Times New Roman" w:cs="Times New Roman"/>
          <w:sz w:val="24"/>
          <w:szCs w:val="24"/>
        </w:rPr>
        <w:t xml:space="preserve">. Na tuto zprávu hodnocení dopadů </w:t>
      </w:r>
      <w:r w:rsidR="009F65DD">
        <w:rPr>
          <w:rFonts w:ascii="Times New Roman" w:hAnsi="Times New Roman" w:cs="Times New Roman"/>
          <w:sz w:val="24"/>
          <w:szCs w:val="24"/>
        </w:rPr>
        <w:t xml:space="preserve">předkladatel </w:t>
      </w:r>
      <w:r w:rsidR="00426861">
        <w:rPr>
          <w:rFonts w:ascii="Times New Roman" w:hAnsi="Times New Roman" w:cs="Times New Roman"/>
          <w:sz w:val="24"/>
          <w:szCs w:val="24"/>
        </w:rPr>
        <w:t>odkazuje</w:t>
      </w:r>
      <w:r w:rsidR="00626E65">
        <w:rPr>
          <w:rFonts w:ascii="Times New Roman" w:hAnsi="Times New Roman" w:cs="Times New Roman"/>
          <w:sz w:val="24"/>
          <w:szCs w:val="24"/>
        </w:rPr>
        <w:t xml:space="preserve">. Výsledná změna právního rámce se </w:t>
      </w:r>
      <w:r w:rsidR="00426861">
        <w:rPr>
          <w:rFonts w:ascii="Times New Roman" w:hAnsi="Times New Roman" w:cs="Times New Roman"/>
          <w:sz w:val="24"/>
          <w:szCs w:val="24"/>
        </w:rPr>
        <w:t>týká</w:t>
      </w:r>
      <w:r w:rsidR="00626E65">
        <w:rPr>
          <w:rFonts w:ascii="Times New Roman" w:hAnsi="Times New Roman" w:cs="Times New Roman"/>
          <w:sz w:val="24"/>
          <w:szCs w:val="24"/>
        </w:rPr>
        <w:t xml:space="preserve"> především zákona</w:t>
      </w:r>
      <w:r w:rsidR="00426C4C">
        <w:rPr>
          <w:rFonts w:ascii="Times New Roman" w:hAnsi="Times New Roman" w:cs="Times New Roman"/>
          <w:sz w:val="24"/>
          <w:szCs w:val="24"/>
        </w:rPr>
        <w:t xml:space="preserve"> o veřejných rejstřících</w:t>
      </w:r>
      <w:r w:rsidR="00626E65">
        <w:rPr>
          <w:rFonts w:ascii="Times New Roman" w:hAnsi="Times New Roman" w:cs="Times New Roman"/>
          <w:sz w:val="24"/>
          <w:szCs w:val="24"/>
        </w:rPr>
        <w:t xml:space="preserve">. </w:t>
      </w:r>
      <w:r w:rsidR="00626E65">
        <w:rPr>
          <w:rFonts w:ascii="Times New Roman" w:hAnsi="Times New Roman" w:cs="Times New Roman"/>
          <w:sz w:val="24"/>
          <w:szCs w:val="24"/>
        </w:rPr>
        <w:lastRenderedPageBreak/>
        <w:t xml:space="preserve">Ustanovení AML zákona vyžadují </w:t>
      </w:r>
      <w:r w:rsidR="00426861">
        <w:rPr>
          <w:rFonts w:ascii="Times New Roman" w:hAnsi="Times New Roman" w:cs="Times New Roman"/>
          <w:sz w:val="24"/>
          <w:szCs w:val="24"/>
        </w:rPr>
        <w:t xml:space="preserve">částečnou </w:t>
      </w:r>
      <w:r w:rsidR="00626E65">
        <w:rPr>
          <w:rFonts w:ascii="Times New Roman" w:hAnsi="Times New Roman" w:cs="Times New Roman"/>
          <w:sz w:val="24"/>
          <w:szCs w:val="24"/>
        </w:rPr>
        <w:t>revizi. Jedná se o definiční ustanovení (§ 4 odst. 4)</w:t>
      </w:r>
      <w:r w:rsidR="00426861">
        <w:rPr>
          <w:rFonts w:ascii="Times New Roman" w:hAnsi="Times New Roman" w:cs="Times New Roman"/>
          <w:sz w:val="24"/>
          <w:szCs w:val="24"/>
        </w:rPr>
        <w:t>, provázání obou předpisů,</w:t>
      </w:r>
      <w:r w:rsidR="00626E65">
        <w:rPr>
          <w:rFonts w:ascii="Times New Roman" w:hAnsi="Times New Roman" w:cs="Times New Roman"/>
          <w:sz w:val="24"/>
          <w:szCs w:val="24"/>
        </w:rPr>
        <w:t xml:space="preserve"> a o povinnost </w:t>
      </w:r>
      <w:r w:rsidR="00426861">
        <w:rPr>
          <w:rFonts w:ascii="Times New Roman" w:hAnsi="Times New Roman" w:cs="Times New Roman"/>
          <w:sz w:val="24"/>
          <w:szCs w:val="24"/>
        </w:rPr>
        <w:t xml:space="preserve">neomezovat </w:t>
      </w:r>
      <w:r w:rsidR="00626E65">
        <w:rPr>
          <w:rFonts w:ascii="Times New Roman" w:hAnsi="Times New Roman" w:cs="Times New Roman"/>
          <w:sz w:val="24"/>
          <w:szCs w:val="24"/>
        </w:rPr>
        <w:t>kontrol</w:t>
      </w:r>
      <w:r w:rsidR="00426861">
        <w:rPr>
          <w:rFonts w:ascii="Times New Roman" w:hAnsi="Times New Roman" w:cs="Times New Roman"/>
          <w:sz w:val="24"/>
          <w:szCs w:val="24"/>
        </w:rPr>
        <w:t>u</w:t>
      </w:r>
      <w:r w:rsidR="00626E65">
        <w:rPr>
          <w:rFonts w:ascii="Times New Roman" w:hAnsi="Times New Roman" w:cs="Times New Roman"/>
          <w:sz w:val="24"/>
          <w:szCs w:val="24"/>
        </w:rPr>
        <w:t xml:space="preserve"> klienta ve smyslu zjišťování skutečného vlastníka (§ 9 odst. 2 písm. b)</w:t>
      </w:r>
      <w:r w:rsidR="00426861">
        <w:rPr>
          <w:rFonts w:ascii="Times New Roman" w:hAnsi="Times New Roman" w:cs="Times New Roman"/>
          <w:sz w:val="24"/>
          <w:szCs w:val="24"/>
        </w:rPr>
        <w:t xml:space="preserve"> na ověření údajů </w:t>
      </w:r>
      <w:r w:rsidR="00426C4C">
        <w:rPr>
          <w:rFonts w:ascii="Times New Roman" w:hAnsi="Times New Roman" w:cs="Times New Roman"/>
          <w:sz w:val="24"/>
          <w:szCs w:val="24"/>
        </w:rPr>
        <w:t>ve veřejných rejstřících</w:t>
      </w:r>
      <w:r w:rsidR="00626E65">
        <w:rPr>
          <w:rFonts w:ascii="Times New Roman" w:hAnsi="Times New Roman" w:cs="Times New Roman"/>
          <w:sz w:val="24"/>
          <w:szCs w:val="24"/>
        </w:rPr>
        <w:t>.</w:t>
      </w:r>
    </w:p>
    <w:p w14:paraId="1A1568FD" w14:textId="77777777" w:rsidR="009252FB" w:rsidRDefault="009252FB" w:rsidP="002F7356">
      <w:pPr>
        <w:jc w:val="both"/>
        <w:rPr>
          <w:rFonts w:ascii="Times New Roman" w:hAnsi="Times New Roman" w:cs="Times New Roman"/>
          <w:sz w:val="24"/>
          <w:szCs w:val="24"/>
        </w:rPr>
      </w:pPr>
    </w:p>
    <w:p w14:paraId="42698468" w14:textId="09BE51AB" w:rsidR="006C12FB" w:rsidRDefault="00346CBB" w:rsidP="00605C79">
      <w:pPr>
        <w:pStyle w:val="Odstavecseseznamem"/>
        <w:numPr>
          <w:ilvl w:val="1"/>
          <w:numId w:val="1"/>
        </w:numPr>
        <w:ind w:left="432"/>
        <w:rPr>
          <w:rFonts w:ascii="Times New Roman" w:hAnsi="Times New Roman"/>
          <w:b/>
          <w:sz w:val="24"/>
          <w:szCs w:val="24"/>
        </w:rPr>
      </w:pPr>
      <w:r w:rsidRPr="00605C79">
        <w:rPr>
          <w:rFonts w:ascii="Times New Roman" w:hAnsi="Times New Roman"/>
          <w:b/>
          <w:sz w:val="24"/>
          <w:szCs w:val="24"/>
        </w:rPr>
        <w:t>Úprava zjednodušené identifikace</w:t>
      </w:r>
      <w:r w:rsidR="009252FB" w:rsidRPr="00605C79">
        <w:rPr>
          <w:rFonts w:ascii="Times New Roman" w:hAnsi="Times New Roman"/>
          <w:b/>
          <w:sz w:val="24"/>
          <w:szCs w:val="24"/>
        </w:rPr>
        <w:t xml:space="preserve"> klienta</w:t>
      </w:r>
    </w:p>
    <w:p w14:paraId="50957552" w14:textId="77777777" w:rsidR="0054088B" w:rsidRPr="00605C79" w:rsidRDefault="0054088B" w:rsidP="00605C79">
      <w:pPr>
        <w:pStyle w:val="Odstavecseseznamem"/>
        <w:ind w:left="432" w:firstLine="0"/>
        <w:rPr>
          <w:rFonts w:ascii="Times New Roman" w:hAnsi="Times New Roman"/>
          <w:b/>
          <w:sz w:val="24"/>
          <w:szCs w:val="24"/>
        </w:rPr>
      </w:pPr>
    </w:p>
    <w:p w14:paraId="65096318" w14:textId="77BA123E" w:rsidR="009F1BDE" w:rsidRPr="009F1BDE" w:rsidRDefault="00077302" w:rsidP="009F1BDE">
      <w:pPr>
        <w:jc w:val="both"/>
        <w:rPr>
          <w:rFonts w:ascii="Times New Roman" w:hAnsi="Times New Roman" w:cs="Times New Roman"/>
          <w:sz w:val="24"/>
          <w:szCs w:val="24"/>
        </w:rPr>
      </w:pPr>
      <w:r>
        <w:rPr>
          <w:rFonts w:ascii="Times New Roman" w:hAnsi="Times New Roman" w:cs="Times New Roman"/>
          <w:sz w:val="24"/>
          <w:szCs w:val="24"/>
        </w:rPr>
        <w:t xml:space="preserve">V rámci novelizace AML zákona předkladatel zvážil </w:t>
      </w:r>
      <w:r w:rsidR="006B52D1">
        <w:rPr>
          <w:rFonts w:ascii="Times New Roman" w:hAnsi="Times New Roman" w:cs="Times New Roman"/>
          <w:sz w:val="24"/>
          <w:szCs w:val="24"/>
        </w:rPr>
        <w:t>možnost</w:t>
      </w:r>
      <w:r>
        <w:rPr>
          <w:rFonts w:ascii="Times New Roman" w:hAnsi="Times New Roman" w:cs="Times New Roman"/>
          <w:sz w:val="24"/>
          <w:szCs w:val="24"/>
        </w:rPr>
        <w:t xml:space="preserve"> úpravy </w:t>
      </w:r>
      <w:r w:rsidR="00346CBB">
        <w:rPr>
          <w:rFonts w:ascii="Times New Roman" w:hAnsi="Times New Roman" w:cs="Times New Roman"/>
          <w:sz w:val="24"/>
          <w:szCs w:val="24"/>
        </w:rPr>
        <w:t> stávajícího režimu</w:t>
      </w:r>
      <w:r>
        <w:rPr>
          <w:rFonts w:ascii="Times New Roman" w:hAnsi="Times New Roman" w:cs="Times New Roman"/>
          <w:sz w:val="24"/>
          <w:szCs w:val="24"/>
        </w:rPr>
        <w:t xml:space="preserve"> </w:t>
      </w:r>
      <w:r w:rsidR="006B52D1">
        <w:rPr>
          <w:rFonts w:ascii="Times New Roman" w:hAnsi="Times New Roman" w:cs="Times New Roman"/>
          <w:sz w:val="24"/>
          <w:szCs w:val="24"/>
        </w:rPr>
        <w:t xml:space="preserve">identifikace klienta dle § 13. </w:t>
      </w:r>
      <w:r w:rsidR="009F1BDE" w:rsidRPr="009F1BDE">
        <w:rPr>
          <w:rFonts w:ascii="Times New Roman" w:hAnsi="Times New Roman" w:cs="Times New Roman"/>
          <w:sz w:val="24"/>
          <w:szCs w:val="24"/>
        </w:rPr>
        <w:t xml:space="preserve">Při konzultaci s bankovním sektorem aj. nevyplynula poptávka po úpravě stávajících výjimek z povinnosti </w:t>
      </w:r>
      <w:r w:rsidR="009F1BDE">
        <w:rPr>
          <w:rFonts w:ascii="Times New Roman" w:hAnsi="Times New Roman" w:cs="Times New Roman"/>
          <w:sz w:val="24"/>
          <w:szCs w:val="24"/>
        </w:rPr>
        <w:t>identifikace a kontroly klienta</w:t>
      </w:r>
      <w:r w:rsidR="00B16197">
        <w:rPr>
          <w:rFonts w:ascii="Times New Roman" w:hAnsi="Times New Roman" w:cs="Times New Roman"/>
          <w:sz w:val="24"/>
          <w:szCs w:val="24"/>
        </w:rPr>
        <w:t xml:space="preserve">, a to ani ve smyslu doplnění dalších výjimek, ani </w:t>
      </w:r>
      <w:r w:rsidR="009F1BDE">
        <w:rPr>
          <w:rFonts w:ascii="Times New Roman" w:hAnsi="Times New Roman" w:cs="Times New Roman"/>
          <w:sz w:val="24"/>
          <w:szCs w:val="24"/>
        </w:rPr>
        <w:t>nebylo detekováno významné zneužívání těchto výjimek, které by odůvodňovalo zpřísnění</w:t>
      </w:r>
      <w:r w:rsidR="00B52124">
        <w:rPr>
          <w:rFonts w:ascii="Times New Roman" w:hAnsi="Times New Roman" w:cs="Times New Roman"/>
          <w:sz w:val="24"/>
          <w:szCs w:val="24"/>
        </w:rPr>
        <w:t xml:space="preserve"> nastavených podmínek</w:t>
      </w:r>
      <w:r w:rsidR="009F1BDE">
        <w:rPr>
          <w:rFonts w:ascii="Times New Roman" w:hAnsi="Times New Roman" w:cs="Times New Roman"/>
          <w:sz w:val="24"/>
          <w:szCs w:val="24"/>
        </w:rPr>
        <w:t>.</w:t>
      </w:r>
    </w:p>
    <w:p w14:paraId="138D7D8C" w14:textId="21C6E530" w:rsidR="009F2E75" w:rsidRDefault="009F2E75" w:rsidP="002F7356">
      <w:pPr>
        <w:jc w:val="both"/>
        <w:rPr>
          <w:rFonts w:ascii="Times New Roman" w:hAnsi="Times New Roman" w:cs="Times New Roman"/>
          <w:sz w:val="24"/>
          <w:szCs w:val="24"/>
        </w:rPr>
      </w:pPr>
      <w:r>
        <w:rPr>
          <w:rFonts w:ascii="Times New Roman" w:hAnsi="Times New Roman" w:cs="Times New Roman"/>
          <w:sz w:val="24"/>
          <w:szCs w:val="24"/>
        </w:rPr>
        <w:t xml:space="preserve">Zjištění a ověření totožnosti klienta se provádí </w:t>
      </w:r>
      <w:r w:rsidRPr="001325AD">
        <w:rPr>
          <w:rFonts w:ascii="Times New Roman" w:hAnsi="Times New Roman" w:cs="Times New Roman"/>
          <w:sz w:val="24"/>
          <w:szCs w:val="24"/>
        </w:rPr>
        <w:t>na základě dokumentů, údajů nebo informací získaných ze spolehlivého a nezávislého zdroje</w:t>
      </w:r>
      <w:r w:rsidR="00E10F17">
        <w:rPr>
          <w:rFonts w:ascii="Times New Roman" w:hAnsi="Times New Roman" w:cs="Times New Roman"/>
          <w:sz w:val="24"/>
          <w:szCs w:val="24"/>
        </w:rPr>
        <w:t xml:space="preserve"> (čl. 13 odst. 1 písm. </w:t>
      </w:r>
      <w:r>
        <w:rPr>
          <w:rFonts w:ascii="Times New Roman" w:hAnsi="Times New Roman" w:cs="Times New Roman"/>
          <w:sz w:val="24"/>
          <w:szCs w:val="24"/>
        </w:rPr>
        <w:t>a) 4. AMLD). Takovým spolehlivým a nezávislým zdrojem by měly být i prostředky elektronické identifikace, jak je upravuje (s použitelností od 1. července 2016) n</w:t>
      </w:r>
      <w:r w:rsidRPr="000E7D59">
        <w:rPr>
          <w:rFonts w:ascii="Times New Roman" w:hAnsi="Times New Roman" w:cs="Times New Roman"/>
          <w:sz w:val="24"/>
          <w:szCs w:val="24"/>
        </w:rPr>
        <w:t>ařízení Evropského parlamentu a Rady (EU) č. 910/2014 ze dne 23. července 2014, o elektronické identifikaci a službách vytvářejících důvěru pro elektronické transakce na vnitřním trhu a o zrušení směrnice 1999/93/ES</w:t>
      </w:r>
      <w:r>
        <w:rPr>
          <w:rFonts w:ascii="Times New Roman" w:hAnsi="Times New Roman" w:cs="Times New Roman"/>
          <w:sz w:val="24"/>
          <w:szCs w:val="24"/>
        </w:rPr>
        <w:t>.</w:t>
      </w:r>
    </w:p>
    <w:p w14:paraId="0374427C" w14:textId="77777777" w:rsidR="00A90607" w:rsidRDefault="00A90607" w:rsidP="002F7356">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A90607" w14:paraId="667C1EDB" w14:textId="77777777" w:rsidTr="00077E84">
        <w:tc>
          <w:tcPr>
            <w:tcW w:w="4531" w:type="dxa"/>
            <w:shd w:val="clear" w:color="auto" w:fill="DEEAF6" w:themeFill="accent1" w:themeFillTint="33"/>
          </w:tcPr>
          <w:p w14:paraId="1E27344A" w14:textId="77777777" w:rsidR="00A90607" w:rsidRPr="00093F8B" w:rsidRDefault="00A90607" w:rsidP="00077E84">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610DB8EC" w14:textId="77777777" w:rsidR="00A90607" w:rsidRPr="00093F8B" w:rsidRDefault="00A90607" w:rsidP="00077E84">
            <w:pPr>
              <w:rPr>
                <w:rFonts w:ascii="Times New Roman" w:hAnsi="Times New Roman" w:cs="Times New Roman"/>
                <w:b/>
                <w:sz w:val="24"/>
                <w:szCs w:val="24"/>
              </w:rPr>
            </w:pPr>
            <w:r>
              <w:rPr>
                <w:rFonts w:ascii="Times New Roman" w:hAnsi="Times New Roman" w:cs="Times New Roman"/>
                <w:b/>
                <w:sz w:val="24"/>
                <w:szCs w:val="24"/>
              </w:rPr>
              <w:t>Varianty</w:t>
            </w:r>
          </w:p>
        </w:tc>
      </w:tr>
      <w:tr w:rsidR="00A90607" w14:paraId="740DA501" w14:textId="77777777" w:rsidTr="00077E84">
        <w:tc>
          <w:tcPr>
            <w:tcW w:w="4531" w:type="dxa"/>
            <w:vMerge w:val="restart"/>
          </w:tcPr>
          <w:p w14:paraId="42B8B1B1" w14:textId="6653141D" w:rsidR="00A90607" w:rsidRPr="0030396B" w:rsidRDefault="00A90607" w:rsidP="00077E84">
            <w:pPr>
              <w:jc w:val="both"/>
              <w:rPr>
                <w:rFonts w:ascii="Times New Roman" w:hAnsi="Times New Roman" w:cs="Times New Roman"/>
                <w:sz w:val="24"/>
                <w:szCs w:val="24"/>
              </w:rPr>
            </w:pPr>
            <w:r>
              <w:rPr>
                <w:rFonts w:ascii="Times New Roman" w:hAnsi="Times New Roman" w:cs="Times New Roman"/>
                <w:sz w:val="24"/>
                <w:szCs w:val="24"/>
              </w:rPr>
              <w:t>Úprava zjednodušené identifikace klienta</w:t>
            </w:r>
          </w:p>
          <w:p w14:paraId="4285AFFD" w14:textId="77777777" w:rsidR="00A90607" w:rsidRPr="00784F59" w:rsidRDefault="00A90607" w:rsidP="00077E84">
            <w:pPr>
              <w:jc w:val="both"/>
              <w:rPr>
                <w:rFonts w:ascii="Times New Roman" w:hAnsi="Times New Roman"/>
                <w:sz w:val="24"/>
                <w:szCs w:val="24"/>
              </w:rPr>
            </w:pPr>
          </w:p>
        </w:tc>
        <w:tc>
          <w:tcPr>
            <w:tcW w:w="4531" w:type="dxa"/>
          </w:tcPr>
          <w:p w14:paraId="1DBD4AD7" w14:textId="77777777" w:rsidR="00A90607" w:rsidRDefault="00A90607" w:rsidP="00077E84">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01ECC9FD" w14:textId="77777777" w:rsidR="00A90607" w:rsidRDefault="00A90607" w:rsidP="00077E84">
            <w:pPr>
              <w:rPr>
                <w:rFonts w:ascii="Times New Roman" w:hAnsi="Times New Roman" w:cs="Times New Roman"/>
                <w:sz w:val="24"/>
                <w:szCs w:val="24"/>
              </w:rPr>
            </w:pPr>
          </w:p>
        </w:tc>
      </w:tr>
      <w:tr w:rsidR="00A90607" w14:paraId="33C92EEE" w14:textId="77777777" w:rsidTr="00077E84">
        <w:tc>
          <w:tcPr>
            <w:tcW w:w="4531" w:type="dxa"/>
            <w:vMerge/>
          </w:tcPr>
          <w:p w14:paraId="4A801D1D" w14:textId="77777777" w:rsidR="00A90607" w:rsidRDefault="00A90607" w:rsidP="00077E84">
            <w:pPr>
              <w:jc w:val="both"/>
              <w:rPr>
                <w:rFonts w:ascii="Times New Roman" w:hAnsi="Times New Roman" w:cs="Times New Roman"/>
                <w:sz w:val="24"/>
                <w:szCs w:val="24"/>
              </w:rPr>
            </w:pPr>
          </w:p>
        </w:tc>
        <w:tc>
          <w:tcPr>
            <w:tcW w:w="4531" w:type="dxa"/>
          </w:tcPr>
          <w:p w14:paraId="2FE9B4C8" w14:textId="77A1F44D" w:rsidR="00A90607" w:rsidRDefault="00A90607" w:rsidP="009F2E75">
            <w:pPr>
              <w:rPr>
                <w:rFonts w:ascii="Times New Roman" w:hAnsi="Times New Roman" w:cs="Times New Roman"/>
                <w:sz w:val="24"/>
                <w:szCs w:val="24"/>
              </w:rPr>
            </w:pPr>
            <w:r>
              <w:rPr>
                <w:rFonts w:ascii="Times New Roman" w:hAnsi="Times New Roman" w:cs="Times New Roman"/>
                <w:sz w:val="24"/>
                <w:szCs w:val="24"/>
              </w:rPr>
              <w:t xml:space="preserve">Úprava zjednodušené identifikace klienta </w:t>
            </w:r>
            <w:r w:rsidR="009F2E75">
              <w:rPr>
                <w:rFonts w:ascii="Times New Roman" w:hAnsi="Times New Roman" w:cs="Times New Roman"/>
                <w:sz w:val="24"/>
                <w:szCs w:val="24"/>
              </w:rPr>
              <w:t>prostředky elektronické komunikace</w:t>
            </w:r>
          </w:p>
        </w:tc>
      </w:tr>
    </w:tbl>
    <w:p w14:paraId="481A24DF" w14:textId="77777777" w:rsidR="00A86732" w:rsidRDefault="00A86732" w:rsidP="002F7356">
      <w:pPr>
        <w:jc w:val="both"/>
        <w:rPr>
          <w:rFonts w:ascii="Times New Roman" w:hAnsi="Times New Roman" w:cs="Times New Roman"/>
          <w:sz w:val="24"/>
          <w:szCs w:val="24"/>
        </w:rPr>
      </w:pPr>
    </w:p>
    <w:p w14:paraId="460B1462" w14:textId="77777777" w:rsidR="00BD0BD5" w:rsidRPr="00A86732" w:rsidRDefault="00BD0BD5" w:rsidP="002F7356">
      <w:pPr>
        <w:jc w:val="both"/>
        <w:rPr>
          <w:rFonts w:ascii="Times New Roman" w:hAnsi="Times New Roman" w:cs="Times New Roman"/>
          <w:sz w:val="24"/>
          <w:szCs w:val="24"/>
        </w:rPr>
      </w:pPr>
    </w:p>
    <w:p w14:paraId="3219BB89" w14:textId="77777777" w:rsidR="00AF2B91" w:rsidRDefault="001D2B86" w:rsidP="00E10F17">
      <w:pPr>
        <w:pStyle w:val="Odstavecseseznamem"/>
        <w:numPr>
          <w:ilvl w:val="1"/>
          <w:numId w:val="1"/>
        </w:numPr>
        <w:ind w:left="432"/>
        <w:rPr>
          <w:rFonts w:ascii="Times New Roman" w:hAnsi="Times New Roman"/>
          <w:b/>
          <w:sz w:val="24"/>
          <w:szCs w:val="24"/>
        </w:rPr>
      </w:pPr>
      <w:r w:rsidRPr="00E10F17">
        <w:rPr>
          <w:rFonts w:ascii="Times New Roman" w:hAnsi="Times New Roman"/>
          <w:b/>
          <w:sz w:val="24"/>
          <w:szCs w:val="24"/>
        </w:rPr>
        <w:t>Rozšíření možností zprostředkované identifikace klienta</w:t>
      </w:r>
    </w:p>
    <w:p w14:paraId="18E29A22" w14:textId="77777777" w:rsidR="0054088B" w:rsidRPr="00E10F17" w:rsidRDefault="0054088B" w:rsidP="00E10F17">
      <w:pPr>
        <w:pStyle w:val="Odstavecseseznamem"/>
        <w:ind w:left="432" w:firstLine="0"/>
        <w:rPr>
          <w:rFonts w:ascii="Times New Roman" w:hAnsi="Times New Roman"/>
          <w:b/>
          <w:sz w:val="24"/>
          <w:szCs w:val="24"/>
        </w:rPr>
      </w:pPr>
    </w:p>
    <w:p w14:paraId="203C38A2" w14:textId="779930A1" w:rsidR="00FB0025" w:rsidRDefault="001D2B86" w:rsidP="001D2B86">
      <w:pPr>
        <w:jc w:val="both"/>
        <w:rPr>
          <w:rFonts w:ascii="Times New Roman" w:hAnsi="Times New Roman" w:cs="Times New Roman"/>
          <w:sz w:val="24"/>
          <w:szCs w:val="24"/>
        </w:rPr>
      </w:pPr>
      <w:r>
        <w:rPr>
          <w:rFonts w:ascii="Times New Roman" w:hAnsi="Times New Roman" w:cs="Times New Roman"/>
          <w:sz w:val="24"/>
          <w:szCs w:val="24"/>
        </w:rPr>
        <w:t>Stávající znění AML zákona umožňuje, ab</w:t>
      </w:r>
      <w:r w:rsidR="003D1575">
        <w:rPr>
          <w:rFonts w:ascii="Times New Roman" w:hAnsi="Times New Roman" w:cs="Times New Roman"/>
          <w:sz w:val="24"/>
          <w:szCs w:val="24"/>
        </w:rPr>
        <w:t>y první identifikac</w:t>
      </w:r>
      <w:r w:rsidR="009F2E75">
        <w:rPr>
          <w:rFonts w:ascii="Times New Roman" w:hAnsi="Times New Roman" w:cs="Times New Roman"/>
          <w:sz w:val="24"/>
          <w:szCs w:val="24"/>
        </w:rPr>
        <w:t>i</w:t>
      </w:r>
      <w:r w:rsidR="003D1575">
        <w:rPr>
          <w:rFonts w:ascii="Times New Roman" w:hAnsi="Times New Roman" w:cs="Times New Roman"/>
          <w:sz w:val="24"/>
          <w:szCs w:val="24"/>
        </w:rPr>
        <w:t xml:space="preserve"> klienta pro</w:t>
      </w:r>
      <w:r>
        <w:rPr>
          <w:rFonts w:ascii="Times New Roman" w:hAnsi="Times New Roman" w:cs="Times New Roman"/>
          <w:sz w:val="24"/>
          <w:szCs w:val="24"/>
        </w:rPr>
        <w:t>vedl notář, popřípadě krajský či obecní úřad (§</w:t>
      </w:r>
      <w:r w:rsidR="00313E18">
        <w:rPr>
          <w:rFonts w:ascii="Times New Roman" w:hAnsi="Times New Roman" w:cs="Times New Roman"/>
          <w:sz w:val="24"/>
          <w:szCs w:val="24"/>
        </w:rPr>
        <w:t> </w:t>
      </w:r>
      <w:r>
        <w:rPr>
          <w:rFonts w:ascii="Times New Roman" w:hAnsi="Times New Roman" w:cs="Times New Roman"/>
          <w:sz w:val="24"/>
          <w:szCs w:val="24"/>
        </w:rPr>
        <w:t xml:space="preserve">10). V rámci novelizace AML zákona předkladatel zvážil možnost </w:t>
      </w:r>
      <w:r w:rsidR="003D1575">
        <w:rPr>
          <w:rFonts w:ascii="Times New Roman" w:hAnsi="Times New Roman" w:cs="Times New Roman"/>
          <w:sz w:val="24"/>
          <w:szCs w:val="24"/>
        </w:rPr>
        <w:t xml:space="preserve">rozšíření této zprostředkované </w:t>
      </w:r>
      <w:r>
        <w:rPr>
          <w:rFonts w:ascii="Times New Roman" w:hAnsi="Times New Roman" w:cs="Times New Roman"/>
          <w:sz w:val="24"/>
          <w:szCs w:val="24"/>
        </w:rPr>
        <w:t>identifikace klienta</w:t>
      </w:r>
      <w:r w:rsidR="003D1575">
        <w:rPr>
          <w:rFonts w:ascii="Times New Roman" w:hAnsi="Times New Roman" w:cs="Times New Roman"/>
          <w:sz w:val="24"/>
          <w:szCs w:val="24"/>
        </w:rPr>
        <w:t>. Zvažované rozšíření se týká možnosti, aby zprostředkovanou identifikaci prováděl</w:t>
      </w:r>
      <w:r w:rsidR="00E81C3B">
        <w:rPr>
          <w:rFonts w:ascii="Times New Roman" w:hAnsi="Times New Roman" w:cs="Times New Roman"/>
          <w:sz w:val="24"/>
          <w:szCs w:val="24"/>
        </w:rPr>
        <w:t>a</w:t>
      </w:r>
      <w:r w:rsidR="003D1575">
        <w:rPr>
          <w:rFonts w:ascii="Times New Roman" w:hAnsi="Times New Roman" w:cs="Times New Roman"/>
          <w:sz w:val="24"/>
          <w:szCs w:val="24"/>
        </w:rPr>
        <w:t xml:space="preserve"> nově také kontaktní místa CzechP</w:t>
      </w:r>
      <w:r w:rsidR="009F2E75">
        <w:rPr>
          <w:rFonts w:ascii="Times New Roman" w:hAnsi="Times New Roman" w:cs="Times New Roman"/>
          <w:sz w:val="24"/>
          <w:szCs w:val="24"/>
        </w:rPr>
        <w:t>OINT</w:t>
      </w:r>
      <w:r w:rsidR="003D1575">
        <w:rPr>
          <w:rFonts w:ascii="Times New Roman" w:hAnsi="Times New Roman" w:cs="Times New Roman"/>
          <w:sz w:val="24"/>
          <w:szCs w:val="24"/>
        </w:rPr>
        <w:t xml:space="preserve"> a zastupitelské úřady ČR v zahraničí. </w:t>
      </w:r>
    </w:p>
    <w:p w14:paraId="41556BBA" w14:textId="77777777" w:rsidR="001D2B86" w:rsidRDefault="001D2B86" w:rsidP="001D2B86">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3D1575" w14:paraId="6E73ABFA" w14:textId="77777777" w:rsidTr="008234CA">
        <w:tc>
          <w:tcPr>
            <w:tcW w:w="4531" w:type="dxa"/>
            <w:shd w:val="clear" w:color="auto" w:fill="DEEAF6" w:themeFill="accent1" w:themeFillTint="33"/>
          </w:tcPr>
          <w:p w14:paraId="0512A65A" w14:textId="77777777" w:rsidR="003D1575" w:rsidRPr="00093F8B" w:rsidRDefault="003D1575" w:rsidP="008234CA">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37846DC3" w14:textId="77777777" w:rsidR="003D1575" w:rsidRPr="00093F8B" w:rsidRDefault="003D1575" w:rsidP="008234CA">
            <w:pPr>
              <w:rPr>
                <w:rFonts w:ascii="Times New Roman" w:hAnsi="Times New Roman" w:cs="Times New Roman"/>
                <w:b/>
                <w:sz w:val="24"/>
                <w:szCs w:val="24"/>
              </w:rPr>
            </w:pPr>
            <w:r>
              <w:rPr>
                <w:rFonts w:ascii="Times New Roman" w:hAnsi="Times New Roman" w:cs="Times New Roman"/>
                <w:b/>
                <w:sz w:val="24"/>
                <w:szCs w:val="24"/>
              </w:rPr>
              <w:t>Varianty</w:t>
            </w:r>
          </w:p>
        </w:tc>
      </w:tr>
      <w:tr w:rsidR="003D1575" w14:paraId="16FB5920" w14:textId="77777777" w:rsidTr="008234CA">
        <w:tc>
          <w:tcPr>
            <w:tcW w:w="4531" w:type="dxa"/>
            <w:vMerge w:val="restart"/>
          </w:tcPr>
          <w:p w14:paraId="6699835D" w14:textId="77777777" w:rsidR="003D1575" w:rsidRPr="003D1575" w:rsidRDefault="003D1575" w:rsidP="003D1575">
            <w:pPr>
              <w:jc w:val="both"/>
              <w:rPr>
                <w:rFonts w:ascii="Times New Roman" w:hAnsi="Times New Roman" w:cs="Times New Roman"/>
                <w:sz w:val="24"/>
                <w:szCs w:val="24"/>
              </w:rPr>
            </w:pPr>
            <w:r w:rsidRPr="003D1575">
              <w:rPr>
                <w:rFonts w:ascii="Times New Roman" w:hAnsi="Times New Roman" w:cs="Times New Roman"/>
                <w:sz w:val="24"/>
                <w:szCs w:val="24"/>
              </w:rPr>
              <w:t>Rozšíření možností zprostředkované identifikace klienta</w:t>
            </w:r>
          </w:p>
          <w:p w14:paraId="2A517635" w14:textId="77777777" w:rsidR="003D1575" w:rsidRPr="00784F59" w:rsidRDefault="003D1575" w:rsidP="008234CA">
            <w:pPr>
              <w:jc w:val="both"/>
              <w:rPr>
                <w:rFonts w:ascii="Times New Roman" w:hAnsi="Times New Roman"/>
                <w:sz w:val="24"/>
                <w:szCs w:val="24"/>
              </w:rPr>
            </w:pPr>
          </w:p>
        </w:tc>
        <w:tc>
          <w:tcPr>
            <w:tcW w:w="4531" w:type="dxa"/>
          </w:tcPr>
          <w:p w14:paraId="1230868E" w14:textId="77777777" w:rsidR="003D1575" w:rsidRDefault="003D1575" w:rsidP="008234CA">
            <w:pPr>
              <w:rPr>
                <w:rFonts w:ascii="Times New Roman" w:hAnsi="Times New Roman" w:cs="Times New Roman"/>
                <w:sz w:val="24"/>
                <w:szCs w:val="24"/>
              </w:rPr>
            </w:pPr>
            <w:r>
              <w:rPr>
                <w:rFonts w:ascii="Times New Roman" w:hAnsi="Times New Roman" w:cs="Times New Roman"/>
                <w:sz w:val="24"/>
                <w:szCs w:val="24"/>
              </w:rPr>
              <w:t>Nulová varianta (v souladu se směrnicí)</w:t>
            </w:r>
          </w:p>
          <w:p w14:paraId="6AA6AB02" w14:textId="77777777" w:rsidR="003D1575" w:rsidRDefault="003D1575" w:rsidP="008234CA">
            <w:pPr>
              <w:rPr>
                <w:rFonts w:ascii="Times New Roman" w:hAnsi="Times New Roman" w:cs="Times New Roman"/>
                <w:sz w:val="24"/>
                <w:szCs w:val="24"/>
              </w:rPr>
            </w:pPr>
          </w:p>
        </w:tc>
      </w:tr>
      <w:tr w:rsidR="003D1575" w14:paraId="16BFA45B" w14:textId="77777777" w:rsidTr="008234CA">
        <w:tc>
          <w:tcPr>
            <w:tcW w:w="4531" w:type="dxa"/>
            <w:vMerge/>
          </w:tcPr>
          <w:p w14:paraId="4396DB98" w14:textId="77777777" w:rsidR="003D1575" w:rsidRDefault="003D1575" w:rsidP="008234CA">
            <w:pPr>
              <w:jc w:val="both"/>
              <w:rPr>
                <w:rFonts w:ascii="Times New Roman" w:hAnsi="Times New Roman" w:cs="Times New Roman"/>
                <w:sz w:val="24"/>
                <w:szCs w:val="24"/>
              </w:rPr>
            </w:pPr>
          </w:p>
        </w:tc>
        <w:tc>
          <w:tcPr>
            <w:tcW w:w="4531" w:type="dxa"/>
          </w:tcPr>
          <w:p w14:paraId="0D732E30" w14:textId="32CEE633" w:rsidR="003D1575" w:rsidRDefault="003D1575" w:rsidP="008234CA">
            <w:pPr>
              <w:rPr>
                <w:rFonts w:ascii="Times New Roman" w:hAnsi="Times New Roman" w:cs="Times New Roman"/>
                <w:sz w:val="24"/>
                <w:szCs w:val="24"/>
              </w:rPr>
            </w:pPr>
            <w:r>
              <w:rPr>
                <w:rFonts w:ascii="Times New Roman" w:hAnsi="Times New Roman" w:cs="Times New Roman"/>
                <w:sz w:val="24"/>
                <w:szCs w:val="24"/>
              </w:rPr>
              <w:t>Umožnit zprostředkovanou identifikaci u CzechP</w:t>
            </w:r>
            <w:r w:rsidR="009F2E75">
              <w:rPr>
                <w:rFonts w:ascii="Times New Roman" w:hAnsi="Times New Roman" w:cs="Times New Roman"/>
                <w:sz w:val="24"/>
                <w:szCs w:val="24"/>
              </w:rPr>
              <w:t>OINT</w:t>
            </w:r>
            <w:r>
              <w:rPr>
                <w:rFonts w:ascii="Times New Roman" w:hAnsi="Times New Roman" w:cs="Times New Roman"/>
                <w:sz w:val="24"/>
                <w:szCs w:val="24"/>
              </w:rPr>
              <w:t xml:space="preserve">  </w:t>
            </w:r>
          </w:p>
        </w:tc>
      </w:tr>
    </w:tbl>
    <w:p w14:paraId="4F7FEE3B" w14:textId="77777777" w:rsidR="001D2B86" w:rsidRDefault="001D2B86" w:rsidP="00EC7943">
      <w:pPr>
        <w:jc w:val="both"/>
        <w:rPr>
          <w:rFonts w:ascii="Times New Roman" w:hAnsi="Times New Roman" w:cs="Times New Roman"/>
          <w:sz w:val="24"/>
          <w:szCs w:val="24"/>
        </w:rPr>
      </w:pPr>
    </w:p>
    <w:p w14:paraId="79E325D9" w14:textId="77777777" w:rsidR="0026212D" w:rsidRDefault="0026212D" w:rsidP="00EC7943">
      <w:pPr>
        <w:jc w:val="both"/>
        <w:rPr>
          <w:rFonts w:ascii="Times New Roman" w:hAnsi="Times New Roman" w:cs="Times New Roman"/>
          <w:sz w:val="24"/>
          <w:szCs w:val="24"/>
        </w:rPr>
      </w:pPr>
    </w:p>
    <w:p w14:paraId="1A2FDC90" w14:textId="77777777" w:rsidR="00EE3B92" w:rsidRDefault="00F80A8E" w:rsidP="00613744">
      <w:pPr>
        <w:pStyle w:val="Odstavecseseznamem"/>
        <w:numPr>
          <w:ilvl w:val="1"/>
          <w:numId w:val="1"/>
        </w:numPr>
        <w:ind w:left="432"/>
        <w:rPr>
          <w:rFonts w:ascii="Times New Roman" w:hAnsi="Times New Roman"/>
          <w:b/>
          <w:sz w:val="24"/>
          <w:szCs w:val="24"/>
        </w:rPr>
      </w:pPr>
      <w:r w:rsidRPr="00613744">
        <w:rPr>
          <w:rFonts w:ascii="Times New Roman" w:hAnsi="Times New Roman"/>
          <w:b/>
          <w:sz w:val="24"/>
          <w:szCs w:val="24"/>
        </w:rPr>
        <w:lastRenderedPageBreak/>
        <w:t>Změna úpravy</w:t>
      </w:r>
      <w:r w:rsidR="00EE3B92" w:rsidRPr="00613744">
        <w:rPr>
          <w:rFonts w:ascii="Times New Roman" w:hAnsi="Times New Roman"/>
          <w:b/>
          <w:sz w:val="24"/>
          <w:szCs w:val="24"/>
        </w:rPr>
        <w:t xml:space="preserve"> sankcí</w:t>
      </w:r>
    </w:p>
    <w:p w14:paraId="4C9421A5" w14:textId="77777777" w:rsidR="0054088B" w:rsidRPr="00613744" w:rsidRDefault="0054088B" w:rsidP="00613744">
      <w:pPr>
        <w:pStyle w:val="Odstavecseseznamem"/>
        <w:ind w:left="432" w:firstLine="0"/>
        <w:rPr>
          <w:rFonts w:ascii="Times New Roman" w:hAnsi="Times New Roman"/>
          <w:b/>
          <w:sz w:val="24"/>
          <w:szCs w:val="24"/>
        </w:rPr>
      </w:pPr>
    </w:p>
    <w:p w14:paraId="392D34FD" w14:textId="77777777" w:rsidR="00EE3B92" w:rsidRDefault="00EE3B92" w:rsidP="00EC7943">
      <w:pPr>
        <w:jc w:val="both"/>
        <w:rPr>
          <w:rFonts w:ascii="Times New Roman" w:hAnsi="Times New Roman" w:cs="Times New Roman"/>
          <w:sz w:val="24"/>
          <w:szCs w:val="24"/>
        </w:rPr>
      </w:pPr>
      <w:r>
        <w:rPr>
          <w:rFonts w:ascii="Times New Roman" w:hAnsi="Times New Roman" w:cs="Times New Roman"/>
          <w:sz w:val="24"/>
          <w:szCs w:val="24"/>
        </w:rPr>
        <w:t xml:space="preserve">AML zákon upravuje v šesté části správní delikty (§ 43 – 53) a stanoví sankce. Čtvrtá AML směrnice upravuje sankční režim v oddíle 4 (článek 55 </w:t>
      </w:r>
      <w:proofErr w:type="spellStart"/>
      <w:r>
        <w:rPr>
          <w:rFonts w:ascii="Times New Roman" w:hAnsi="Times New Roman" w:cs="Times New Roman"/>
          <w:sz w:val="24"/>
          <w:szCs w:val="24"/>
        </w:rPr>
        <w:t>an</w:t>
      </w:r>
      <w:proofErr w:type="spellEnd"/>
      <w:r>
        <w:rPr>
          <w:rFonts w:ascii="Times New Roman" w:hAnsi="Times New Roman" w:cs="Times New Roman"/>
          <w:sz w:val="24"/>
          <w:szCs w:val="24"/>
        </w:rPr>
        <w:t>). Předkladatel zrevidoval sankční režim podle zákona ve světle požadavků směrnice a zvážil změnu úpravy.</w:t>
      </w:r>
    </w:p>
    <w:tbl>
      <w:tblPr>
        <w:tblStyle w:val="Mkatabulky"/>
        <w:tblW w:w="0" w:type="auto"/>
        <w:tblLook w:val="04A0" w:firstRow="1" w:lastRow="0" w:firstColumn="1" w:lastColumn="0" w:noHBand="0" w:noVBand="1"/>
      </w:tblPr>
      <w:tblGrid>
        <w:gridCol w:w="4531"/>
        <w:gridCol w:w="4531"/>
      </w:tblGrid>
      <w:tr w:rsidR="00EE3B92" w14:paraId="20C811CB" w14:textId="77777777" w:rsidTr="008234CA">
        <w:tc>
          <w:tcPr>
            <w:tcW w:w="4531" w:type="dxa"/>
            <w:shd w:val="clear" w:color="auto" w:fill="DEEAF6" w:themeFill="accent1" w:themeFillTint="33"/>
          </w:tcPr>
          <w:p w14:paraId="16569BFD" w14:textId="77777777" w:rsidR="00EE3B92" w:rsidRPr="00093F8B" w:rsidRDefault="00EE3B92" w:rsidP="008234CA">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13AAF6BB" w14:textId="77777777" w:rsidR="00EE3B92" w:rsidRPr="00093F8B" w:rsidRDefault="00EE3B92" w:rsidP="008234CA">
            <w:pPr>
              <w:rPr>
                <w:rFonts w:ascii="Times New Roman" w:hAnsi="Times New Roman" w:cs="Times New Roman"/>
                <w:b/>
                <w:sz w:val="24"/>
                <w:szCs w:val="24"/>
              </w:rPr>
            </w:pPr>
            <w:r>
              <w:rPr>
                <w:rFonts w:ascii="Times New Roman" w:hAnsi="Times New Roman" w:cs="Times New Roman"/>
                <w:b/>
                <w:sz w:val="24"/>
                <w:szCs w:val="24"/>
              </w:rPr>
              <w:t>Varianty</w:t>
            </w:r>
          </w:p>
        </w:tc>
      </w:tr>
      <w:tr w:rsidR="00EE3B92" w14:paraId="04333A3A" w14:textId="77777777" w:rsidTr="008234CA">
        <w:tc>
          <w:tcPr>
            <w:tcW w:w="4531" w:type="dxa"/>
            <w:vMerge w:val="restart"/>
          </w:tcPr>
          <w:p w14:paraId="365F5284" w14:textId="77777777" w:rsidR="00EE3B92" w:rsidRPr="00EE3B92" w:rsidRDefault="00EE3B92" w:rsidP="008234CA">
            <w:pPr>
              <w:jc w:val="both"/>
              <w:rPr>
                <w:rFonts w:ascii="Times New Roman" w:hAnsi="Times New Roman" w:cs="Times New Roman"/>
                <w:sz w:val="24"/>
                <w:szCs w:val="24"/>
              </w:rPr>
            </w:pPr>
            <w:r>
              <w:rPr>
                <w:rFonts w:ascii="Times New Roman" w:hAnsi="Times New Roman" w:cs="Times New Roman"/>
                <w:sz w:val="24"/>
                <w:szCs w:val="24"/>
              </w:rPr>
              <w:t>Změna úpravy sankcí</w:t>
            </w:r>
            <w:r w:rsidRPr="00EE3B92">
              <w:rPr>
                <w:rFonts w:ascii="Times New Roman" w:hAnsi="Times New Roman" w:cs="Times New Roman"/>
                <w:sz w:val="24"/>
                <w:szCs w:val="24"/>
              </w:rPr>
              <w:t xml:space="preserve"> </w:t>
            </w:r>
          </w:p>
          <w:p w14:paraId="01ED6D85" w14:textId="77777777" w:rsidR="00EE3B92" w:rsidRPr="00784F59" w:rsidRDefault="00EE3B92" w:rsidP="008234CA">
            <w:pPr>
              <w:jc w:val="both"/>
              <w:rPr>
                <w:rFonts w:ascii="Times New Roman" w:hAnsi="Times New Roman"/>
                <w:sz w:val="24"/>
                <w:szCs w:val="24"/>
              </w:rPr>
            </w:pPr>
          </w:p>
        </w:tc>
        <w:tc>
          <w:tcPr>
            <w:tcW w:w="4531" w:type="dxa"/>
          </w:tcPr>
          <w:p w14:paraId="0C8F3972" w14:textId="77777777" w:rsidR="00EE3B92" w:rsidRDefault="00EE3B92" w:rsidP="008234CA">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6D9B91BF" w14:textId="77777777" w:rsidR="00EE3B92" w:rsidRDefault="00EE3B92" w:rsidP="008234CA">
            <w:pPr>
              <w:rPr>
                <w:rFonts w:ascii="Times New Roman" w:hAnsi="Times New Roman" w:cs="Times New Roman"/>
                <w:sz w:val="24"/>
                <w:szCs w:val="24"/>
              </w:rPr>
            </w:pPr>
          </w:p>
        </w:tc>
      </w:tr>
      <w:tr w:rsidR="00EE3B92" w14:paraId="6E38D2EB" w14:textId="77777777" w:rsidTr="008234CA">
        <w:tc>
          <w:tcPr>
            <w:tcW w:w="4531" w:type="dxa"/>
            <w:vMerge/>
          </w:tcPr>
          <w:p w14:paraId="3C4D725A" w14:textId="77777777" w:rsidR="00EE3B92" w:rsidRDefault="00EE3B92" w:rsidP="008234CA">
            <w:pPr>
              <w:jc w:val="both"/>
              <w:rPr>
                <w:rFonts w:ascii="Times New Roman" w:hAnsi="Times New Roman" w:cs="Times New Roman"/>
                <w:sz w:val="24"/>
                <w:szCs w:val="24"/>
              </w:rPr>
            </w:pPr>
          </w:p>
        </w:tc>
        <w:tc>
          <w:tcPr>
            <w:tcW w:w="4531" w:type="dxa"/>
          </w:tcPr>
          <w:p w14:paraId="0228B1C7" w14:textId="5A0F2AF9" w:rsidR="00EE3B92" w:rsidRDefault="0054088B" w:rsidP="00F80A8E">
            <w:pPr>
              <w:rPr>
                <w:rFonts w:ascii="Times New Roman" w:hAnsi="Times New Roman" w:cs="Times New Roman"/>
                <w:sz w:val="24"/>
                <w:szCs w:val="24"/>
              </w:rPr>
            </w:pPr>
            <w:r>
              <w:rPr>
                <w:rFonts w:ascii="Times New Roman" w:hAnsi="Times New Roman" w:cs="Times New Roman"/>
                <w:sz w:val="24"/>
                <w:szCs w:val="24"/>
              </w:rPr>
              <w:t xml:space="preserve">Upravit </w:t>
            </w:r>
            <w:r w:rsidR="00F80A8E">
              <w:rPr>
                <w:rFonts w:ascii="Times New Roman" w:hAnsi="Times New Roman" w:cs="Times New Roman"/>
                <w:sz w:val="24"/>
                <w:szCs w:val="24"/>
              </w:rPr>
              <w:t>sankce</w:t>
            </w:r>
          </w:p>
        </w:tc>
      </w:tr>
    </w:tbl>
    <w:p w14:paraId="669EB997" w14:textId="77777777" w:rsidR="00EE3B92" w:rsidRDefault="00EE3B92" w:rsidP="00EC7943">
      <w:pPr>
        <w:jc w:val="both"/>
        <w:rPr>
          <w:rFonts w:ascii="Times New Roman" w:hAnsi="Times New Roman" w:cs="Times New Roman"/>
          <w:sz w:val="24"/>
          <w:szCs w:val="24"/>
        </w:rPr>
      </w:pPr>
    </w:p>
    <w:p w14:paraId="7242C5A5" w14:textId="77777777" w:rsidR="00F80A8E" w:rsidRDefault="00F80A8E" w:rsidP="00613744">
      <w:pPr>
        <w:pStyle w:val="Odstavecseseznamem"/>
        <w:numPr>
          <w:ilvl w:val="1"/>
          <w:numId w:val="1"/>
        </w:numPr>
        <w:ind w:left="432"/>
        <w:rPr>
          <w:rFonts w:ascii="Times New Roman" w:hAnsi="Times New Roman"/>
          <w:b/>
          <w:sz w:val="24"/>
          <w:szCs w:val="24"/>
        </w:rPr>
      </w:pPr>
      <w:r w:rsidRPr="00613744">
        <w:rPr>
          <w:rFonts w:ascii="Times New Roman" w:hAnsi="Times New Roman"/>
          <w:b/>
          <w:sz w:val="24"/>
          <w:szCs w:val="24"/>
        </w:rPr>
        <w:t xml:space="preserve">Změna </w:t>
      </w:r>
      <w:r w:rsidR="00756E1A" w:rsidRPr="00613744">
        <w:rPr>
          <w:rFonts w:ascii="Times New Roman" w:hAnsi="Times New Roman"/>
          <w:b/>
          <w:sz w:val="24"/>
          <w:szCs w:val="24"/>
        </w:rPr>
        <w:t>správního dozoru</w:t>
      </w:r>
      <w:r w:rsidR="003F3180" w:rsidRPr="00613744">
        <w:rPr>
          <w:rFonts w:ascii="Times New Roman" w:hAnsi="Times New Roman"/>
          <w:b/>
          <w:sz w:val="24"/>
          <w:szCs w:val="24"/>
        </w:rPr>
        <w:t xml:space="preserve"> a </w:t>
      </w:r>
      <w:r w:rsidR="00756E1A" w:rsidRPr="00613744">
        <w:rPr>
          <w:rFonts w:ascii="Times New Roman" w:hAnsi="Times New Roman"/>
          <w:b/>
          <w:sz w:val="24"/>
          <w:szCs w:val="24"/>
        </w:rPr>
        <w:t xml:space="preserve">navazujících </w:t>
      </w:r>
      <w:r w:rsidR="003F3180" w:rsidRPr="00613744">
        <w:rPr>
          <w:rFonts w:ascii="Times New Roman" w:hAnsi="Times New Roman"/>
          <w:b/>
          <w:sz w:val="24"/>
          <w:szCs w:val="24"/>
        </w:rPr>
        <w:t>správních řízení</w:t>
      </w:r>
    </w:p>
    <w:p w14:paraId="3202E3CD" w14:textId="77777777" w:rsidR="0054088B" w:rsidRPr="00613744" w:rsidRDefault="0054088B" w:rsidP="00613744">
      <w:pPr>
        <w:pStyle w:val="Odstavecseseznamem"/>
        <w:ind w:left="432" w:firstLine="0"/>
        <w:rPr>
          <w:rFonts w:ascii="Times New Roman" w:hAnsi="Times New Roman"/>
          <w:b/>
          <w:sz w:val="24"/>
          <w:szCs w:val="24"/>
        </w:rPr>
      </w:pPr>
    </w:p>
    <w:p w14:paraId="06A54B72" w14:textId="77777777" w:rsidR="00F80A8E" w:rsidRDefault="00F80A8E" w:rsidP="003F3180">
      <w:pPr>
        <w:jc w:val="both"/>
        <w:rPr>
          <w:rFonts w:ascii="Times New Roman" w:hAnsi="Times New Roman" w:cs="Times New Roman"/>
          <w:sz w:val="24"/>
          <w:szCs w:val="24"/>
        </w:rPr>
      </w:pPr>
      <w:r>
        <w:rPr>
          <w:rFonts w:ascii="Times New Roman" w:hAnsi="Times New Roman" w:cs="Times New Roman"/>
          <w:sz w:val="24"/>
          <w:szCs w:val="24"/>
        </w:rPr>
        <w:t>AML zákon upravuje ve třetí části, hlavě II správní dozor (§ 35 – 37).</w:t>
      </w:r>
      <w:r w:rsidR="003F3180">
        <w:rPr>
          <w:rFonts w:ascii="Times New Roman" w:hAnsi="Times New Roman" w:cs="Times New Roman"/>
          <w:sz w:val="24"/>
          <w:szCs w:val="24"/>
        </w:rPr>
        <w:t xml:space="preserve"> Dozorčím úřadem je v zásadě ministerstvo financí. Kontrolu plnění povinností podle zákona provádí i Česká národní banka, Česká obchodní inspekce a zvláštní správní úřady u držitelů povolení k provozování sázkových her.</w:t>
      </w:r>
    </w:p>
    <w:p w14:paraId="0E4C1BAD" w14:textId="12F070F2" w:rsidR="00756E1A" w:rsidRDefault="00756E1A" w:rsidP="003F3180">
      <w:pPr>
        <w:jc w:val="both"/>
        <w:rPr>
          <w:rFonts w:ascii="Times New Roman" w:hAnsi="Times New Roman" w:cs="Times New Roman"/>
          <w:sz w:val="24"/>
          <w:szCs w:val="24"/>
        </w:rPr>
      </w:pPr>
      <w:r>
        <w:rPr>
          <w:rFonts w:ascii="Times New Roman" w:hAnsi="Times New Roman" w:cs="Times New Roman"/>
          <w:sz w:val="24"/>
          <w:szCs w:val="24"/>
        </w:rPr>
        <w:t>V případě porušení povinností pak ministerstvo vede správní řízení (§ 52 odst. 5), bez ohledu na to, který subjekt vedl kontrolu plnění povinností dle zákona. Předkladatel zvážil změnu této úpravy</w:t>
      </w:r>
      <w:r w:rsidR="0086375F">
        <w:rPr>
          <w:rFonts w:ascii="Times New Roman" w:hAnsi="Times New Roman" w:cs="Times New Roman"/>
          <w:sz w:val="24"/>
          <w:szCs w:val="24"/>
        </w:rPr>
        <w:t xml:space="preserve"> tak, aby v případech, kdy dohled vůči subjektu vykonává Česká národní banka, mohla</w:t>
      </w:r>
      <w:r w:rsidR="003F3682">
        <w:rPr>
          <w:rFonts w:ascii="Times New Roman" w:hAnsi="Times New Roman" w:cs="Times New Roman"/>
          <w:sz w:val="24"/>
          <w:szCs w:val="24"/>
        </w:rPr>
        <w:t xml:space="preserve"> tato</w:t>
      </w:r>
      <w:r w:rsidR="00E91390">
        <w:rPr>
          <w:rFonts w:ascii="Times New Roman" w:hAnsi="Times New Roman" w:cs="Times New Roman"/>
          <w:sz w:val="24"/>
          <w:szCs w:val="24"/>
        </w:rPr>
        <w:t xml:space="preserve"> </w:t>
      </w:r>
      <w:r w:rsidR="0086375F">
        <w:rPr>
          <w:rFonts w:ascii="Times New Roman" w:hAnsi="Times New Roman" w:cs="Times New Roman"/>
          <w:sz w:val="24"/>
          <w:szCs w:val="24"/>
        </w:rPr>
        <w:t>také vést navazující správní řízení</w:t>
      </w:r>
      <w:r>
        <w:rPr>
          <w:rFonts w:ascii="Times New Roman" w:hAnsi="Times New Roman" w:cs="Times New Roman"/>
          <w:sz w:val="24"/>
          <w:szCs w:val="24"/>
        </w:rPr>
        <w:t>.</w:t>
      </w:r>
    </w:p>
    <w:tbl>
      <w:tblPr>
        <w:tblStyle w:val="Mkatabulky"/>
        <w:tblW w:w="0" w:type="auto"/>
        <w:tblLook w:val="04A0" w:firstRow="1" w:lastRow="0" w:firstColumn="1" w:lastColumn="0" w:noHBand="0" w:noVBand="1"/>
      </w:tblPr>
      <w:tblGrid>
        <w:gridCol w:w="4531"/>
        <w:gridCol w:w="4531"/>
      </w:tblGrid>
      <w:tr w:rsidR="00756E1A" w14:paraId="1B723896" w14:textId="77777777" w:rsidTr="008234CA">
        <w:tc>
          <w:tcPr>
            <w:tcW w:w="4531" w:type="dxa"/>
            <w:shd w:val="clear" w:color="auto" w:fill="DEEAF6" w:themeFill="accent1" w:themeFillTint="33"/>
          </w:tcPr>
          <w:p w14:paraId="18CE655C" w14:textId="77777777" w:rsidR="00756E1A" w:rsidRPr="00093F8B" w:rsidRDefault="00756E1A" w:rsidP="008234CA">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41134606" w14:textId="77777777" w:rsidR="00756E1A" w:rsidRPr="00093F8B" w:rsidRDefault="00756E1A" w:rsidP="008234CA">
            <w:pPr>
              <w:rPr>
                <w:rFonts w:ascii="Times New Roman" w:hAnsi="Times New Roman" w:cs="Times New Roman"/>
                <w:b/>
                <w:sz w:val="24"/>
                <w:szCs w:val="24"/>
              </w:rPr>
            </w:pPr>
            <w:r>
              <w:rPr>
                <w:rFonts w:ascii="Times New Roman" w:hAnsi="Times New Roman" w:cs="Times New Roman"/>
                <w:b/>
                <w:sz w:val="24"/>
                <w:szCs w:val="24"/>
              </w:rPr>
              <w:t>Varianty</w:t>
            </w:r>
          </w:p>
        </w:tc>
      </w:tr>
      <w:tr w:rsidR="00756E1A" w14:paraId="0C951572" w14:textId="77777777" w:rsidTr="008234CA">
        <w:tc>
          <w:tcPr>
            <w:tcW w:w="4531" w:type="dxa"/>
            <w:vMerge w:val="restart"/>
          </w:tcPr>
          <w:p w14:paraId="07F19542" w14:textId="77777777" w:rsidR="00756E1A" w:rsidRPr="00EE3B92" w:rsidRDefault="00756E1A" w:rsidP="008234CA">
            <w:pPr>
              <w:jc w:val="both"/>
              <w:rPr>
                <w:rFonts w:ascii="Times New Roman" w:hAnsi="Times New Roman" w:cs="Times New Roman"/>
                <w:sz w:val="24"/>
                <w:szCs w:val="24"/>
              </w:rPr>
            </w:pPr>
            <w:r>
              <w:rPr>
                <w:rFonts w:ascii="Times New Roman" w:hAnsi="Times New Roman" w:cs="Times New Roman"/>
                <w:sz w:val="24"/>
                <w:szCs w:val="24"/>
              </w:rPr>
              <w:t>Změna úpravy správního dozoru a navazujících řízení</w:t>
            </w:r>
          </w:p>
          <w:p w14:paraId="59F7B262" w14:textId="77777777" w:rsidR="00756E1A" w:rsidRPr="00784F59" w:rsidRDefault="00756E1A" w:rsidP="008234CA">
            <w:pPr>
              <w:jc w:val="both"/>
              <w:rPr>
                <w:rFonts w:ascii="Times New Roman" w:hAnsi="Times New Roman"/>
                <w:sz w:val="24"/>
                <w:szCs w:val="24"/>
              </w:rPr>
            </w:pPr>
          </w:p>
        </w:tc>
        <w:tc>
          <w:tcPr>
            <w:tcW w:w="4531" w:type="dxa"/>
          </w:tcPr>
          <w:p w14:paraId="0E83364B" w14:textId="77777777" w:rsidR="00756E1A" w:rsidRDefault="00756E1A" w:rsidP="008234CA">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5AC682CF" w14:textId="77777777" w:rsidR="00756E1A" w:rsidRDefault="00756E1A" w:rsidP="008234CA">
            <w:pPr>
              <w:rPr>
                <w:rFonts w:ascii="Times New Roman" w:hAnsi="Times New Roman" w:cs="Times New Roman"/>
                <w:sz w:val="24"/>
                <w:szCs w:val="24"/>
              </w:rPr>
            </w:pPr>
          </w:p>
        </w:tc>
      </w:tr>
      <w:tr w:rsidR="00756E1A" w14:paraId="0D957F11" w14:textId="77777777" w:rsidTr="008234CA">
        <w:tc>
          <w:tcPr>
            <w:tcW w:w="4531" w:type="dxa"/>
            <w:vMerge/>
          </w:tcPr>
          <w:p w14:paraId="4E646C83" w14:textId="77777777" w:rsidR="00756E1A" w:rsidRDefault="00756E1A" w:rsidP="008234CA">
            <w:pPr>
              <w:jc w:val="both"/>
              <w:rPr>
                <w:rFonts w:ascii="Times New Roman" w:hAnsi="Times New Roman" w:cs="Times New Roman"/>
                <w:sz w:val="24"/>
                <w:szCs w:val="24"/>
              </w:rPr>
            </w:pPr>
          </w:p>
        </w:tc>
        <w:tc>
          <w:tcPr>
            <w:tcW w:w="4531" w:type="dxa"/>
          </w:tcPr>
          <w:p w14:paraId="7DA3BCF8" w14:textId="77777777" w:rsidR="00756E1A" w:rsidRDefault="0086375F" w:rsidP="008234CA">
            <w:pPr>
              <w:rPr>
                <w:rFonts w:ascii="Times New Roman" w:hAnsi="Times New Roman" w:cs="Times New Roman"/>
                <w:sz w:val="24"/>
                <w:szCs w:val="24"/>
              </w:rPr>
            </w:pPr>
            <w:r>
              <w:rPr>
                <w:rFonts w:ascii="Times New Roman" w:hAnsi="Times New Roman" w:cs="Times New Roman"/>
                <w:sz w:val="24"/>
                <w:szCs w:val="24"/>
              </w:rPr>
              <w:t>Zavést možnost vedení správního řízení týmž orgánem, který vykonával dohled</w:t>
            </w:r>
          </w:p>
        </w:tc>
      </w:tr>
    </w:tbl>
    <w:p w14:paraId="3B386427" w14:textId="77777777" w:rsidR="00756E1A" w:rsidRDefault="00756E1A" w:rsidP="003F3180">
      <w:pPr>
        <w:jc w:val="both"/>
        <w:rPr>
          <w:rFonts w:ascii="Times New Roman" w:hAnsi="Times New Roman" w:cs="Times New Roman"/>
          <w:sz w:val="24"/>
          <w:szCs w:val="24"/>
        </w:rPr>
      </w:pPr>
    </w:p>
    <w:p w14:paraId="7D66EFC0" w14:textId="77777777" w:rsidR="003F096C" w:rsidRDefault="009A23C9" w:rsidP="00613744">
      <w:pPr>
        <w:pStyle w:val="Odstavecseseznamem"/>
        <w:numPr>
          <w:ilvl w:val="1"/>
          <w:numId w:val="1"/>
        </w:numPr>
        <w:ind w:left="432"/>
        <w:rPr>
          <w:rFonts w:ascii="Times New Roman" w:hAnsi="Times New Roman"/>
          <w:b/>
          <w:sz w:val="24"/>
          <w:szCs w:val="24"/>
        </w:rPr>
      </w:pPr>
      <w:r w:rsidRPr="00613744">
        <w:rPr>
          <w:rFonts w:ascii="Times New Roman" w:hAnsi="Times New Roman"/>
          <w:b/>
          <w:sz w:val="24"/>
          <w:szCs w:val="24"/>
        </w:rPr>
        <w:t>Změna lhůt u postupu při podezřelém obchodu</w:t>
      </w:r>
    </w:p>
    <w:p w14:paraId="76A18291" w14:textId="77777777" w:rsidR="0054088B" w:rsidRPr="00613744" w:rsidRDefault="0054088B" w:rsidP="00613744">
      <w:pPr>
        <w:pStyle w:val="Odstavecseseznamem"/>
        <w:ind w:left="432" w:firstLine="0"/>
        <w:rPr>
          <w:rFonts w:ascii="Times New Roman" w:hAnsi="Times New Roman"/>
          <w:b/>
          <w:sz w:val="24"/>
          <w:szCs w:val="24"/>
        </w:rPr>
      </w:pPr>
    </w:p>
    <w:p w14:paraId="710892CE" w14:textId="77777777" w:rsidR="009A23C9" w:rsidRDefault="009A23C9" w:rsidP="003006D6">
      <w:pPr>
        <w:jc w:val="both"/>
        <w:rPr>
          <w:rFonts w:ascii="Times New Roman" w:hAnsi="Times New Roman" w:cs="Times New Roman"/>
          <w:sz w:val="24"/>
          <w:szCs w:val="24"/>
        </w:rPr>
      </w:pPr>
      <w:r>
        <w:rPr>
          <w:rFonts w:ascii="Times New Roman" w:hAnsi="Times New Roman" w:cs="Times New Roman"/>
          <w:sz w:val="24"/>
          <w:szCs w:val="24"/>
        </w:rPr>
        <w:t xml:space="preserve">AML zákon upravuje ve druhé části, hlavě III postup při podezřelém obchodu (§ 18 – 20). Povinné osoby podezřelé obchody oznamují </w:t>
      </w:r>
      <w:r w:rsidR="00B3050B">
        <w:rPr>
          <w:rFonts w:ascii="Times New Roman" w:hAnsi="Times New Roman" w:cs="Times New Roman"/>
          <w:sz w:val="24"/>
          <w:szCs w:val="24"/>
        </w:rPr>
        <w:t>ministerstvu financí</w:t>
      </w:r>
      <w:r>
        <w:rPr>
          <w:rFonts w:ascii="Times New Roman" w:hAnsi="Times New Roman" w:cs="Times New Roman"/>
          <w:sz w:val="24"/>
          <w:szCs w:val="24"/>
        </w:rPr>
        <w:t xml:space="preserve"> (§ 18)</w:t>
      </w:r>
      <w:r w:rsidR="00B3050B">
        <w:rPr>
          <w:rFonts w:ascii="Times New Roman" w:hAnsi="Times New Roman" w:cs="Times New Roman"/>
          <w:sz w:val="24"/>
          <w:szCs w:val="24"/>
        </w:rPr>
        <w:t xml:space="preserve"> a za určitých okolností jsou povinny odložit splnění příkazu klienta (§ 20). Režim odkladu splnění příkazu klienta předvídá lhůty, o něž může ministerstvo prodloužit dobu, na kterou se odkládá splnění příkazu klienta. Ministerstvo může rovněž rozhodnout o zajištění majetku, jež má být předmětem podezřelého obchodu.</w:t>
      </w:r>
    </w:p>
    <w:p w14:paraId="70F4E4FD" w14:textId="77777777" w:rsidR="00B3050B" w:rsidRDefault="00B3050B" w:rsidP="003006D6">
      <w:pPr>
        <w:jc w:val="both"/>
        <w:rPr>
          <w:rFonts w:ascii="Times New Roman" w:hAnsi="Times New Roman" w:cs="Times New Roman"/>
          <w:sz w:val="24"/>
          <w:szCs w:val="24"/>
        </w:rPr>
      </w:pPr>
      <w:r>
        <w:rPr>
          <w:rFonts w:ascii="Times New Roman" w:hAnsi="Times New Roman" w:cs="Times New Roman"/>
          <w:sz w:val="24"/>
          <w:szCs w:val="24"/>
        </w:rPr>
        <w:t xml:space="preserve">Stávající znění AML zákona uvádí dané lhůty v hodinách. Na základě praxe se ukazuje, že lhůty formulované v hodinách </w:t>
      </w:r>
      <w:r w:rsidR="00CA5129">
        <w:rPr>
          <w:rFonts w:ascii="Times New Roman" w:hAnsi="Times New Roman" w:cs="Times New Roman"/>
          <w:sz w:val="24"/>
          <w:szCs w:val="24"/>
        </w:rPr>
        <w:t xml:space="preserve">způsobují aplikační problémy, zvláště v situaci, kdy ministerstvo obdrží oznámení před </w:t>
      </w:r>
      <w:r w:rsidR="00E87D25">
        <w:rPr>
          <w:rFonts w:ascii="Times New Roman" w:hAnsi="Times New Roman" w:cs="Times New Roman"/>
          <w:sz w:val="24"/>
          <w:szCs w:val="24"/>
        </w:rPr>
        <w:t>víkendem</w:t>
      </w:r>
      <w:r w:rsidR="00CA5129">
        <w:rPr>
          <w:rFonts w:ascii="Times New Roman" w:hAnsi="Times New Roman" w:cs="Times New Roman"/>
          <w:sz w:val="24"/>
          <w:szCs w:val="24"/>
        </w:rPr>
        <w:t xml:space="preserve"> či před státním svátkem.</w:t>
      </w:r>
      <w:r w:rsidR="005C3C03">
        <w:rPr>
          <w:rFonts w:ascii="Times New Roman" w:hAnsi="Times New Roman" w:cs="Times New Roman"/>
          <w:sz w:val="24"/>
          <w:szCs w:val="24"/>
        </w:rPr>
        <w:t xml:space="preserve"> V takové situaci ministerstvo často nemá dostatek prostoru pro šetření podezřelého obchodu.</w:t>
      </w:r>
    </w:p>
    <w:tbl>
      <w:tblPr>
        <w:tblStyle w:val="Mkatabulky"/>
        <w:tblW w:w="0" w:type="auto"/>
        <w:tblLook w:val="04A0" w:firstRow="1" w:lastRow="0" w:firstColumn="1" w:lastColumn="0" w:noHBand="0" w:noVBand="1"/>
      </w:tblPr>
      <w:tblGrid>
        <w:gridCol w:w="4531"/>
        <w:gridCol w:w="4531"/>
      </w:tblGrid>
      <w:tr w:rsidR="00B3050B" w14:paraId="2873F7AF" w14:textId="77777777" w:rsidTr="00C867F2">
        <w:tc>
          <w:tcPr>
            <w:tcW w:w="4531" w:type="dxa"/>
            <w:shd w:val="clear" w:color="auto" w:fill="DEEAF6" w:themeFill="accent1" w:themeFillTint="33"/>
          </w:tcPr>
          <w:p w14:paraId="7E01BD5C" w14:textId="77777777" w:rsidR="00B3050B" w:rsidRPr="00093F8B" w:rsidRDefault="00B3050B" w:rsidP="00C867F2">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23CA7194" w14:textId="77777777" w:rsidR="00B3050B" w:rsidRPr="00093F8B" w:rsidRDefault="00B3050B" w:rsidP="00C867F2">
            <w:pPr>
              <w:rPr>
                <w:rFonts w:ascii="Times New Roman" w:hAnsi="Times New Roman" w:cs="Times New Roman"/>
                <w:b/>
                <w:sz w:val="24"/>
                <w:szCs w:val="24"/>
              </w:rPr>
            </w:pPr>
            <w:r>
              <w:rPr>
                <w:rFonts w:ascii="Times New Roman" w:hAnsi="Times New Roman" w:cs="Times New Roman"/>
                <w:b/>
                <w:sz w:val="24"/>
                <w:szCs w:val="24"/>
              </w:rPr>
              <w:t>Varianty</w:t>
            </w:r>
          </w:p>
        </w:tc>
      </w:tr>
      <w:tr w:rsidR="00B3050B" w14:paraId="4223BA5B" w14:textId="77777777" w:rsidTr="00C867F2">
        <w:tc>
          <w:tcPr>
            <w:tcW w:w="4531" w:type="dxa"/>
            <w:vMerge w:val="restart"/>
          </w:tcPr>
          <w:p w14:paraId="03F1C1E7" w14:textId="77777777" w:rsidR="00B3050B" w:rsidRPr="00EE3B92" w:rsidRDefault="00B3050B" w:rsidP="00C867F2">
            <w:pPr>
              <w:jc w:val="both"/>
              <w:rPr>
                <w:rFonts w:ascii="Times New Roman" w:hAnsi="Times New Roman" w:cs="Times New Roman"/>
                <w:sz w:val="24"/>
                <w:szCs w:val="24"/>
              </w:rPr>
            </w:pPr>
            <w:r>
              <w:rPr>
                <w:rFonts w:ascii="Times New Roman" w:hAnsi="Times New Roman" w:cs="Times New Roman"/>
                <w:sz w:val="24"/>
                <w:szCs w:val="24"/>
              </w:rPr>
              <w:t>Změna lhůt u postupu při podezřelém obchodu</w:t>
            </w:r>
          </w:p>
          <w:p w14:paraId="6CA87FC6" w14:textId="77777777" w:rsidR="00B3050B" w:rsidRPr="00784F59" w:rsidRDefault="00B3050B" w:rsidP="00C867F2">
            <w:pPr>
              <w:jc w:val="both"/>
              <w:rPr>
                <w:rFonts w:ascii="Times New Roman" w:hAnsi="Times New Roman"/>
                <w:sz w:val="24"/>
                <w:szCs w:val="24"/>
              </w:rPr>
            </w:pPr>
          </w:p>
        </w:tc>
        <w:tc>
          <w:tcPr>
            <w:tcW w:w="4531" w:type="dxa"/>
          </w:tcPr>
          <w:p w14:paraId="173ACC5D" w14:textId="77777777" w:rsidR="00B3050B" w:rsidRDefault="00B3050B" w:rsidP="00C867F2">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45BEC1F5" w14:textId="77777777" w:rsidR="00B3050B" w:rsidRDefault="00B3050B" w:rsidP="00C867F2">
            <w:pPr>
              <w:rPr>
                <w:rFonts w:ascii="Times New Roman" w:hAnsi="Times New Roman" w:cs="Times New Roman"/>
                <w:sz w:val="24"/>
                <w:szCs w:val="24"/>
              </w:rPr>
            </w:pPr>
          </w:p>
        </w:tc>
      </w:tr>
      <w:tr w:rsidR="00B3050B" w14:paraId="1080B2AF" w14:textId="77777777" w:rsidTr="00C867F2">
        <w:tc>
          <w:tcPr>
            <w:tcW w:w="4531" w:type="dxa"/>
            <w:vMerge/>
          </w:tcPr>
          <w:p w14:paraId="6FB1138A" w14:textId="77777777" w:rsidR="00B3050B" w:rsidRDefault="00B3050B" w:rsidP="00C867F2">
            <w:pPr>
              <w:jc w:val="both"/>
              <w:rPr>
                <w:rFonts w:ascii="Times New Roman" w:hAnsi="Times New Roman" w:cs="Times New Roman"/>
                <w:sz w:val="24"/>
                <w:szCs w:val="24"/>
              </w:rPr>
            </w:pPr>
          </w:p>
        </w:tc>
        <w:tc>
          <w:tcPr>
            <w:tcW w:w="4531" w:type="dxa"/>
          </w:tcPr>
          <w:p w14:paraId="77479735" w14:textId="77777777" w:rsidR="00B3050B" w:rsidRDefault="00CA5129" w:rsidP="00B3050B">
            <w:pPr>
              <w:rPr>
                <w:rFonts w:ascii="Times New Roman" w:hAnsi="Times New Roman" w:cs="Times New Roman"/>
                <w:sz w:val="24"/>
                <w:szCs w:val="24"/>
              </w:rPr>
            </w:pPr>
            <w:r>
              <w:rPr>
                <w:rFonts w:ascii="Times New Roman" w:hAnsi="Times New Roman" w:cs="Times New Roman"/>
                <w:sz w:val="24"/>
                <w:szCs w:val="24"/>
              </w:rPr>
              <w:t xml:space="preserve">Upravit lhůty tak, aby ministerstvu reálně umožňovaly </w:t>
            </w:r>
            <w:r w:rsidR="005C3C03">
              <w:rPr>
                <w:rFonts w:ascii="Times New Roman" w:hAnsi="Times New Roman" w:cs="Times New Roman"/>
                <w:sz w:val="24"/>
                <w:szCs w:val="24"/>
              </w:rPr>
              <w:t>šetření podezřelého obchodu</w:t>
            </w:r>
          </w:p>
        </w:tc>
      </w:tr>
    </w:tbl>
    <w:p w14:paraId="027FC4A8" w14:textId="248B996F" w:rsidR="005B5E7E" w:rsidRDefault="005B5E7E" w:rsidP="005B5E7E">
      <w:pPr>
        <w:pStyle w:val="Odstavecseseznamem"/>
        <w:numPr>
          <w:ilvl w:val="1"/>
          <w:numId w:val="1"/>
        </w:numPr>
        <w:ind w:left="432"/>
        <w:rPr>
          <w:rFonts w:ascii="Times New Roman" w:hAnsi="Times New Roman"/>
          <w:b/>
          <w:sz w:val="24"/>
          <w:szCs w:val="24"/>
        </w:rPr>
      </w:pPr>
      <w:r>
        <w:rPr>
          <w:rFonts w:ascii="Times New Roman" w:hAnsi="Times New Roman"/>
          <w:b/>
          <w:sz w:val="24"/>
          <w:szCs w:val="24"/>
        </w:rPr>
        <w:lastRenderedPageBreak/>
        <w:t>Změna statusu finanční zpravodajské jednotky</w:t>
      </w:r>
    </w:p>
    <w:p w14:paraId="7AA817A7" w14:textId="77777777" w:rsidR="005B5E7E" w:rsidRPr="00613744" w:rsidRDefault="005B5E7E" w:rsidP="005B5E7E">
      <w:pPr>
        <w:pStyle w:val="Odstavecseseznamem"/>
        <w:ind w:left="432" w:firstLine="0"/>
        <w:rPr>
          <w:rFonts w:ascii="Times New Roman" w:hAnsi="Times New Roman"/>
          <w:b/>
          <w:sz w:val="24"/>
          <w:szCs w:val="24"/>
        </w:rPr>
      </w:pPr>
    </w:p>
    <w:p w14:paraId="585F5142" w14:textId="2CD51C86" w:rsidR="005B5E7E" w:rsidRDefault="005B5E7E" w:rsidP="005B5E7E">
      <w:pPr>
        <w:widowControl w:val="0"/>
        <w:spacing w:before="120"/>
        <w:jc w:val="both"/>
        <w:rPr>
          <w:rFonts w:ascii="Times New Roman" w:hAnsi="Times New Roman" w:cs="Times New Roman"/>
          <w:sz w:val="24"/>
          <w:szCs w:val="24"/>
        </w:rPr>
      </w:pPr>
      <w:r>
        <w:rPr>
          <w:rFonts w:ascii="Times New Roman" w:hAnsi="Times New Roman" w:cs="Times New Roman"/>
          <w:sz w:val="24"/>
          <w:szCs w:val="24"/>
        </w:rPr>
        <w:t>Výbor</w:t>
      </w:r>
      <w:r w:rsidRPr="0099491A">
        <w:rPr>
          <w:rFonts w:ascii="Times New Roman" w:hAnsi="Times New Roman" w:cs="Times New Roman"/>
          <w:sz w:val="24"/>
          <w:szCs w:val="24"/>
        </w:rPr>
        <w:t xml:space="preserve"> Moneyval RE</w:t>
      </w:r>
      <w:r>
        <w:rPr>
          <w:rFonts w:ascii="Times New Roman" w:hAnsi="Times New Roman" w:cs="Times New Roman"/>
          <w:sz w:val="24"/>
          <w:szCs w:val="24"/>
        </w:rPr>
        <w:t xml:space="preserve"> České republice doporučuje </w:t>
      </w:r>
      <w:r w:rsidRPr="0099491A">
        <w:rPr>
          <w:rFonts w:ascii="Times New Roman" w:hAnsi="Times New Roman" w:cs="Times New Roman"/>
          <w:sz w:val="24"/>
          <w:szCs w:val="24"/>
        </w:rPr>
        <w:t xml:space="preserve">(kapitola 2.5 Zprávy ze čtvrté hodnotitelské návštěvy – Finanční zpravodajská jednotka R. 26) </w:t>
      </w:r>
      <w:r>
        <w:rPr>
          <w:rFonts w:ascii="Times New Roman" w:hAnsi="Times New Roman" w:cs="Times New Roman"/>
          <w:sz w:val="24"/>
          <w:szCs w:val="24"/>
        </w:rPr>
        <w:t xml:space="preserve">upravit </w:t>
      </w:r>
      <w:r w:rsidRPr="0099491A">
        <w:rPr>
          <w:rFonts w:ascii="Times New Roman" w:hAnsi="Times New Roman" w:cs="Times New Roman"/>
          <w:sz w:val="24"/>
          <w:szCs w:val="24"/>
        </w:rPr>
        <w:t>změnu statusu orgánu, který pro Českou republiku plní roli instituce, označované v mezinárodním právu včetně práva EU jako „finanční zpravodajská jednotka“ (Financial Intelligence Unit, FIU). Tímto orgánem je od svého zřízení v roce 1996 Finanční analytický útvar (FAÚ), který je součástí Ministerstva financí jako jeden z jeho odborů, jehož organizace a činnosti jsou upraveny Organizačním řádem Ministerstva financí. Je jednotkou „administrativního typu“ a doléhají na něj tudíž veškerá personální a technická opatření tohoto ministerstva. Výjimkou je pouze zákonná úprava o technickém oddělení datové sítě pro zpracování „oznámení podezřelých obchodů“ a přístupu do některých veřejných registrů. Činnosti vykonávané FAÚ jsou zakotveny vedle zákon č. 253/2008 Sb. i v některých dalších zákonech, zejména v zákoně č.</w:t>
      </w:r>
      <w:r w:rsidRPr="0099491A">
        <w:rPr>
          <w:rFonts w:ascii="Times New Roman" w:hAnsi="Times New Roman" w:cs="Times New Roman"/>
        </w:rPr>
        <w:t> </w:t>
      </w:r>
      <w:r w:rsidRPr="0099491A">
        <w:rPr>
          <w:rFonts w:ascii="Times New Roman" w:hAnsi="Times New Roman" w:cs="Times New Roman"/>
          <w:sz w:val="24"/>
          <w:szCs w:val="24"/>
        </w:rPr>
        <w:t>69/2006 Sb., o provádění mezinárodních sankcí, a nejnověji také v zákoně č. 104/2013 Sb., o mezinárodní justiční spolupráci ve věcech trestních, dále v řadě předpisů EU a v některých mezinárodních smlouvách.</w:t>
      </w:r>
    </w:p>
    <w:p w14:paraId="73719FDF" w14:textId="77777777" w:rsidR="005B5E7E" w:rsidRPr="0099491A" w:rsidRDefault="005B5E7E" w:rsidP="005B5E7E">
      <w:pPr>
        <w:widowControl w:val="0"/>
        <w:spacing w:before="120"/>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5B5E7E" w14:paraId="24F9E1E1" w14:textId="77777777" w:rsidTr="008415E8">
        <w:tc>
          <w:tcPr>
            <w:tcW w:w="4531" w:type="dxa"/>
            <w:shd w:val="clear" w:color="auto" w:fill="DEEAF6" w:themeFill="accent1" w:themeFillTint="33"/>
          </w:tcPr>
          <w:p w14:paraId="189BB2D3" w14:textId="77777777" w:rsidR="005B5E7E" w:rsidRPr="00093F8B" w:rsidRDefault="005B5E7E" w:rsidP="008415E8">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282816A8" w14:textId="77777777" w:rsidR="005B5E7E" w:rsidRPr="00093F8B" w:rsidRDefault="005B5E7E" w:rsidP="008415E8">
            <w:pPr>
              <w:rPr>
                <w:rFonts w:ascii="Times New Roman" w:hAnsi="Times New Roman" w:cs="Times New Roman"/>
                <w:b/>
                <w:sz w:val="24"/>
                <w:szCs w:val="24"/>
              </w:rPr>
            </w:pPr>
            <w:r>
              <w:rPr>
                <w:rFonts w:ascii="Times New Roman" w:hAnsi="Times New Roman" w:cs="Times New Roman"/>
                <w:b/>
                <w:sz w:val="24"/>
                <w:szCs w:val="24"/>
              </w:rPr>
              <w:t>Varianty</w:t>
            </w:r>
          </w:p>
        </w:tc>
      </w:tr>
      <w:tr w:rsidR="005B5E7E" w14:paraId="106C2E26" w14:textId="77777777" w:rsidTr="008415E8">
        <w:tc>
          <w:tcPr>
            <w:tcW w:w="4531" w:type="dxa"/>
            <w:vMerge w:val="restart"/>
          </w:tcPr>
          <w:p w14:paraId="215B4D15" w14:textId="43DACF7A" w:rsidR="005B5E7E" w:rsidRPr="00EE3B92" w:rsidRDefault="005B5E7E" w:rsidP="008415E8">
            <w:pPr>
              <w:jc w:val="both"/>
              <w:rPr>
                <w:rFonts w:ascii="Times New Roman" w:hAnsi="Times New Roman" w:cs="Times New Roman"/>
                <w:sz w:val="24"/>
                <w:szCs w:val="24"/>
              </w:rPr>
            </w:pPr>
            <w:r>
              <w:rPr>
                <w:rFonts w:ascii="Times New Roman" w:hAnsi="Times New Roman" w:cs="Times New Roman"/>
                <w:sz w:val="24"/>
                <w:szCs w:val="24"/>
              </w:rPr>
              <w:t>Změna statusu finanční zpravodajské jednotky</w:t>
            </w:r>
          </w:p>
          <w:p w14:paraId="46A8D806" w14:textId="77777777" w:rsidR="005B5E7E" w:rsidRPr="00784F59" w:rsidRDefault="005B5E7E" w:rsidP="008415E8">
            <w:pPr>
              <w:jc w:val="both"/>
              <w:rPr>
                <w:rFonts w:ascii="Times New Roman" w:hAnsi="Times New Roman"/>
                <w:sz w:val="24"/>
                <w:szCs w:val="24"/>
              </w:rPr>
            </w:pPr>
          </w:p>
        </w:tc>
        <w:tc>
          <w:tcPr>
            <w:tcW w:w="4531" w:type="dxa"/>
          </w:tcPr>
          <w:p w14:paraId="56743D43" w14:textId="77777777" w:rsidR="005B5E7E" w:rsidRDefault="005B5E7E" w:rsidP="008415E8">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445F206F" w14:textId="77777777" w:rsidR="005B5E7E" w:rsidRDefault="005B5E7E" w:rsidP="008415E8">
            <w:pPr>
              <w:rPr>
                <w:rFonts w:ascii="Times New Roman" w:hAnsi="Times New Roman" w:cs="Times New Roman"/>
                <w:sz w:val="24"/>
                <w:szCs w:val="24"/>
              </w:rPr>
            </w:pPr>
          </w:p>
        </w:tc>
      </w:tr>
      <w:tr w:rsidR="005B5E7E" w14:paraId="6473C915" w14:textId="77777777" w:rsidTr="008415E8">
        <w:tc>
          <w:tcPr>
            <w:tcW w:w="4531" w:type="dxa"/>
            <w:vMerge/>
          </w:tcPr>
          <w:p w14:paraId="213329E5" w14:textId="77777777" w:rsidR="005B5E7E" w:rsidRDefault="005B5E7E" w:rsidP="008415E8">
            <w:pPr>
              <w:jc w:val="both"/>
              <w:rPr>
                <w:rFonts w:ascii="Times New Roman" w:hAnsi="Times New Roman" w:cs="Times New Roman"/>
                <w:sz w:val="24"/>
                <w:szCs w:val="24"/>
              </w:rPr>
            </w:pPr>
          </w:p>
        </w:tc>
        <w:tc>
          <w:tcPr>
            <w:tcW w:w="4531" w:type="dxa"/>
          </w:tcPr>
          <w:p w14:paraId="42DAF19C" w14:textId="4CF6CB3C" w:rsidR="005B5E7E" w:rsidRDefault="005B5E7E" w:rsidP="008415E8">
            <w:pPr>
              <w:rPr>
                <w:rFonts w:ascii="Times New Roman" w:hAnsi="Times New Roman" w:cs="Times New Roman"/>
                <w:sz w:val="24"/>
                <w:szCs w:val="24"/>
              </w:rPr>
            </w:pPr>
            <w:r>
              <w:rPr>
                <w:rFonts w:ascii="Times New Roman" w:hAnsi="Times New Roman" w:cs="Times New Roman"/>
                <w:sz w:val="24"/>
                <w:szCs w:val="24"/>
              </w:rPr>
              <w:t>Upravit status v souladu s mezinárodními doporučeními</w:t>
            </w:r>
          </w:p>
        </w:tc>
      </w:tr>
    </w:tbl>
    <w:p w14:paraId="07F29783" w14:textId="77777777" w:rsidR="005B5E7E" w:rsidRDefault="005B5E7E" w:rsidP="0099491A">
      <w:pPr>
        <w:pStyle w:val="Odstavecseseznamem"/>
        <w:ind w:left="0" w:firstLine="0"/>
        <w:rPr>
          <w:rFonts w:ascii="Times New Roman" w:hAnsi="Times New Roman"/>
          <w:b/>
          <w:sz w:val="24"/>
          <w:szCs w:val="24"/>
        </w:rPr>
      </w:pPr>
    </w:p>
    <w:p w14:paraId="00AB2162" w14:textId="77777777" w:rsidR="005B5E7E" w:rsidRDefault="005B5E7E" w:rsidP="0099491A">
      <w:pPr>
        <w:pStyle w:val="Odstavecseseznamem"/>
        <w:ind w:left="0" w:firstLine="0"/>
        <w:rPr>
          <w:rFonts w:ascii="Times New Roman" w:hAnsi="Times New Roman"/>
          <w:b/>
          <w:sz w:val="24"/>
          <w:szCs w:val="24"/>
        </w:rPr>
      </w:pPr>
    </w:p>
    <w:p w14:paraId="402C6732" w14:textId="77777777" w:rsidR="005B5E7E" w:rsidRDefault="005B5E7E" w:rsidP="0099491A">
      <w:pPr>
        <w:pStyle w:val="Odstavecseseznamem"/>
        <w:ind w:left="0" w:firstLine="0"/>
        <w:rPr>
          <w:rFonts w:ascii="Times New Roman" w:hAnsi="Times New Roman"/>
          <w:b/>
          <w:sz w:val="24"/>
          <w:szCs w:val="24"/>
        </w:rPr>
      </w:pPr>
    </w:p>
    <w:p w14:paraId="4809367C" w14:textId="77777777" w:rsidR="00E91390" w:rsidRDefault="00E91390" w:rsidP="00E91390">
      <w:pPr>
        <w:pStyle w:val="Odstavecseseznamem"/>
        <w:numPr>
          <w:ilvl w:val="0"/>
          <w:numId w:val="1"/>
        </w:numPr>
        <w:ind w:left="0"/>
        <w:rPr>
          <w:rFonts w:ascii="Times New Roman" w:hAnsi="Times New Roman"/>
          <w:b/>
          <w:sz w:val="24"/>
          <w:szCs w:val="24"/>
        </w:rPr>
      </w:pPr>
      <w:r>
        <w:rPr>
          <w:rFonts w:ascii="Times New Roman" w:hAnsi="Times New Roman"/>
          <w:b/>
          <w:sz w:val="24"/>
          <w:szCs w:val="24"/>
        </w:rPr>
        <w:t>HODNOCENÍ VARIANT ŘEŠENÍ</w:t>
      </w:r>
    </w:p>
    <w:p w14:paraId="247C18E0" w14:textId="77777777" w:rsidR="003165A6" w:rsidRDefault="003165A6" w:rsidP="00E91390">
      <w:pPr>
        <w:pStyle w:val="Odstavecseseznamem"/>
        <w:ind w:left="0" w:firstLine="0"/>
        <w:rPr>
          <w:rFonts w:ascii="Times New Roman" w:hAnsi="Times New Roman"/>
          <w:b/>
          <w:sz w:val="24"/>
          <w:szCs w:val="24"/>
        </w:rPr>
      </w:pPr>
    </w:p>
    <w:p w14:paraId="47D31D72" w14:textId="77777777" w:rsidR="00E91390" w:rsidRPr="008234CA" w:rsidRDefault="008234CA" w:rsidP="00E91390">
      <w:pPr>
        <w:pStyle w:val="Odstavecseseznamem"/>
        <w:ind w:left="0" w:firstLine="0"/>
        <w:rPr>
          <w:rFonts w:ascii="Times New Roman" w:hAnsi="Times New Roman"/>
          <w:i/>
          <w:sz w:val="24"/>
          <w:szCs w:val="24"/>
        </w:rPr>
      </w:pPr>
      <w:r>
        <w:rPr>
          <w:rFonts w:ascii="Times New Roman" w:hAnsi="Times New Roman"/>
          <w:b/>
          <w:sz w:val="24"/>
          <w:szCs w:val="24"/>
        </w:rPr>
        <w:t>Vyhodnocení nákladů a přínosů</w:t>
      </w:r>
    </w:p>
    <w:p w14:paraId="091D709D" w14:textId="77777777" w:rsidR="00E91390" w:rsidRDefault="00E91390" w:rsidP="00E91390">
      <w:pPr>
        <w:pStyle w:val="Odstavecseseznamem"/>
        <w:ind w:left="0" w:firstLine="0"/>
        <w:rPr>
          <w:rFonts w:ascii="Times New Roman" w:hAnsi="Times New Roman"/>
          <w:b/>
          <w:sz w:val="24"/>
          <w:szCs w:val="24"/>
        </w:rPr>
      </w:pPr>
    </w:p>
    <w:p w14:paraId="4975F47A" w14:textId="77777777" w:rsidR="00717BEF" w:rsidRDefault="00717BEF" w:rsidP="003165A6">
      <w:pPr>
        <w:pStyle w:val="Odstavecseseznamem"/>
        <w:numPr>
          <w:ilvl w:val="0"/>
          <w:numId w:val="8"/>
        </w:numPr>
        <w:ind w:left="360"/>
        <w:rPr>
          <w:rFonts w:ascii="Times New Roman" w:hAnsi="Times New Roman"/>
          <w:b/>
          <w:sz w:val="24"/>
          <w:szCs w:val="24"/>
        </w:rPr>
      </w:pPr>
      <w:r w:rsidRPr="00B50B0F">
        <w:rPr>
          <w:rFonts w:ascii="Times New Roman" w:hAnsi="Times New Roman"/>
          <w:b/>
          <w:sz w:val="24"/>
          <w:szCs w:val="24"/>
        </w:rPr>
        <w:t xml:space="preserve">K povaze problému a </w:t>
      </w:r>
      <w:r w:rsidR="0090125B">
        <w:rPr>
          <w:rFonts w:ascii="Times New Roman" w:hAnsi="Times New Roman"/>
          <w:b/>
          <w:sz w:val="24"/>
          <w:szCs w:val="24"/>
        </w:rPr>
        <w:t>volbě kritérií pro</w:t>
      </w:r>
      <w:r w:rsidRPr="00B50B0F">
        <w:rPr>
          <w:rFonts w:ascii="Times New Roman" w:hAnsi="Times New Roman"/>
          <w:b/>
          <w:sz w:val="24"/>
          <w:szCs w:val="24"/>
        </w:rPr>
        <w:t xml:space="preserve"> hodnocení variant</w:t>
      </w:r>
    </w:p>
    <w:p w14:paraId="4D30C410" w14:textId="77777777" w:rsidR="00717BEF" w:rsidRPr="00B50B0F" w:rsidRDefault="00717BEF" w:rsidP="00E91390">
      <w:pPr>
        <w:pStyle w:val="Odstavecseseznamem"/>
        <w:ind w:left="0" w:firstLine="0"/>
        <w:rPr>
          <w:rFonts w:ascii="Times New Roman" w:hAnsi="Times New Roman"/>
          <w:b/>
          <w:sz w:val="24"/>
          <w:szCs w:val="24"/>
        </w:rPr>
      </w:pPr>
    </w:p>
    <w:p w14:paraId="62DE6830" w14:textId="77777777" w:rsidR="008234CA" w:rsidRPr="00B50B0F" w:rsidRDefault="00746479" w:rsidP="008234CA">
      <w:pPr>
        <w:pStyle w:val="Odstavecseseznamem"/>
        <w:tabs>
          <w:tab w:val="left" w:pos="6096"/>
        </w:tabs>
        <w:ind w:left="0" w:firstLine="0"/>
        <w:rPr>
          <w:rFonts w:ascii="Times New Roman" w:hAnsi="Times New Roman"/>
          <w:sz w:val="24"/>
          <w:szCs w:val="24"/>
        </w:rPr>
      </w:pPr>
      <w:r w:rsidRPr="00B50B0F">
        <w:rPr>
          <w:rFonts w:ascii="Times New Roman" w:hAnsi="Times New Roman"/>
          <w:sz w:val="24"/>
          <w:szCs w:val="24"/>
        </w:rPr>
        <w:t>Obecně je p</w:t>
      </w:r>
      <w:r w:rsidR="008234CA" w:rsidRPr="00B50B0F">
        <w:rPr>
          <w:rFonts w:ascii="Times New Roman" w:hAnsi="Times New Roman"/>
          <w:sz w:val="24"/>
          <w:szCs w:val="24"/>
        </w:rPr>
        <w:t>ři procesu hodnocení dopadů regulace ambicí identifikovat náklady a přínosy jednotlivých variant, a to jak kvalitativně, tak kvantitativně. V hypotetickém ideálním případě b</w:t>
      </w:r>
      <w:r w:rsidRPr="00B50B0F">
        <w:rPr>
          <w:rFonts w:ascii="Times New Roman" w:hAnsi="Times New Roman"/>
          <w:sz w:val="24"/>
          <w:szCs w:val="24"/>
        </w:rPr>
        <w:t>y z analýzy mělo vyplývat, jakou mají jednotlivé varianty čistou současnou hodnotu (celkovou hodnotu diskontovaných nákladů a přínosů), ergo jaká varianta je pro řešení problému nejvhodnější.</w:t>
      </w:r>
    </w:p>
    <w:p w14:paraId="094FD321" w14:textId="77777777" w:rsidR="008234CA" w:rsidRPr="00B50B0F" w:rsidRDefault="008234CA" w:rsidP="00E91390">
      <w:pPr>
        <w:pStyle w:val="Odstavecseseznamem"/>
        <w:ind w:left="0" w:firstLine="0"/>
        <w:rPr>
          <w:rFonts w:ascii="Times New Roman" w:hAnsi="Times New Roman"/>
          <w:sz w:val="24"/>
          <w:szCs w:val="24"/>
        </w:rPr>
      </w:pPr>
    </w:p>
    <w:p w14:paraId="56635CB9" w14:textId="77777777" w:rsidR="00A91CD3" w:rsidRPr="00B50B0F" w:rsidRDefault="00746479" w:rsidP="00E91390">
      <w:pPr>
        <w:pStyle w:val="Odstavecseseznamem"/>
        <w:ind w:left="0" w:firstLine="0"/>
        <w:rPr>
          <w:rFonts w:ascii="Times New Roman" w:hAnsi="Times New Roman"/>
          <w:sz w:val="24"/>
          <w:szCs w:val="24"/>
        </w:rPr>
      </w:pPr>
      <w:r w:rsidRPr="00B50B0F">
        <w:rPr>
          <w:rFonts w:ascii="Times New Roman" w:hAnsi="Times New Roman"/>
          <w:sz w:val="24"/>
          <w:szCs w:val="24"/>
        </w:rPr>
        <w:t>V oblasti boje proti praní špinavých peněz a financování terorismu ale v</w:t>
      </w:r>
      <w:r w:rsidR="00717BEF" w:rsidRPr="00B50B0F">
        <w:rPr>
          <w:rFonts w:ascii="Times New Roman" w:hAnsi="Times New Roman"/>
          <w:sz w:val="24"/>
          <w:szCs w:val="24"/>
        </w:rPr>
        <w:t>zhledem k předmětu úpravy</w:t>
      </w:r>
      <w:r w:rsidR="008234CA" w:rsidRPr="00B50B0F">
        <w:rPr>
          <w:rFonts w:ascii="Times New Roman" w:hAnsi="Times New Roman"/>
          <w:sz w:val="24"/>
          <w:szCs w:val="24"/>
        </w:rPr>
        <w:t xml:space="preserve"> navrhovaného zákona </w:t>
      </w:r>
      <w:r w:rsidRPr="00B50B0F">
        <w:rPr>
          <w:rFonts w:ascii="Times New Roman" w:hAnsi="Times New Roman"/>
          <w:sz w:val="24"/>
          <w:szCs w:val="24"/>
        </w:rPr>
        <w:t>není na místě taková ekonomická analýza</w:t>
      </w:r>
      <w:r w:rsidR="00717BEF" w:rsidRPr="00B50B0F">
        <w:rPr>
          <w:rFonts w:ascii="Times New Roman" w:hAnsi="Times New Roman"/>
          <w:sz w:val="24"/>
          <w:szCs w:val="24"/>
        </w:rPr>
        <w:t xml:space="preserve">, kde by </w:t>
      </w:r>
      <w:r w:rsidRPr="00B50B0F">
        <w:rPr>
          <w:rFonts w:ascii="Times New Roman" w:hAnsi="Times New Roman"/>
          <w:sz w:val="24"/>
          <w:szCs w:val="24"/>
        </w:rPr>
        <w:t>předkladatel porovnal náklady vynaložené</w:t>
      </w:r>
      <w:r w:rsidR="00717BEF" w:rsidRPr="00B50B0F">
        <w:rPr>
          <w:rFonts w:ascii="Times New Roman" w:hAnsi="Times New Roman"/>
          <w:sz w:val="24"/>
          <w:szCs w:val="24"/>
        </w:rPr>
        <w:t xml:space="preserve"> na jedné straně </w:t>
      </w:r>
      <w:r w:rsidRPr="00B50B0F">
        <w:rPr>
          <w:rFonts w:ascii="Times New Roman" w:hAnsi="Times New Roman"/>
          <w:sz w:val="24"/>
          <w:szCs w:val="24"/>
        </w:rPr>
        <w:t>a</w:t>
      </w:r>
      <w:r w:rsidR="00717BEF" w:rsidRPr="00B50B0F">
        <w:rPr>
          <w:rFonts w:ascii="Times New Roman" w:hAnsi="Times New Roman"/>
          <w:sz w:val="24"/>
          <w:szCs w:val="24"/>
        </w:rPr>
        <w:t xml:space="preserve"> výnosy na druhé straně. Náklady a výnosy sice lze teoreticky formulovat. V oblasti boje proti praní špinavých peněz by nákladem byla např. vyšší administrativní zátěž pro povinné osoby a orgány dohledu, očekávaným výnosem by bylo snížení objemu finančních prostředků, které by pachatelé trestné činnosti zlegalizovali</w:t>
      </w:r>
      <w:r w:rsidR="008234CA" w:rsidRPr="00B50B0F">
        <w:rPr>
          <w:rFonts w:ascii="Times New Roman" w:hAnsi="Times New Roman"/>
          <w:sz w:val="24"/>
          <w:szCs w:val="24"/>
        </w:rPr>
        <w:t>. V oblasti boje proti financování terorismu by náklady bylo možné vyčíslit obdobně</w:t>
      </w:r>
      <w:r w:rsidR="002A20CF" w:rsidRPr="00B50B0F">
        <w:rPr>
          <w:rFonts w:ascii="Times New Roman" w:hAnsi="Times New Roman"/>
          <w:sz w:val="24"/>
          <w:szCs w:val="24"/>
        </w:rPr>
        <w:t xml:space="preserve">, např. </w:t>
      </w:r>
      <w:r w:rsidR="008234CA" w:rsidRPr="00B50B0F">
        <w:rPr>
          <w:rFonts w:ascii="Times New Roman" w:hAnsi="Times New Roman"/>
          <w:sz w:val="24"/>
          <w:szCs w:val="24"/>
        </w:rPr>
        <w:t>jako vyšší administrativní zátěž</w:t>
      </w:r>
      <w:r w:rsidR="002A20CF" w:rsidRPr="00B50B0F">
        <w:rPr>
          <w:rFonts w:ascii="Times New Roman" w:hAnsi="Times New Roman"/>
          <w:sz w:val="24"/>
          <w:szCs w:val="24"/>
        </w:rPr>
        <w:t xml:space="preserve"> pro povinné osoby a orgány dohledu, a očekávaný výnos v podobě úspor vyplývajících ze zabránění teroristickým činům a souvisejícím škodám.</w:t>
      </w:r>
      <w:r w:rsidR="00E66547" w:rsidRPr="00B50B0F">
        <w:rPr>
          <w:rFonts w:ascii="Times New Roman" w:hAnsi="Times New Roman"/>
          <w:sz w:val="24"/>
          <w:szCs w:val="24"/>
        </w:rPr>
        <w:t xml:space="preserve"> Již z této </w:t>
      </w:r>
      <w:r w:rsidR="00E66547" w:rsidRPr="00B50B0F">
        <w:rPr>
          <w:rFonts w:ascii="Times New Roman" w:hAnsi="Times New Roman"/>
          <w:sz w:val="24"/>
          <w:szCs w:val="24"/>
        </w:rPr>
        <w:lastRenderedPageBreak/>
        <w:t>základní úvahy je ale zřejmé, že výnosy by byly v obou případech stanoveny převážně odhadem. Nelze předpokládat, že by se stát po zavedení přísnějších opatření proti praní špinavých peněz dozvěděl, o kolik méně prostředků se pachatelům trestné činnosti podařilo zlegalizovat. Pachatelé nedodávají státu</w:t>
      </w:r>
      <w:r w:rsidR="00A83376" w:rsidRPr="00B50B0F">
        <w:rPr>
          <w:rFonts w:ascii="Times New Roman" w:hAnsi="Times New Roman"/>
          <w:sz w:val="24"/>
          <w:szCs w:val="24"/>
        </w:rPr>
        <w:t xml:space="preserve"> statistiky. Rovněž nemá smysl řídit se při rozhodování o nástrojích boje proti financování terorismu úvahou o tom, ko</w:t>
      </w:r>
      <w:r w:rsidR="00111AE6">
        <w:rPr>
          <w:rFonts w:ascii="Times New Roman" w:hAnsi="Times New Roman"/>
          <w:sz w:val="24"/>
          <w:szCs w:val="24"/>
        </w:rPr>
        <w:t>lik škody tyto nástroje ušetří, tedy např. odhadovat, k jakému kvantitativnímu snížení teroristické činnosti dojde.</w:t>
      </w:r>
    </w:p>
    <w:p w14:paraId="3CE906D7" w14:textId="77777777" w:rsidR="00A91CD3" w:rsidRPr="00B50B0F" w:rsidRDefault="00A91CD3" w:rsidP="00E91390">
      <w:pPr>
        <w:pStyle w:val="Odstavecseseznamem"/>
        <w:ind w:left="0" w:firstLine="0"/>
        <w:rPr>
          <w:rFonts w:ascii="Times New Roman" w:hAnsi="Times New Roman"/>
          <w:sz w:val="24"/>
          <w:szCs w:val="24"/>
        </w:rPr>
      </w:pPr>
    </w:p>
    <w:p w14:paraId="52B83395" w14:textId="77777777" w:rsidR="0092647B" w:rsidRPr="00B50B0F" w:rsidRDefault="00A83376" w:rsidP="00E91390">
      <w:pPr>
        <w:pStyle w:val="Odstavecseseznamem"/>
        <w:ind w:left="0" w:firstLine="0"/>
        <w:rPr>
          <w:rFonts w:ascii="Times New Roman" w:hAnsi="Times New Roman"/>
          <w:sz w:val="24"/>
          <w:szCs w:val="24"/>
        </w:rPr>
      </w:pPr>
      <w:r w:rsidRPr="00B50B0F">
        <w:rPr>
          <w:rFonts w:ascii="Times New Roman" w:hAnsi="Times New Roman"/>
          <w:sz w:val="24"/>
          <w:szCs w:val="24"/>
        </w:rPr>
        <w:t>Hlavní relevantní úvaha v tomto ohledu</w:t>
      </w:r>
      <w:r w:rsidR="00EC591A">
        <w:rPr>
          <w:rFonts w:ascii="Times New Roman" w:hAnsi="Times New Roman"/>
          <w:sz w:val="24"/>
          <w:szCs w:val="24"/>
        </w:rPr>
        <w:t xml:space="preserve"> tedy </w:t>
      </w:r>
      <w:r w:rsidRPr="00B50B0F">
        <w:rPr>
          <w:rFonts w:ascii="Times New Roman" w:hAnsi="Times New Roman"/>
          <w:sz w:val="24"/>
          <w:szCs w:val="24"/>
        </w:rPr>
        <w:t>je, zda zvažovaný nástroj přinese efekt</w:t>
      </w:r>
      <w:r w:rsidR="00EC591A">
        <w:rPr>
          <w:rFonts w:ascii="Times New Roman" w:hAnsi="Times New Roman"/>
          <w:sz w:val="24"/>
          <w:szCs w:val="24"/>
        </w:rPr>
        <w:t xml:space="preserve"> (výsledek)</w:t>
      </w:r>
      <w:r w:rsidRPr="00B50B0F">
        <w:rPr>
          <w:rFonts w:ascii="Times New Roman" w:hAnsi="Times New Roman"/>
          <w:sz w:val="24"/>
          <w:szCs w:val="24"/>
        </w:rPr>
        <w:t xml:space="preserve">, tedy </w:t>
      </w:r>
      <w:r w:rsidR="0092647B" w:rsidRPr="00B50B0F">
        <w:rPr>
          <w:rFonts w:ascii="Times New Roman" w:hAnsi="Times New Roman"/>
          <w:sz w:val="24"/>
          <w:szCs w:val="24"/>
        </w:rPr>
        <w:t xml:space="preserve">zda </w:t>
      </w:r>
      <w:r w:rsidRPr="00B50B0F">
        <w:rPr>
          <w:rFonts w:ascii="Times New Roman" w:hAnsi="Times New Roman"/>
          <w:sz w:val="24"/>
          <w:szCs w:val="24"/>
        </w:rPr>
        <w:t>ztíží financování terorismu, resp. ztíží praní špinavých peněz.</w:t>
      </w:r>
      <w:r w:rsidR="00A91CD3" w:rsidRPr="00B50B0F">
        <w:rPr>
          <w:rFonts w:ascii="Times New Roman" w:hAnsi="Times New Roman"/>
          <w:sz w:val="24"/>
          <w:szCs w:val="24"/>
        </w:rPr>
        <w:t xml:space="preserve"> </w:t>
      </w:r>
      <w:r w:rsidR="0092647B" w:rsidRPr="00B50B0F">
        <w:rPr>
          <w:rFonts w:ascii="Times New Roman" w:hAnsi="Times New Roman"/>
          <w:sz w:val="24"/>
          <w:szCs w:val="24"/>
        </w:rPr>
        <w:t xml:space="preserve">Náklady daného nástroje je přitom třeba posuzovat především </w:t>
      </w:r>
      <w:r w:rsidR="000039C7">
        <w:rPr>
          <w:rFonts w:ascii="Times New Roman" w:hAnsi="Times New Roman"/>
          <w:sz w:val="24"/>
          <w:szCs w:val="24"/>
        </w:rPr>
        <w:t>ve smyslu přiměřenosti</w:t>
      </w:r>
      <w:r w:rsidR="0092647B" w:rsidRPr="00B50B0F">
        <w:rPr>
          <w:rFonts w:ascii="Times New Roman" w:hAnsi="Times New Roman"/>
          <w:sz w:val="24"/>
          <w:szCs w:val="24"/>
        </w:rPr>
        <w:t>,</w:t>
      </w:r>
      <w:r w:rsidR="000039C7">
        <w:rPr>
          <w:rFonts w:ascii="Times New Roman" w:hAnsi="Times New Roman"/>
          <w:sz w:val="24"/>
          <w:szCs w:val="24"/>
        </w:rPr>
        <w:t xml:space="preserve"> tedy</w:t>
      </w:r>
      <w:r w:rsidR="0092647B" w:rsidRPr="00B50B0F">
        <w:rPr>
          <w:rFonts w:ascii="Times New Roman" w:hAnsi="Times New Roman"/>
          <w:sz w:val="24"/>
          <w:szCs w:val="24"/>
        </w:rPr>
        <w:t xml:space="preserve"> zda nejsou zjevně nepřiměřené (tedy nelze </w:t>
      </w:r>
      <w:r w:rsidR="00532713">
        <w:rPr>
          <w:rFonts w:ascii="Times New Roman" w:hAnsi="Times New Roman"/>
          <w:sz w:val="24"/>
          <w:szCs w:val="24"/>
        </w:rPr>
        <w:t>vesměs</w:t>
      </w:r>
      <w:r w:rsidR="0092647B" w:rsidRPr="00B50B0F">
        <w:rPr>
          <w:rFonts w:ascii="Times New Roman" w:hAnsi="Times New Roman"/>
          <w:sz w:val="24"/>
          <w:szCs w:val="24"/>
        </w:rPr>
        <w:t xml:space="preserve"> posuzovat</w:t>
      </w:r>
      <w:r w:rsidR="00532713">
        <w:rPr>
          <w:rFonts w:ascii="Times New Roman" w:hAnsi="Times New Roman"/>
          <w:sz w:val="24"/>
          <w:szCs w:val="24"/>
        </w:rPr>
        <w:t xml:space="preserve">, </w:t>
      </w:r>
      <w:r w:rsidR="0092647B" w:rsidRPr="00B50B0F">
        <w:rPr>
          <w:rFonts w:ascii="Times New Roman" w:hAnsi="Times New Roman"/>
          <w:sz w:val="24"/>
          <w:szCs w:val="24"/>
        </w:rPr>
        <w:t>zda se vyplatí).</w:t>
      </w:r>
    </w:p>
    <w:p w14:paraId="7F9FADEC" w14:textId="77777777" w:rsidR="0092647B" w:rsidRPr="00B50B0F" w:rsidRDefault="0092647B" w:rsidP="00E91390">
      <w:pPr>
        <w:pStyle w:val="Odstavecseseznamem"/>
        <w:ind w:left="0" w:firstLine="0"/>
        <w:rPr>
          <w:rFonts w:ascii="Times New Roman" w:hAnsi="Times New Roman"/>
          <w:sz w:val="24"/>
          <w:szCs w:val="24"/>
        </w:rPr>
      </w:pPr>
    </w:p>
    <w:p w14:paraId="2BE02BEC" w14:textId="77777777" w:rsidR="00E91390" w:rsidRPr="00B50B0F" w:rsidRDefault="0092647B" w:rsidP="00E91390">
      <w:pPr>
        <w:pStyle w:val="Odstavecseseznamem"/>
        <w:ind w:left="0" w:firstLine="0"/>
        <w:rPr>
          <w:rFonts w:ascii="Times New Roman" w:hAnsi="Times New Roman"/>
          <w:sz w:val="24"/>
          <w:szCs w:val="24"/>
        </w:rPr>
      </w:pPr>
      <w:r w:rsidRPr="00B50B0F">
        <w:rPr>
          <w:rFonts w:ascii="Times New Roman" w:hAnsi="Times New Roman"/>
          <w:sz w:val="24"/>
          <w:szCs w:val="24"/>
        </w:rPr>
        <w:t>Vedle efektivity zvažovaných variant je v některých případech namístě hodnotit koherenci systému. Aspekt koherence je důležitý zvláště při posuzování úpravy mlčenlivosti (koherence mezi AML a jinými předpisy), úpravy sankcí (sankce dle AML a dle jiných předpisů)</w:t>
      </w:r>
      <w:r w:rsidR="00EC591A">
        <w:rPr>
          <w:rFonts w:ascii="Times New Roman" w:hAnsi="Times New Roman"/>
          <w:sz w:val="24"/>
          <w:szCs w:val="24"/>
        </w:rPr>
        <w:t xml:space="preserve"> a úpravy dohledu.</w:t>
      </w:r>
    </w:p>
    <w:p w14:paraId="5201D9DF" w14:textId="77777777" w:rsidR="002A20CF" w:rsidRDefault="002A20CF" w:rsidP="00E91390">
      <w:pPr>
        <w:pStyle w:val="Odstavecseseznamem"/>
        <w:ind w:left="0" w:firstLine="0"/>
        <w:rPr>
          <w:rFonts w:ascii="Times New Roman" w:hAnsi="Times New Roman"/>
          <w:sz w:val="24"/>
          <w:szCs w:val="24"/>
        </w:rPr>
      </w:pPr>
    </w:p>
    <w:p w14:paraId="2C101163" w14:textId="77777777" w:rsidR="00111AE6" w:rsidRDefault="00111AE6" w:rsidP="00E91390">
      <w:pPr>
        <w:pStyle w:val="Odstavecseseznamem"/>
        <w:ind w:left="0" w:firstLine="0"/>
        <w:rPr>
          <w:rFonts w:ascii="Times New Roman" w:hAnsi="Times New Roman"/>
          <w:sz w:val="24"/>
          <w:szCs w:val="24"/>
        </w:rPr>
      </w:pPr>
      <w:r>
        <w:rPr>
          <w:rFonts w:ascii="Times New Roman" w:hAnsi="Times New Roman"/>
          <w:sz w:val="24"/>
          <w:szCs w:val="24"/>
        </w:rPr>
        <w:t>Při hodnocení jednotlivých variant tedy zpracovatel RIA řešil:</w:t>
      </w:r>
    </w:p>
    <w:p w14:paraId="7F77C07A" w14:textId="77777777" w:rsidR="00111AE6" w:rsidRDefault="00111AE6" w:rsidP="00E91390">
      <w:pPr>
        <w:pStyle w:val="Odstavecseseznamem"/>
        <w:ind w:left="0" w:firstLine="0"/>
        <w:rPr>
          <w:rFonts w:ascii="Times New Roman" w:hAnsi="Times New Roman"/>
          <w:sz w:val="24"/>
          <w:szCs w:val="24"/>
        </w:rPr>
      </w:pPr>
    </w:p>
    <w:p w14:paraId="30200D65" w14:textId="77777777" w:rsidR="00111AE6" w:rsidRDefault="00111AE6" w:rsidP="00111AE6">
      <w:pPr>
        <w:pStyle w:val="Odstavecseseznamem"/>
        <w:numPr>
          <w:ilvl w:val="0"/>
          <w:numId w:val="6"/>
        </w:numPr>
        <w:rPr>
          <w:rFonts w:ascii="Times New Roman" w:hAnsi="Times New Roman"/>
          <w:sz w:val="24"/>
          <w:szCs w:val="24"/>
        </w:rPr>
      </w:pPr>
      <w:r>
        <w:rPr>
          <w:rFonts w:ascii="Times New Roman" w:hAnsi="Times New Roman"/>
          <w:sz w:val="24"/>
          <w:szCs w:val="24"/>
        </w:rPr>
        <w:t>zda je zvažovaná varianta efektivní (zda přinese výsledek);</w:t>
      </w:r>
    </w:p>
    <w:p w14:paraId="58AEA5F2" w14:textId="77777777" w:rsidR="00111AE6" w:rsidRDefault="00111AE6" w:rsidP="00111AE6">
      <w:pPr>
        <w:pStyle w:val="Odstavecseseznamem"/>
        <w:numPr>
          <w:ilvl w:val="0"/>
          <w:numId w:val="6"/>
        </w:numPr>
        <w:rPr>
          <w:rFonts w:ascii="Times New Roman" w:hAnsi="Times New Roman"/>
          <w:sz w:val="24"/>
          <w:szCs w:val="24"/>
        </w:rPr>
      </w:pPr>
      <w:r>
        <w:rPr>
          <w:rFonts w:ascii="Times New Roman" w:hAnsi="Times New Roman"/>
          <w:sz w:val="24"/>
          <w:szCs w:val="24"/>
        </w:rPr>
        <w:t>zda zvažovaná varianta přinese zvýšení nákladů; přitom je třeba mít na paměti, že prohibitivní nejsou zvýšené náklady samy o sobě, ale pouze zvýšené náklady zjevně nepřiměřené výsledku, který má zvažovaná varianta přinést;</w:t>
      </w:r>
    </w:p>
    <w:p w14:paraId="3F210EFA" w14:textId="77777777" w:rsidR="00111AE6" w:rsidRDefault="00111AE6" w:rsidP="00111AE6">
      <w:pPr>
        <w:pStyle w:val="Odstavecseseznamem"/>
        <w:numPr>
          <w:ilvl w:val="0"/>
          <w:numId w:val="6"/>
        </w:numPr>
        <w:rPr>
          <w:rFonts w:ascii="Times New Roman" w:hAnsi="Times New Roman"/>
          <w:sz w:val="24"/>
          <w:szCs w:val="24"/>
        </w:rPr>
      </w:pPr>
      <w:r>
        <w:rPr>
          <w:rFonts w:ascii="Times New Roman" w:hAnsi="Times New Roman"/>
          <w:sz w:val="24"/>
          <w:szCs w:val="24"/>
        </w:rPr>
        <w:t>nakolik je navrhovaná varianta koherentní, tedy v souladu jak se zbytkem právního řádu, pokud je v jiných předpisech ekvivalentní pravidlo (např. úprava mlčenlivosti), případně v souladu s cíli úpravy.</w:t>
      </w:r>
    </w:p>
    <w:p w14:paraId="72487365" w14:textId="77777777" w:rsidR="00111AE6" w:rsidRDefault="00111AE6" w:rsidP="00111AE6">
      <w:pPr>
        <w:pStyle w:val="Odstavecseseznamem"/>
        <w:ind w:firstLine="0"/>
        <w:rPr>
          <w:rFonts w:ascii="Times New Roman" w:hAnsi="Times New Roman"/>
          <w:sz w:val="24"/>
          <w:szCs w:val="24"/>
        </w:rPr>
      </w:pPr>
    </w:p>
    <w:p w14:paraId="607FDD14" w14:textId="77777777" w:rsidR="00111AE6" w:rsidRDefault="00111AE6" w:rsidP="00E91390">
      <w:pPr>
        <w:pStyle w:val="Odstavecseseznamem"/>
        <w:ind w:left="0" w:firstLine="0"/>
        <w:rPr>
          <w:rFonts w:ascii="Times New Roman" w:hAnsi="Times New Roman"/>
          <w:sz w:val="24"/>
          <w:szCs w:val="24"/>
        </w:rPr>
      </w:pPr>
      <w:r>
        <w:rPr>
          <w:rFonts w:ascii="Times New Roman" w:hAnsi="Times New Roman"/>
          <w:sz w:val="24"/>
          <w:szCs w:val="24"/>
        </w:rPr>
        <w:t>Tato kritéria jsou uvedena a vyhod</w:t>
      </w:r>
      <w:r w:rsidR="00C60BC4">
        <w:rPr>
          <w:rFonts w:ascii="Times New Roman" w:hAnsi="Times New Roman"/>
          <w:sz w:val="24"/>
          <w:szCs w:val="24"/>
        </w:rPr>
        <w:t>n</w:t>
      </w:r>
      <w:r>
        <w:rPr>
          <w:rFonts w:ascii="Times New Roman" w:hAnsi="Times New Roman"/>
          <w:sz w:val="24"/>
          <w:szCs w:val="24"/>
        </w:rPr>
        <w:t>ocena u jednotlivých var</w:t>
      </w:r>
      <w:r w:rsidR="003D1580">
        <w:rPr>
          <w:rFonts w:ascii="Times New Roman" w:hAnsi="Times New Roman"/>
          <w:sz w:val="24"/>
          <w:szCs w:val="24"/>
        </w:rPr>
        <w:t xml:space="preserve">iant níže, a to jednak graficky (+ a -, resp. 0 a n/a, tj. neaplikuje se) a zároveň slovním popisem. </w:t>
      </w:r>
    </w:p>
    <w:p w14:paraId="24513DFB" w14:textId="77777777" w:rsidR="00FF56CF" w:rsidRDefault="00FF56CF" w:rsidP="00E91390">
      <w:pPr>
        <w:pStyle w:val="Odstavecseseznamem"/>
        <w:ind w:left="0" w:firstLine="0"/>
        <w:rPr>
          <w:rFonts w:ascii="Times New Roman" w:hAnsi="Times New Roman"/>
          <w:sz w:val="24"/>
          <w:szCs w:val="24"/>
        </w:rPr>
      </w:pPr>
    </w:p>
    <w:p w14:paraId="5BC3875F" w14:textId="77777777" w:rsidR="002A20CF" w:rsidRPr="003D1580" w:rsidRDefault="00B27DDE" w:rsidP="003165A6">
      <w:pPr>
        <w:pStyle w:val="Odstavecseseznamem"/>
        <w:numPr>
          <w:ilvl w:val="0"/>
          <w:numId w:val="8"/>
        </w:numPr>
        <w:ind w:left="360"/>
        <w:rPr>
          <w:rFonts w:ascii="Times New Roman" w:hAnsi="Times New Roman"/>
          <w:b/>
          <w:sz w:val="24"/>
          <w:szCs w:val="24"/>
        </w:rPr>
      </w:pPr>
      <w:r w:rsidRPr="003D1580">
        <w:rPr>
          <w:rFonts w:ascii="Times New Roman" w:hAnsi="Times New Roman"/>
          <w:b/>
          <w:sz w:val="24"/>
          <w:szCs w:val="24"/>
        </w:rPr>
        <w:t>Ke kvantifikovatelným dopadům navrhované úpravy</w:t>
      </w:r>
    </w:p>
    <w:p w14:paraId="772D2266" w14:textId="77777777" w:rsidR="002A20CF" w:rsidRDefault="002A20CF" w:rsidP="00E91390">
      <w:pPr>
        <w:pStyle w:val="Odstavecseseznamem"/>
        <w:ind w:left="0" w:firstLine="0"/>
        <w:rPr>
          <w:rFonts w:ascii="Times New Roman" w:hAnsi="Times New Roman"/>
          <w:i/>
          <w:sz w:val="24"/>
          <w:szCs w:val="24"/>
        </w:rPr>
      </w:pPr>
    </w:p>
    <w:p w14:paraId="198D898F" w14:textId="77777777" w:rsidR="0067012D" w:rsidRPr="0067012D" w:rsidRDefault="0067012D" w:rsidP="00E91390">
      <w:pPr>
        <w:pStyle w:val="Odstavecseseznamem"/>
        <w:ind w:left="0" w:firstLine="0"/>
        <w:rPr>
          <w:rFonts w:ascii="Times New Roman" w:hAnsi="Times New Roman"/>
          <w:b/>
          <w:sz w:val="24"/>
          <w:szCs w:val="24"/>
        </w:rPr>
      </w:pPr>
      <w:r>
        <w:rPr>
          <w:rFonts w:ascii="Times New Roman" w:hAnsi="Times New Roman"/>
          <w:b/>
          <w:sz w:val="24"/>
          <w:szCs w:val="24"/>
        </w:rPr>
        <w:t>Obecně</w:t>
      </w:r>
    </w:p>
    <w:p w14:paraId="65E2F901" w14:textId="77777777" w:rsidR="0067012D" w:rsidRDefault="0067012D" w:rsidP="00E91390">
      <w:pPr>
        <w:pStyle w:val="Odstavecseseznamem"/>
        <w:ind w:left="0" w:firstLine="0"/>
        <w:rPr>
          <w:rFonts w:ascii="Times New Roman" w:hAnsi="Times New Roman"/>
          <w:sz w:val="24"/>
          <w:szCs w:val="24"/>
        </w:rPr>
      </w:pPr>
    </w:p>
    <w:p w14:paraId="4F779532" w14:textId="77777777" w:rsidR="0067012D" w:rsidRDefault="0067012D" w:rsidP="00E91390">
      <w:pPr>
        <w:pStyle w:val="Odstavecseseznamem"/>
        <w:ind w:left="0" w:firstLine="0"/>
        <w:rPr>
          <w:rFonts w:ascii="Times New Roman" w:hAnsi="Times New Roman"/>
          <w:sz w:val="24"/>
          <w:szCs w:val="24"/>
        </w:rPr>
      </w:pPr>
      <w:r>
        <w:rPr>
          <w:rFonts w:ascii="Times New Roman" w:hAnsi="Times New Roman"/>
          <w:sz w:val="24"/>
          <w:szCs w:val="24"/>
        </w:rPr>
        <w:t>Vzhledem k nezákonné povaze praní peněz a financování terorismu nelze poskytnout statistické údaje, které by adekvátně popsaly částky, které pachatelé procesují pro nezákonné účely. Vzhledem k tomu, že se liší i jednotlivé definice užívané v jednotlivých státech (např. řada států zahrnuje daňové úniky), je obtížné i srovnání mezi jednotlivými zeměmi či odhad založený na obdobných datech ze zahraničí.</w:t>
      </w:r>
    </w:p>
    <w:p w14:paraId="39A38657" w14:textId="77777777" w:rsidR="0067012D" w:rsidRDefault="0067012D" w:rsidP="00E91390">
      <w:pPr>
        <w:pStyle w:val="Odstavecseseznamem"/>
        <w:ind w:left="0" w:firstLine="0"/>
        <w:rPr>
          <w:rFonts w:ascii="Times New Roman" w:hAnsi="Times New Roman"/>
          <w:sz w:val="24"/>
          <w:szCs w:val="24"/>
        </w:rPr>
      </w:pPr>
    </w:p>
    <w:p w14:paraId="51659604" w14:textId="77777777" w:rsidR="0067012D" w:rsidRDefault="0067012D" w:rsidP="00E91390">
      <w:pPr>
        <w:pStyle w:val="Odstavecseseznamem"/>
        <w:ind w:left="0" w:firstLine="0"/>
        <w:rPr>
          <w:rFonts w:ascii="Times New Roman" w:hAnsi="Times New Roman"/>
          <w:sz w:val="24"/>
          <w:szCs w:val="24"/>
        </w:rPr>
      </w:pPr>
      <w:r>
        <w:rPr>
          <w:rFonts w:ascii="Times New Roman" w:hAnsi="Times New Roman"/>
          <w:sz w:val="24"/>
          <w:szCs w:val="24"/>
        </w:rPr>
        <w:t>Mezinárodní organizace se opakovaně pokusily kvantifikovat rozsah problému. Řadu těchto odhadů je namístě brát kriticky</w:t>
      </w:r>
      <w:r w:rsidR="000A57EC">
        <w:rPr>
          <w:rFonts w:ascii="Times New Roman" w:hAnsi="Times New Roman"/>
          <w:sz w:val="24"/>
          <w:szCs w:val="24"/>
        </w:rPr>
        <w:t xml:space="preserve">, nicméně při absenci nenapadnutelných dat si dovolujeme tyto odhady uvést. Dle Mezinárodního měnového fondu je objem „špinavých peněz“ kolem 2-5 % globálního HDP. Pokud tato čísla promítneme do kontextu EU, kde je celkový HDP 12.27 bilionů EUR, pak lze objem špinavých peněz na EU úrovni odhadovat kolem 245-613 miliard EUR (za předpokladu rovnoměrné </w:t>
      </w:r>
      <w:r w:rsidR="008422DC">
        <w:rPr>
          <w:rFonts w:ascii="Times New Roman" w:hAnsi="Times New Roman"/>
          <w:sz w:val="24"/>
          <w:szCs w:val="24"/>
        </w:rPr>
        <w:t>distribuce praní peněz po světě</w:t>
      </w:r>
      <w:r w:rsidR="000A57EC">
        <w:rPr>
          <w:rFonts w:ascii="Times New Roman" w:hAnsi="Times New Roman"/>
          <w:sz w:val="24"/>
          <w:szCs w:val="24"/>
        </w:rPr>
        <w:t xml:space="preserve">). </w:t>
      </w:r>
      <w:r w:rsidR="008422DC">
        <w:rPr>
          <w:rFonts w:ascii="Times New Roman" w:hAnsi="Times New Roman"/>
          <w:sz w:val="24"/>
          <w:szCs w:val="24"/>
        </w:rPr>
        <w:t xml:space="preserve">V České republice s HDP </w:t>
      </w:r>
      <w:r w:rsidR="008422DC">
        <w:rPr>
          <w:rFonts w:ascii="Times New Roman" w:hAnsi="Times New Roman"/>
          <w:sz w:val="24"/>
          <w:szCs w:val="24"/>
        </w:rPr>
        <w:lastRenderedPageBreak/>
        <w:t>4 086 miliard</w:t>
      </w:r>
      <w:r w:rsidR="000F4BB4">
        <w:rPr>
          <w:rFonts w:ascii="Times New Roman" w:hAnsi="Times New Roman"/>
          <w:sz w:val="24"/>
          <w:szCs w:val="24"/>
        </w:rPr>
        <w:t xml:space="preserve"> Kč</w:t>
      </w:r>
      <w:r w:rsidR="00483F72">
        <w:rPr>
          <w:rStyle w:val="Znakapoznpodarou"/>
          <w:rFonts w:ascii="Times New Roman" w:hAnsi="Times New Roman"/>
          <w:sz w:val="24"/>
          <w:szCs w:val="24"/>
        </w:rPr>
        <w:footnoteReference w:id="3"/>
      </w:r>
      <w:r w:rsidR="008422DC">
        <w:rPr>
          <w:rFonts w:ascii="Times New Roman" w:hAnsi="Times New Roman"/>
          <w:sz w:val="24"/>
          <w:szCs w:val="24"/>
        </w:rPr>
        <w:t xml:space="preserve"> by odhad 2-5 % znamenal přibližně </w:t>
      </w:r>
      <w:r w:rsidR="00483F72">
        <w:rPr>
          <w:rFonts w:ascii="Times New Roman" w:hAnsi="Times New Roman"/>
          <w:sz w:val="24"/>
          <w:szCs w:val="24"/>
        </w:rPr>
        <w:t>80-200</w:t>
      </w:r>
      <w:r w:rsidR="008422DC">
        <w:rPr>
          <w:rFonts w:ascii="Times New Roman" w:hAnsi="Times New Roman"/>
          <w:sz w:val="24"/>
          <w:szCs w:val="24"/>
        </w:rPr>
        <w:t xml:space="preserve"> miliard</w:t>
      </w:r>
      <w:r w:rsidR="00483F72">
        <w:rPr>
          <w:rFonts w:ascii="Times New Roman" w:hAnsi="Times New Roman"/>
          <w:sz w:val="24"/>
          <w:szCs w:val="24"/>
        </w:rPr>
        <w:t xml:space="preserve"> </w:t>
      </w:r>
      <w:r w:rsidR="000F4BB4">
        <w:rPr>
          <w:rFonts w:ascii="Times New Roman" w:hAnsi="Times New Roman"/>
          <w:sz w:val="24"/>
          <w:szCs w:val="24"/>
        </w:rPr>
        <w:t xml:space="preserve">Kč </w:t>
      </w:r>
      <w:r w:rsidR="00483F72">
        <w:rPr>
          <w:rFonts w:ascii="Times New Roman" w:hAnsi="Times New Roman"/>
          <w:sz w:val="24"/>
          <w:szCs w:val="24"/>
        </w:rPr>
        <w:t>ročně (za předpokladu rovnoměrné distribuce praní peněz v EU).</w:t>
      </w:r>
    </w:p>
    <w:p w14:paraId="4138EC33" w14:textId="77777777" w:rsidR="00773E62" w:rsidRDefault="00773E62" w:rsidP="00E91390">
      <w:pPr>
        <w:pStyle w:val="Odstavecseseznamem"/>
        <w:ind w:left="0" w:firstLine="0"/>
        <w:rPr>
          <w:rFonts w:ascii="Times New Roman" w:hAnsi="Times New Roman"/>
          <w:sz w:val="24"/>
          <w:szCs w:val="24"/>
        </w:rPr>
      </w:pPr>
    </w:p>
    <w:p w14:paraId="3FCA24B6" w14:textId="77777777" w:rsidR="00773E62" w:rsidRDefault="00773E62" w:rsidP="00E91390">
      <w:pPr>
        <w:pStyle w:val="Odstavecseseznamem"/>
        <w:ind w:left="0" w:firstLine="0"/>
        <w:rPr>
          <w:rFonts w:ascii="Times New Roman" w:hAnsi="Times New Roman"/>
          <w:sz w:val="24"/>
          <w:szCs w:val="24"/>
        </w:rPr>
      </w:pPr>
      <w:r>
        <w:rPr>
          <w:rFonts w:ascii="Times New Roman" w:hAnsi="Times New Roman"/>
          <w:sz w:val="24"/>
          <w:szCs w:val="24"/>
        </w:rPr>
        <w:t xml:space="preserve">Existuje aktuálnější studie Spojených národů (United </w:t>
      </w:r>
      <w:proofErr w:type="spellStart"/>
      <w:r>
        <w:rPr>
          <w:rFonts w:ascii="Times New Roman" w:hAnsi="Times New Roman"/>
          <w:sz w:val="24"/>
          <w:szCs w:val="24"/>
        </w:rPr>
        <w:t>Nations</w:t>
      </w:r>
      <w:proofErr w:type="spellEnd"/>
      <w:r>
        <w:rPr>
          <w:rFonts w:ascii="Times New Roman" w:hAnsi="Times New Roman"/>
          <w:sz w:val="24"/>
          <w:szCs w:val="24"/>
        </w:rPr>
        <w:t xml:space="preserve"> Office on </w:t>
      </w:r>
      <w:proofErr w:type="spellStart"/>
      <w:r>
        <w:rPr>
          <w:rFonts w:ascii="Times New Roman" w:hAnsi="Times New Roman"/>
          <w:sz w:val="24"/>
          <w:szCs w:val="24"/>
        </w:rPr>
        <w:t>Drugs</w:t>
      </w:r>
      <w:proofErr w:type="spellEnd"/>
      <w:r>
        <w:rPr>
          <w:rFonts w:ascii="Times New Roman" w:hAnsi="Times New Roman"/>
          <w:sz w:val="24"/>
          <w:szCs w:val="24"/>
        </w:rPr>
        <w:t xml:space="preserve"> and </w:t>
      </w:r>
      <w:proofErr w:type="spellStart"/>
      <w:r>
        <w:rPr>
          <w:rFonts w:ascii="Times New Roman" w:hAnsi="Times New Roman"/>
          <w:sz w:val="24"/>
          <w:szCs w:val="24"/>
        </w:rPr>
        <w:t>Crime</w:t>
      </w:r>
      <w:proofErr w:type="spellEnd"/>
      <w:r>
        <w:rPr>
          <w:rFonts w:ascii="Times New Roman" w:hAnsi="Times New Roman"/>
          <w:sz w:val="24"/>
          <w:szCs w:val="24"/>
        </w:rPr>
        <w:t>)</w:t>
      </w:r>
      <w:r>
        <w:rPr>
          <w:rStyle w:val="Znakapoznpodarou"/>
          <w:rFonts w:ascii="Times New Roman" w:hAnsi="Times New Roman"/>
          <w:sz w:val="24"/>
          <w:szCs w:val="24"/>
        </w:rPr>
        <w:footnoteReference w:id="4"/>
      </w:r>
      <w:r w:rsidR="000F4BB4">
        <w:rPr>
          <w:rFonts w:ascii="Times New Roman" w:hAnsi="Times New Roman"/>
          <w:sz w:val="24"/>
          <w:szCs w:val="24"/>
        </w:rPr>
        <w:t>, která odhaduje celkový objem výnosů trestné činnosti na 3.6 % globálního HDP (v roce 2009 2.1 bilionů dolarů) a odhadovaný objem peněz k legalizaci na 2.7 % globálního HDP (1.6 bilionů dolarů). Za stejných asumpcí jako výše bychom v rámci EU došli k částce 330 miliard EUR, v ČR 110 miliard ročně.</w:t>
      </w:r>
    </w:p>
    <w:p w14:paraId="48EF3F32" w14:textId="77777777" w:rsidR="000F4BB4" w:rsidRDefault="000F4BB4" w:rsidP="00E91390">
      <w:pPr>
        <w:pStyle w:val="Odstavecseseznamem"/>
        <w:ind w:left="0" w:firstLine="0"/>
        <w:rPr>
          <w:rFonts w:ascii="Times New Roman" w:hAnsi="Times New Roman"/>
          <w:sz w:val="24"/>
          <w:szCs w:val="24"/>
        </w:rPr>
      </w:pPr>
    </w:p>
    <w:p w14:paraId="1D583C48" w14:textId="77777777" w:rsidR="000F4BB4" w:rsidRDefault="000F4BB4" w:rsidP="00E91390">
      <w:pPr>
        <w:pStyle w:val="Odstavecseseznamem"/>
        <w:ind w:left="0" w:firstLine="0"/>
        <w:rPr>
          <w:rFonts w:ascii="Times New Roman" w:hAnsi="Times New Roman"/>
          <w:sz w:val="24"/>
          <w:szCs w:val="24"/>
        </w:rPr>
      </w:pPr>
      <w:r>
        <w:rPr>
          <w:rFonts w:ascii="Times New Roman" w:hAnsi="Times New Roman"/>
          <w:sz w:val="24"/>
          <w:szCs w:val="24"/>
        </w:rPr>
        <w:t>Komplexní metody výzkumu, které mezinárodní instituce použily k výpočtu globálního objemu špinavých peněz, lze podrobit kritice a nemohou představovat jediné východisko legislativního řešení problému AML/CTF.</w:t>
      </w:r>
      <w:r w:rsidR="003915DC">
        <w:rPr>
          <w:rFonts w:ascii="Times New Roman" w:hAnsi="Times New Roman"/>
          <w:sz w:val="24"/>
          <w:szCs w:val="24"/>
        </w:rPr>
        <w:t xml:space="preserve"> Existují však konkrétní jednotlivé případy, kde byly zjištěny konkrétní objemy praných částek. Tyto případy zahrnují ve své škále jak případy relativně malých operací až k mnoha milionovým (resp. mnoha miliardovým) operacím. </w:t>
      </w:r>
    </w:p>
    <w:p w14:paraId="5D0D44D6" w14:textId="77777777" w:rsidR="003915DC" w:rsidRDefault="003915DC" w:rsidP="00E91390">
      <w:pPr>
        <w:pStyle w:val="Odstavecseseznamem"/>
        <w:ind w:left="0" w:firstLine="0"/>
        <w:rPr>
          <w:rFonts w:ascii="Times New Roman" w:hAnsi="Times New Roman"/>
          <w:sz w:val="24"/>
          <w:szCs w:val="24"/>
        </w:rPr>
      </w:pPr>
    </w:p>
    <w:p w14:paraId="6116A5CC" w14:textId="77777777" w:rsidR="00773E62" w:rsidRDefault="003915DC" w:rsidP="00E91390">
      <w:pPr>
        <w:pStyle w:val="Odstavecseseznamem"/>
        <w:ind w:left="0" w:firstLine="0"/>
        <w:rPr>
          <w:rFonts w:ascii="Times New Roman" w:hAnsi="Times New Roman"/>
          <w:sz w:val="24"/>
          <w:szCs w:val="24"/>
        </w:rPr>
      </w:pPr>
      <w:r>
        <w:rPr>
          <w:rFonts w:ascii="Times New Roman" w:hAnsi="Times New Roman"/>
          <w:sz w:val="24"/>
          <w:szCs w:val="24"/>
        </w:rPr>
        <w:t xml:space="preserve">Dle Evropské komise je dosud největším odhaleným případem praní peněz případ americké banky </w:t>
      </w:r>
      <w:proofErr w:type="spellStart"/>
      <w:r>
        <w:rPr>
          <w:rFonts w:ascii="Times New Roman" w:hAnsi="Times New Roman"/>
          <w:sz w:val="24"/>
          <w:szCs w:val="24"/>
        </w:rPr>
        <w:t>Wachovia</w:t>
      </w:r>
      <w:proofErr w:type="spellEnd"/>
      <w:r>
        <w:rPr>
          <w:rFonts w:ascii="Times New Roman" w:hAnsi="Times New Roman"/>
          <w:sz w:val="24"/>
          <w:szCs w:val="24"/>
        </w:rPr>
        <w:t>, kde v letech 2004-2007 došlo k bezhotovostním převodům z mexických směnáren v celkové výši 373 miliard USD, o nichž se orgány činné v trestním řízení domnívají, že šlo o prostředky z obchodování s drogami. Banka neměla žádné mechanismy AML, které by detekovaly a reportovaly podezřelé operace.</w:t>
      </w:r>
    </w:p>
    <w:p w14:paraId="3CE37E11" w14:textId="77777777" w:rsidR="00773E62" w:rsidRDefault="00773E62" w:rsidP="00E91390">
      <w:pPr>
        <w:pStyle w:val="Odstavecseseznamem"/>
        <w:ind w:left="0" w:firstLine="0"/>
        <w:rPr>
          <w:rFonts w:ascii="Times New Roman" w:hAnsi="Times New Roman"/>
          <w:sz w:val="24"/>
          <w:szCs w:val="24"/>
        </w:rPr>
      </w:pPr>
    </w:p>
    <w:p w14:paraId="7E682EC9" w14:textId="60B34F12" w:rsidR="009070B1" w:rsidRDefault="003915DC" w:rsidP="00E91390">
      <w:pPr>
        <w:pStyle w:val="Odstavecseseznamem"/>
        <w:ind w:left="0" w:firstLine="0"/>
        <w:rPr>
          <w:rFonts w:ascii="Times New Roman" w:hAnsi="Times New Roman"/>
          <w:sz w:val="24"/>
          <w:szCs w:val="24"/>
        </w:rPr>
      </w:pPr>
      <w:r>
        <w:rPr>
          <w:rFonts w:ascii="Times New Roman" w:hAnsi="Times New Roman"/>
          <w:sz w:val="24"/>
          <w:szCs w:val="24"/>
        </w:rPr>
        <w:t>Co se týče financování terorismu, neexistují zde žádné odhady celkového objemu prostředků</w:t>
      </w:r>
      <w:r w:rsidR="009070B1">
        <w:rPr>
          <w:rFonts w:ascii="Times New Roman" w:hAnsi="Times New Roman"/>
          <w:sz w:val="24"/>
          <w:szCs w:val="24"/>
        </w:rPr>
        <w:t>. Zpráva britské Sněmovny lordů z roku 2009 nicméně uvádí, že na rozdíl od praní peněz, kde jde typově o větší částky, se u financování terorismu jedná o mnohem menší objemy, zatímco škodliv</w:t>
      </w:r>
      <w:r w:rsidR="00304CBE">
        <w:rPr>
          <w:rFonts w:ascii="Times New Roman" w:hAnsi="Times New Roman"/>
          <w:sz w:val="24"/>
          <w:szCs w:val="24"/>
        </w:rPr>
        <w:t>é</w:t>
      </w:r>
      <w:r w:rsidR="009070B1">
        <w:rPr>
          <w:rFonts w:ascii="Times New Roman" w:hAnsi="Times New Roman"/>
          <w:sz w:val="24"/>
          <w:szCs w:val="24"/>
        </w:rPr>
        <w:t xml:space="preserve"> účink</w:t>
      </w:r>
      <w:r w:rsidR="00304CBE">
        <w:rPr>
          <w:rFonts w:ascii="Times New Roman" w:hAnsi="Times New Roman"/>
          <w:sz w:val="24"/>
          <w:szCs w:val="24"/>
        </w:rPr>
        <w:t>y</w:t>
      </w:r>
      <w:r w:rsidR="009070B1">
        <w:rPr>
          <w:rFonts w:ascii="Times New Roman" w:hAnsi="Times New Roman"/>
          <w:sz w:val="24"/>
          <w:szCs w:val="24"/>
        </w:rPr>
        <w:t xml:space="preserve"> na společnost, ekonomiku a bezpečnost mohou být enormní a zásadně přesahovat náklady teroristické činnosti. Jako příklad se v této souvislosti uvádí náklady bombových útoků v Londýně v roce 2005</w:t>
      </w:r>
      <w:r w:rsidR="00724FE6">
        <w:rPr>
          <w:rFonts w:ascii="Times New Roman" w:hAnsi="Times New Roman"/>
          <w:sz w:val="24"/>
          <w:szCs w:val="24"/>
        </w:rPr>
        <w:t xml:space="preserve">, </w:t>
      </w:r>
      <w:r w:rsidR="009070B1">
        <w:rPr>
          <w:rFonts w:ascii="Times New Roman" w:hAnsi="Times New Roman"/>
          <w:sz w:val="24"/>
          <w:szCs w:val="24"/>
        </w:rPr>
        <w:t xml:space="preserve">odhadem 8.000 GBP. Bombové útoky v madridských vlacích nákladově stály přibližně 10.000 USD. CIA odhaduje, že Al-Kaida měla v roce 2001 roční rozpočet 30 milionů USD, celkový náklad na přípravu a provedení samotných útoků </w:t>
      </w:r>
      <w:r w:rsidR="00962382">
        <w:rPr>
          <w:rFonts w:ascii="Times New Roman" w:hAnsi="Times New Roman"/>
          <w:sz w:val="24"/>
          <w:szCs w:val="24"/>
        </w:rPr>
        <w:t>11</w:t>
      </w:r>
      <w:r w:rsidR="009070B1">
        <w:rPr>
          <w:rFonts w:ascii="Times New Roman" w:hAnsi="Times New Roman"/>
          <w:sz w:val="24"/>
          <w:szCs w:val="24"/>
        </w:rPr>
        <w:t>. září se odhaduje na 500.000 USD.</w:t>
      </w:r>
      <w:r w:rsidR="009070B1">
        <w:rPr>
          <w:rStyle w:val="Znakapoznpodarou"/>
          <w:rFonts w:ascii="Times New Roman" w:hAnsi="Times New Roman"/>
          <w:sz w:val="24"/>
          <w:szCs w:val="24"/>
        </w:rPr>
        <w:footnoteReference w:id="5"/>
      </w:r>
    </w:p>
    <w:p w14:paraId="59475E0B" w14:textId="77777777" w:rsidR="00EB4DF9" w:rsidRPr="00EB4DF9" w:rsidRDefault="00EB4DF9" w:rsidP="004C3870">
      <w:pPr>
        <w:pStyle w:val="Odstavecseseznamem"/>
        <w:ind w:left="0" w:firstLine="0"/>
        <w:rPr>
          <w:rFonts w:ascii="Times New Roman" w:hAnsi="Times New Roman"/>
          <w:sz w:val="24"/>
          <w:szCs w:val="24"/>
        </w:rPr>
      </w:pPr>
    </w:p>
    <w:p w14:paraId="21EFAF21" w14:textId="77777777" w:rsidR="0067012D" w:rsidRDefault="00B32A75" w:rsidP="00E91390">
      <w:pPr>
        <w:pStyle w:val="Odstavecseseznamem"/>
        <w:ind w:left="0" w:firstLine="0"/>
        <w:rPr>
          <w:rFonts w:ascii="Times New Roman" w:hAnsi="Times New Roman"/>
          <w:sz w:val="24"/>
          <w:szCs w:val="24"/>
        </w:rPr>
      </w:pPr>
      <w:r>
        <w:rPr>
          <w:rFonts w:ascii="Times New Roman" w:hAnsi="Times New Roman"/>
          <w:sz w:val="24"/>
          <w:szCs w:val="24"/>
        </w:rPr>
        <w:t xml:space="preserve">V České republice se škody z trestné činnosti se odhadují na minimálně 200 </w:t>
      </w:r>
      <w:proofErr w:type="spellStart"/>
      <w:r>
        <w:rPr>
          <w:rFonts w:ascii="Times New Roman" w:hAnsi="Times New Roman"/>
          <w:sz w:val="24"/>
          <w:szCs w:val="24"/>
        </w:rPr>
        <w:t>mld</w:t>
      </w:r>
      <w:proofErr w:type="spellEnd"/>
      <w:r>
        <w:rPr>
          <w:rFonts w:ascii="Times New Roman" w:hAnsi="Times New Roman"/>
          <w:sz w:val="24"/>
          <w:szCs w:val="24"/>
        </w:rPr>
        <w:t xml:space="preserve"> Kč ročně. Východiskem při podobných o</w:t>
      </w:r>
      <w:r w:rsidR="00B94D94">
        <w:rPr>
          <w:rFonts w:ascii="Times New Roman" w:hAnsi="Times New Roman"/>
          <w:sz w:val="24"/>
          <w:szCs w:val="24"/>
        </w:rPr>
        <w:t>dhadech může být např. studie Evropské komise</w:t>
      </w:r>
      <w:r>
        <w:rPr>
          <w:rFonts w:ascii="Times New Roman" w:hAnsi="Times New Roman"/>
          <w:sz w:val="24"/>
          <w:szCs w:val="24"/>
        </w:rPr>
        <w:t xml:space="preserve"> k daňovým únikům v oblasti DPH (</w:t>
      </w:r>
      <w:r w:rsidRPr="00362299">
        <w:rPr>
          <w:rFonts w:ascii="Times New Roman" w:hAnsi="Times New Roman"/>
          <w:sz w:val="24"/>
          <w:szCs w:val="24"/>
        </w:rPr>
        <w:t xml:space="preserve">2012 Update Report to </w:t>
      </w:r>
      <w:proofErr w:type="spellStart"/>
      <w:r w:rsidRPr="00362299">
        <w:rPr>
          <w:rFonts w:ascii="Times New Roman" w:hAnsi="Times New Roman"/>
          <w:sz w:val="24"/>
          <w:szCs w:val="24"/>
        </w:rPr>
        <w:t>the</w:t>
      </w:r>
      <w:proofErr w:type="spellEnd"/>
      <w:r w:rsidRPr="00362299">
        <w:rPr>
          <w:rFonts w:ascii="Times New Roman" w:hAnsi="Times New Roman"/>
          <w:sz w:val="24"/>
          <w:szCs w:val="24"/>
        </w:rPr>
        <w:t xml:space="preserve"> Study to </w:t>
      </w:r>
      <w:proofErr w:type="spellStart"/>
      <w:r w:rsidRPr="00362299">
        <w:rPr>
          <w:rFonts w:ascii="Times New Roman" w:hAnsi="Times New Roman"/>
          <w:sz w:val="24"/>
          <w:szCs w:val="24"/>
        </w:rPr>
        <w:t>quantify</w:t>
      </w:r>
      <w:proofErr w:type="spellEnd"/>
      <w:r>
        <w:rPr>
          <w:rFonts w:ascii="Times New Roman" w:hAnsi="Times New Roman"/>
          <w:sz w:val="24"/>
          <w:szCs w:val="24"/>
        </w:rPr>
        <w:t xml:space="preserve"> </w:t>
      </w:r>
      <w:r w:rsidRPr="00EB4DF9">
        <w:rPr>
          <w:rFonts w:ascii="Times New Roman" w:hAnsi="Times New Roman"/>
          <w:sz w:val="24"/>
          <w:szCs w:val="24"/>
        </w:rPr>
        <w:t xml:space="preserve">and </w:t>
      </w:r>
      <w:r>
        <w:rPr>
          <w:rFonts w:ascii="Times New Roman" w:hAnsi="Times New Roman"/>
          <w:sz w:val="24"/>
          <w:szCs w:val="24"/>
        </w:rPr>
        <w:t>a</w:t>
      </w:r>
      <w:r w:rsidRPr="00EB4DF9">
        <w:rPr>
          <w:rFonts w:ascii="Times New Roman" w:hAnsi="Times New Roman"/>
          <w:sz w:val="24"/>
          <w:szCs w:val="24"/>
        </w:rPr>
        <w:t xml:space="preserve">nalyse </w:t>
      </w:r>
      <w:proofErr w:type="spellStart"/>
      <w:r w:rsidRPr="00EB4DF9">
        <w:rPr>
          <w:rFonts w:ascii="Times New Roman" w:hAnsi="Times New Roman"/>
          <w:sz w:val="24"/>
          <w:szCs w:val="24"/>
        </w:rPr>
        <w:t>the</w:t>
      </w:r>
      <w:proofErr w:type="spellEnd"/>
      <w:r w:rsidRPr="00EB4DF9">
        <w:rPr>
          <w:rFonts w:ascii="Times New Roman" w:hAnsi="Times New Roman"/>
          <w:sz w:val="24"/>
          <w:szCs w:val="24"/>
        </w:rPr>
        <w:t xml:space="preserve"> VAT Gap in </w:t>
      </w:r>
      <w:proofErr w:type="spellStart"/>
      <w:r w:rsidRPr="00EB4DF9">
        <w:rPr>
          <w:rFonts w:ascii="Times New Roman" w:hAnsi="Times New Roman"/>
          <w:sz w:val="24"/>
          <w:szCs w:val="24"/>
        </w:rPr>
        <w:t>the</w:t>
      </w:r>
      <w:proofErr w:type="spellEnd"/>
      <w:r w:rsidRPr="00EB4DF9">
        <w:rPr>
          <w:rFonts w:ascii="Times New Roman" w:hAnsi="Times New Roman"/>
          <w:sz w:val="24"/>
          <w:szCs w:val="24"/>
        </w:rPr>
        <w:t xml:space="preserve"> EU-27</w:t>
      </w:r>
      <w:r>
        <w:rPr>
          <w:rFonts w:ascii="Times New Roman" w:hAnsi="Times New Roman"/>
          <w:sz w:val="24"/>
          <w:szCs w:val="24"/>
        </w:rPr>
        <w:t xml:space="preserve"> </w:t>
      </w:r>
      <w:proofErr w:type="spellStart"/>
      <w:r w:rsidRPr="00EB4DF9">
        <w:rPr>
          <w:rFonts w:ascii="Times New Roman" w:hAnsi="Times New Roman"/>
          <w:sz w:val="24"/>
          <w:szCs w:val="24"/>
        </w:rPr>
        <w:t>Member</w:t>
      </w:r>
      <w:proofErr w:type="spellEnd"/>
      <w:r w:rsidRPr="00EB4DF9">
        <w:rPr>
          <w:rFonts w:ascii="Times New Roman" w:hAnsi="Times New Roman"/>
          <w:sz w:val="24"/>
          <w:szCs w:val="24"/>
        </w:rPr>
        <w:t xml:space="preserve"> </w:t>
      </w:r>
      <w:proofErr w:type="spellStart"/>
      <w:r w:rsidRPr="00EB4DF9">
        <w:rPr>
          <w:rFonts w:ascii="Times New Roman" w:hAnsi="Times New Roman"/>
          <w:sz w:val="24"/>
          <w:szCs w:val="24"/>
        </w:rPr>
        <w:t>States</w:t>
      </w:r>
      <w:proofErr w:type="spellEnd"/>
      <w:r w:rsidR="00B94D94">
        <w:rPr>
          <w:rFonts w:ascii="Times New Roman" w:hAnsi="Times New Roman"/>
          <w:sz w:val="24"/>
          <w:szCs w:val="24"/>
        </w:rPr>
        <w:t>), kde Evropská komise uvádí na základě dostupných dat úniky DPH v ČR v roce 2011 ve výši 2</w:t>
      </w:r>
      <w:r w:rsidR="00F12058">
        <w:rPr>
          <w:rFonts w:ascii="Times New Roman" w:hAnsi="Times New Roman"/>
          <w:sz w:val="24"/>
          <w:szCs w:val="24"/>
        </w:rPr>
        <w:t>,</w:t>
      </w:r>
      <w:r w:rsidR="00B94D94">
        <w:rPr>
          <w:rFonts w:ascii="Times New Roman" w:hAnsi="Times New Roman"/>
          <w:sz w:val="24"/>
          <w:szCs w:val="24"/>
        </w:rPr>
        <w:t xml:space="preserve">356 </w:t>
      </w:r>
      <w:proofErr w:type="spellStart"/>
      <w:r w:rsidR="00B94D94">
        <w:rPr>
          <w:rFonts w:ascii="Times New Roman" w:hAnsi="Times New Roman"/>
          <w:sz w:val="24"/>
          <w:szCs w:val="24"/>
        </w:rPr>
        <w:t>mld</w:t>
      </w:r>
      <w:proofErr w:type="spellEnd"/>
      <w:r w:rsidR="00B94D94">
        <w:rPr>
          <w:rFonts w:ascii="Times New Roman" w:hAnsi="Times New Roman"/>
          <w:sz w:val="24"/>
          <w:szCs w:val="24"/>
        </w:rPr>
        <w:t xml:space="preserve"> EUR, v roce 2012 pak ve výši 3</w:t>
      </w:r>
      <w:r w:rsidR="00F12058">
        <w:rPr>
          <w:rFonts w:ascii="Times New Roman" w:hAnsi="Times New Roman"/>
          <w:sz w:val="24"/>
          <w:szCs w:val="24"/>
        </w:rPr>
        <w:t>,</w:t>
      </w:r>
      <w:r w:rsidR="00B94D94">
        <w:rPr>
          <w:rFonts w:ascii="Times New Roman" w:hAnsi="Times New Roman"/>
          <w:sz w:val="24"/>
          <w:szCs w:val="24"/>
        </w:rPr>
        <w:t xml:space="preserve">267 </w:t>
      </w:r>
      <w:proofErr w:type="spellStart"/>
      <w:r w:rsidR="00B94D94">
        <w:rPr>
          <w:rFonts w:ascii="Times New Roman" w:hAnsi="Times New Roman"/>
          <w:sz w:val="24"/>
          <w:szCs w:val="24"/>
        </w:rPr>
        <w:t>mld</w:t>
      </w:r>
      <w:proofErr w:type="spellEnd"/>
      <w:r w:rsidR="00B94D94">
        <w:rPr>
          <w:rFonts w:ascii="Times New Roman" w:hAnsi="Times New Roman"/>
          <w:sz w:val="24"/>
          <w:szCs w:val="24"/>
        </w:rPr>
        <w:t xml:space="preserve"> EUR. Pokud jen úniky DPH reprezentují škodu cca 100 </w:t>
      </w:r>
      <w:proofErr w:type="spellStart"/>
      <w:r w:rsidR="00B94D94">
        <w:rPr>
          <w:rFonts w:ascii="Times New Roman" w:hAnsi="Times New Roman"/>
          <w:sz w:val="24"/>
          <w:szCs w:val="24"/>
        </w:rPr>
        <w:t>mld</w:t>
      </w:r>
      <w:proofErr w:type="spellEnd"/>
      <w:r w:rsidR="00B94D94">
        <w:rPr>
          <w:rFonts w:ascii="Times New Roman" w:hAnsi="Times New Roman"/>
          <w:sz w:val="24"/>
          <w:szCs w:val="24"/>
        </w:rPr>
        <w:t xml:space="preserve"> Kč ročně, pak lze – byť nepřesně – odhadovat minimálně dvojnásobnou škodu z trestné činnosti obecně.</w:t>
      </w:r>
    </w:p>
    <w:p w14:paraId="031E4462" w14:textId="77777777" w:rsidR="00FB101B" w:rsidRDefault="00FB101B" w:rsidP="00E91390">
      <w:pPr>
        <w:pStyle w:val="Odstavecseseznamem"/>
        <w:ind w:left="0" w:firstLine="0"/>
        <w:rPr>
          <w:rFonts w:ascii="Times New Roman" w:hAnsi="Times New Roman"/>
          <w:sz w:val="24"/>
          <w:szCs w:val="24"/>
        </w:rPr>
      </w:pPr>
    </w:p>
    <w:p w14:paraId="3B320A57" w14:textId="77777777" w:rsidR="0067012D" w:rsidRPr="00724FE6" w:rsidRDefault="00724FE6" w:rsidP="00E91390">
      <w:pPr>
        <w:pStyle w:val="Odstavecseseznamem"/>
        <w:ind w:left="0" w:firstLine="0"/>
        <w:rPr>
          <w:rFonts w:ascii="Times New Roman" w:hAnsi="Times New Roman"/>
          <w:b/>
          <w:sz w:val="24"/>
          <w:szCs w:val="24"/>
        </w:rPr>
      </w:pPr>
      <w:r>
        <w:rPr>
          <w:rFonts w:ascii="Times New Roman" w:hAnsi="Times New Roman"/>
          <w:b/>
          <w:sz w:val="24"/>
          <w:szCs w:val="24"/>
        </w:rPr>
        <w:t xml:space="preserve">Náklady povinných osob související s podřízením se AML režimu (AML </w:t>
      </w:r>
      <w:proofErr w:type="spellStart"/>
      <w:r>
        <w:rPr>
          <w:rFonts w:ascii="Times New Roman" w:hAnsi="Times New Roman"/>
          <w:b/>
          <w:sz w:val="24"/>
          <w:szCs w:val="24"/>
        </w:rPr>
        <w:t>compliance</w:t>
      </w:r>
      <w:proofErr w:type="spellEnd"/>
      <w:r>
        <w:rPr>
          <w:rFonts w:ascii="Times New Roman" w:hAnsi="Times New Roman"/>
          <w:b/>
          <w:sz w:val="24"/>
          <w:szCs w:val="24"/>
        </w:rPr>
        <w:t xml:space="preserve"> </w:t>
      </w:r>
      <w:proofErr w:type="spellStart"/>
      <w:r>
        <w:rPr>
          <w:rFonts w:ascii="Times New Roman" w:hAnsi="Times New Roman"/>
          <w:b/>
          <w:sz w:val="24"/>
          <w:szCs w:val="24"/>
        </w:rPr>
        <w:t>cost</w:t>
      </w:r>
      <w:proofErr w:type="spellEnd"/>
      <w:r>
        <w:rPr>
          <w:rFonts w:ascii="Times New Roman" w:hAnsi="Times New Roman"/>
          <w:b/>
          <w:sz w:val="24"/>
          <w:szCs w:val="24"/>
        </w:rPr>
        <w:t>)</w:t>
      </w:r>
    </w:p>
    <w:p w14:paraId="09C381EE" w14:textId="77777777" w:rsidR="0067012D" w:rsidRDefault="0067012D" w:rsidP="00E91390">
      <w:pPr>
        <w:pStyle w:val="Odstavecseseznamem"/>
        <w:ind w:left="0" w:firstLine="0"/>
        <w:rPr>
          <w:rFonts w:ascii="Times New Roman" w:hAnsi="Times New Roman"/>
          <w:sz w:val="24"/>
          <w:szCs w:val="24"/>
        </w:rPr>
      </w:pPr>
    </w:p>
    <w:p w14:paraId="2C5C352B" w14:textId="77777777" w:rsidR="0067012D" w:rsidRDefault="00724FE6" w:rsidP="00E91390">
      <w:pPr>
        <w:pStyle w:val="Odstavecseseznamem"/>
        <w:ind w:left="0" w:firstLine="0"/>
        <w:rPr>
          <w:rFonts w:ascii="Times New Roman" w:hAnsi="Times New Roman"/>
          <w:sz w:val="24"/>
          <w:szCs w:val="24"/>
        </w:rPr>
      </w:pPr>
      <w:r>
        <w:rPr>
          <w:rFonts w:ascii="Times New Roman" w:hAnsi="Times New Roman"/>
          <w:sz w:val="24"/>
          <w:szCs w:val="24"/>
        </w:rPr>
        <w:lastRenderedPageBreak/>
        <w:t>Evropská komise při přípravě čtvrté AML směrnice učinila pokus kvantifikovat náklady podřízení se AML režimu u povinných osob a provedla v tomto směru rozsáhlou studii.</w:t>
      </w:r>
      <w:r>
        <w:rPr>
          <w:rStyle w:val="Znakapoznpodarou"/>
          <w:rFonts w:ascii="Times New Roman" w:hAnsi="Times New Roman"/>
          <w:sz w:val="24"/>
          <w:szCs w:val="24"/>
        </w:rPr>
        <w:footnoteReference w:id="6"/>
      </w:r>
      <w:r>
        <w:rPr>
          <w:rFonts w:ascii="Times New Roman" w:hAnsi="Times New Roman"/>
          <w:sz w:val="24"/>
          <w:szCs w:val="24"/>
        </w:rPr>
        <w:t xml:space="preserve"> Výsledkem jsou</w:t>
      </w:r>
      <w:r w:rsidR="00346563">
        <w:rPr>
          <w:rFonts w:ascii="Times New Roman" w:hAnsi="Times New Roman"/>
          <w:sz w:val="24"/>
          <w:szCs w:val="24"/>
        </w:rPr>
        <w:t xml:space="preserve"> opět </w:t>
      </w:r>
      <w:r>
        <w:rPr>
          <w:rFonts w:ascii="Times New Roman" w:hAnsi="Times New Roman"/>
          <w:sz w:val="24"/>
          <w:szCs w:val="24"/>
        </w:rPr>
        <w:t xml:space="preserve">přibližné údaje, přičemž </w:t>
      </w:r>
      <w:r w:rsidR="00346563">
        <w:rPr>
          <w:rFonts w:ascii="Times New Roman" w:hAnsi="Times New Roman"/>
          <w:sz w:val="24"/>
          <w:szCs w:val="24"/>
        </w:rPr>
        <w:t>metodologie, jimiž se k těmto údajům dospělo, nejsou nesporné.</w:t>
      </w:r>
    </w:p>
    <w:p w14:paraId="687084D1" w14:textId="77777777" w:rsidR="0067012D" w:rsidRDefault="0067012D" w:rsidP="00E91390">
      <w:pPr>
        <w:pStyle w:val="Odstavecseseznamem"/>
        <w:ind w:left="0" w:firstLine="0"/>
        <w:rPr>
          <w:rFonts w:ascii="Times New Roman" w:hAnsi="Times New Roman"/>
          <w:sz w:val="24"/>
          <w:szCs w:val="24"/>
        </w:rPr>
      </w:pPr>
    </w:p>
    <w:p w14:paraId="3FA429BB" w14:textId="77777777" w:rsidR="0067012D" w:rsidRPr="0067012D" w:rsidRDefault="00C66E07" w:rsidP="00E91390">
      <w:pPr>
        <w:pStyle w:val="Odstavecseseznamem"/>
        <w:ind w:left="0" w:firstLine="0"/>
        <w:rPr>
          <w:rFonts w:ascii="Times New Roman" w:hAnsi="Times New Roman"/>
          <w:sz w:val="24"/>
          <w:szCs w:val="24"/>
        </w:rPr>
      </w:pPr>
      <w:r>
        <w:rPr>
          <w:rFonts w:ascii="Times New Roman" w:hAnsi="Times New Roman"/>
          <w:sz w:val="24"/>
          <w:szCs w:val="24"/>
        </w:rPr>
        <w:t>Studie vypočítává celkové náklady podřízení se režimu AML na jednorázové náklady ve výši 4.588.000 EUR na každou banku (z toho 22 % školení zaměstnanců, 54 investice do IT, 11 % nák</w:t>
      </w:r>
      <w:r w:rsidR="00C60BC4">
        <w:rPr>
          <w:rFonts w:ascii="Times New Roman" w:hAnsi="Times New Roman"/>
          <w:sz w:val="24"/>
          <w:szCs w:val="24"/>
        </w:rPr>
        <w:t>l</w:t>
      </w:r>
      <w:r>
        <w:rPr>
          <w:rFonts w:ascii="Times New Roman" w:hAnsi="Times New Roman"/>
          <w:sz w:val="24"/>
          <w:szCs w:val="24"/>
        </w:rPr>
        <w:t>ady konzultačních společností), a pravidelné roční náklady ve výši 1.195.000 EUR na každou banku (z toho 37 % personální náklady, 31 % IT, 13 % školení).</w:t>
      </w:r>
      <w:r w:rsidR="00427DE8">
        <w:rPr>
          <w:rStyle w:val="Znakapoznpodarou"/>
          <w:rFonts w:ascii="Times New Roman" w:hAnsi="Times New Roman"/>
          <w:sz w:val="24"/>
          <w:szCs w:val="24"/>
        </w:rPr>
        <w:footnoteReference w:id="7"/>
      </w:r>
      <w:r w:rsidR="00FF1D6A">
        <w:rPr>
          <w:rFonts w:ascii="Times New Roman" w:hAnsi="Times New Roman"/>
          <w:sz w:val="24"/>
          <w:szCs w:val="24"/>
        </w:rPr>
        <w:t xml:space="preserve"> Studie se zabývala náklady, které vyplývaly z podřízení se režimu třetí AML směrnice, a není tedy relevantní pro kvantifikaci podřízení se režimu čtvrté AML směrnice, která jen dílčím způsobem stávající režim doplňuje. Přesto však mohou být tyto údaje ilustrativní, ačkoli z metodologického hlediska není jasné, zda studie dostatečně rozlišuje obecně náklady podřízení se regulatornímu režimu (tj. compliance obecně) a náklady podřízení se konkrétně AML režimu (tj. AML compliance).</w:t>
      </w:r>
    </w:p>
    <w:p w14:paraId="17E1C2AD" w14:textId="77777777" w:rsidR="0067012D" w:rsidRDefault="0067012D" w:rsidP="00A83376">
      <w:pPr>
        <w:pStyle w:val="Odstavecseseznamem"/>
        <w:ind w:left="0" w:firstLine="0"/>
        <w:rPr>
          <w:rFonts w:ascii="Times New Roman" w:hAnsi="Times New Roman"/>
          <w:i/>
          <w:sz w:val="24"/>
          <w:szCs w:val="24"/>
          <w:highlight w:val="yellow"/>
        </w:rPr>
      </w:pPr>
    </w:p>
    <w:p w14:paraId="4AF63539" w14:textId="0988F1C3" w:rsidR="0067012D" w:rsidRDefault="00713CD0" w:rsidP="00A83376">
      <w:pPr>
        <w:pStyle w:val="Odstavecseseznamem"/>
        <w:ind w:left="0" w:firstLine="0"/>
        <w:rPr>
          <w:rFonts w:ascii="Times New Roman" w:hAnsi="Times New Roman"/>
          <w:b/>
          <w:sz w:val="24"/>
          <w:szCs w:val="24"/>
        </w:rPr>
      </w:pPr>
      <w:r w:rsidRPr="00713CD0">
        <w:rPr>
          <w:rFonts w:ascii="Times New Roman" w:hAnsi="Times New Roman"/>
          <w:b/>
          <w:sz w:val="24"/>
          <w:szCs w:val="24"/>
        </w:rPr>
        <w:t>Boj proti praní peněz a financování terorismu v ČR – činnost FA</w:t>
      </w:r>
      <w:r w:rsidR="00AB5AF1">
        <w:rPr>
          <w:rFonts w:ascii="Times New Roman" w:hAnsi="Times New Roman"/>
          <w:b/>
          <w:sz w:val="24"/>
          <w:szCs w:val="24"/>
        </w:rPr>
        <w:t>Ú</w:t>
      </w:r>
    </w:p>
    <w:p w14:paraId="6264A565" w14:textId="77777777" w:rsidR="00713CD0" w:rsidRDefault="00713CD0" w:rsidP="00A83376">
      <w:pPr>
        <w:pStyle w:val="Odstavecseseznamem"/>
        <w:ind w:left="0" w:firstLine="0"/>
        <w:rPr>
          <w:rFonts w:ascii="Times New Roman" w:hAnsi="Times New Roman"/>
          <w:b/>
          <w:sz w:val="24"/>
          <w:szCs w:val="24"/>
        </w:rPr>
      </w:pPr>
    </w:p>
    <w:p w14:paraId="4A29FDCA" w14:textId="77777777" w:rsidR="00713CD0" w:rsidRDefault="00713CD0" w:rsidP="00A83376">
      <w:pPr>
        <w:pStyle w:val="Odstavecseseznamem"/>
        <w:ind w:left="0" w:firstLine="0"/>
        <w:rPr>
          <w:rFonts w:ascii="Times New Roman" w:hAnsi="Times New Roman"/>
          <w:sz w:val="24"/>
          <w:szCs w:val="24"/>
        </w:rPr>
      </w:pPr>
      <w:r>
        <w:rPr>
          <w:rFonts w:ascii="Times New Roman" w:hAnsi="Times New Roman"/>
          <w:sz w:val="24"/>
          <w:szCs w:val="24"/>
        </w:rPr>
        <w:t>Jako širší kontext přijímání novelizace AML zákona je třeba vnímat současnou činnost Finančního analytického útvaru, který každoročně vydává výroční zprávu. Statistické údaje za rok 2014 shrnuje předmětná správa následovně:</w:t>
      </w:r>
    </w:p>
    <w:p w14:paraId="47FA1004" w14:textId="77777777" w:rsidR="00713CD0" w:rsidRPr="00713CD0" w:rsidRDefault="00713CD0" w:rsidP="00A83376">
      <w:pPr>
        <w:pStyle w:val="Odstavecseseznamem"/>
        <w:ind w:left="0" w:firstLine="0"/>
        <w:rPr>
          <w:rFonts w:ascii="Times New Roman" w:hAnsi="Times New Roman"/>
          <w:sz w:val="24"/>
          <w:szCs w:val="24"/>
        </w:rPr>
      </w:pPr>
    </w:p>
    <w:p w14:paraId="5F4536ED" w14:textId="77777777" w:rsidR="0067012D" w:rsidRPr="00713CD0" w:rsidRDefault="0067012D" w:rsidP="00713CD0">
      <w:pPr>
        <w:pStyle w:val="Odstavecseseznamem"/>
        <w:pBdr>
          <w:top w:val="single" w:sz="4" w:space="1" w:color="auto"/>
          <w:left w:val="single" w:sz="4" w:space="4" w:color="auto"/>
          <w:bottom w:val="single" w:sz="4" w:space="1" w:color="auto"/>
          <w:right w:val="single" w:sz="4" w:space="4" w:color="auto"/>
        </w:pBdr>
        <w:ind w:left="0" w:firstLine="0"/>
        <w:rPr>
          <w:rFonts w:ascii="Times New Roman" w:hAnsi="Times New Roman"/>
          <w:i/>
          <w:sz w:val="20"/>
          <w:szCs w:val="20"/>
          <w:highlight w:val="yellow"/>
        </w:rPr>
      </w:pPr>
    </w:p>
    <w:p w14:paraId="7D591B41" w14:textId="77777777" w:rsidR="00A3039B" w:rsidRPr="00713CD0" w:rsidRDefault="00713CD0" w:rsidP="00713CD0">
      <w:pPr>
        <w:pStyle w:val="Odstavecseseznamem"/>
        <w:pBdr>
          <w:top w:val="single" w:sz="4" w:space="1" w:color="auto"/>
          <w:left w:val="single" w:sz="4" w:space="4" w:color="auto"/>
          <w:bottom w:val="single" w:sz="4" w:space="1" w:color="auto"/>
          <w:right w:val="single" w:sz="4" w:space="4" w:color="auto"/>
        </w:pBdr>
        <w:ind w:left="0" w:firstLine="0"/>
        <w:rPr>
          <w:rFonts w:ascii="Times New Roman" w:hAnsi="Times New Roman"/>
          <w:sz w:val="20"/>
          <w:szCs w:val="20"/>
        </w:rPr>
      </w:pPr>
      <w:r w:rsidRPr="00713CD0">
        <w:rPr>
          <w:rFonts w:ascii="Times New Roman" w:hAnsi="Times New Roman"/>
          <w:sz w:val="20"/>
          <w:szCs w:val="20"/>
        </w:rPr>
        <w:t>V roce 2014 přijal FAÚ celkem 3192 oznámení podezřelého obchodu (dále jen OPO). Na tomto objemu se ze 70</w:t>
      </w:r>
      <w:r w:rsidR="00B66D21">
        <w:rPr>
          <w:rFonts w:ascii="Times New Roman" w:hAnsi="Times New Roman"/>
          <w:sz w:val="20"/>
          <w:szCs w:val="20"/>
        </w:rPr>
        <w:t> </w:t>
      </w:r>
      <w:r w:rsidRPr="00713CD0">
        <w:rPr>
          <w:rFonts w:ascii="Times New Roman" w:hAnsi="Times New Roman"/>
          <w:sz w:val="20"/>
          <w:szCs w:val="20"/>
        </w:rPr>
        <w:t>% podílel bankovní sektor. V uvedeném srovnávacím období 2012 až 2014 se tedy jednalo o 45% nárůst. Na základě šetření těchto podezřelých obchodů bylo podáno celkem 680 trestních oznámení orgánům činným v</w:t>
      </w:r>
      <w:r w:rsidR="00B66D21">
        <w:rPr>
          <w:rFonts w:ascii="Times New Roman" w:hAnsi="Times New Roman"/>
          <w:sz w:val="20"/>
          <w:szCs w:val="20"/>
        </w:rPr>
        <w:t> </w:t>
      </w:r>
      <w:r w:rsidRPr="00713CD0">
        <w:rPr>
          <w:rFonts w:ascii="Times New Roman" w:hAnsi="Times New Roman"/>
          <w:sz w:val="20"/>
          <w:szCs w:val="20"/>
        </w:rPr>
        <w:t>trestním řízení. Jedná se tedy o 58% navýšení vzhledem ke sledovanému období. Ve 263 případech došlo ze strany FAÚ i k zajištění prostředků podle § 20 zákona č. 235/2008 Sb., o některých opatřeních proti legalizaci výnosů z trestné činnosti a financování terorismu. Souhrn zajištěných částek činil 2,182 mld. CZK. V rámci úzké spolupráce FAÚ postoupil na Generální finanční ředitelství 1491 informací o podezření na porušení daňových předpisů a 103 informací na Generální ředitelství cel. Stejně jako v letech předchozích, také v roce 2014 se FAÚ setkal s širokým spektrem jednání, která měla za cíl neoprávněné obohacení se na úkor druhých či státu. Nadále pokračoval trend nárůstu podílu OPO s podezřením na daňovou trestnou činnost, a to zejména podvody na úseku nepřímých daní, tedy daně z přidané hodnoty (dále jen DPH) a daně spotřební. Nezanedbatelnou část predikativní trestné činnosti v posledních letech stabilně tvoří internetové podvody, a to především podvodné inzeráty či e-</w:t>
      </w:r>
      <w:proofErr w:type="spellStart"/>
      <w:r w:rsidRPr="00713CD0">
        <w:rPr>
          <w:rFonts w:ascii="Times New Roman" w:hAnsi="Times New Roman"/>
          <w:sz w:val="20"/>
          <w:szCs w:val="20"/>
        </w:rPr>
        <w:t>shopy</w:t>
      </w:r>
      <w:proofErr w:type="spellEnd"/>
      <w:r w:rsidRPr="00713CD0">
        <w:rPr>
          <w:rFonts w:ascii="Times New Roman" w:hAnsi="Times New Roman"/>
          <w:sz w:val="20"/>
          <w:szCs w:val="20"/>
        </w:rPr>
        <w:t xml:space="preserve"> a </w:t>
      </w:r>
      <w:proofErr w:type="spellStart"/>
      <w:r w:rsidRPr="00713CD0">
        <w:rPr>
          <w:rFonts w:ascii="Times New Roman" w:hAnsi="Times New Roman"/>
          <w:sz w:val="20"/>
          <w:szCs w:val="20"/>
        </w:rPr>
        <w:t>phishingové</w:t>
      </w:r>
      <w:proofErr w:type="spellEnd"/>
      <w:r w:rsidRPr="00713CD0">
        <w:rPr>
          <w:rFonts w:ascii="Times New Roman" w:hAnsi="Times New Roman"/>
          <w:sz w:val="20"/>
          <w:szCs w:val="20"/>
        </w:rPr>
        <w:t xml:space="preserve"> útoky (spáchané v zahraničí i v tuzemsku). Nově byly detekovány podvody spočívající ve vylákání přístupových údajů do elektronického bankovnictví na základě podvodné komunikace na sociálních sítích. Rovněž byly zaznamenány podvody spočívající v doručení velmi věrohodných podvodných notifikací o změně účtu obchodního partnera. Dále byla zaznamenána OPO týkající se vyvádění vysokého objemu finančních prostředků ze zahraničních společností, velmi často s ruskými vlastníky, kdy Česká republika měla sloužit jako tranzitní země pro převody do dalších, z hlediska AML „bezpečných“ destinací (např. Kypr). Byl zaznamenán nárůst počtu podezřelých obchodů, kdy jsou výnosy z trestné činnosti investovány do virtuální měny.</w:t>
      </w:r>
    </w:p>
    <w:p w14:paraId="5E7781CD" w14:textId="77777777" w:rsidR="00A3039B" w:rsidRDefault="00A3039B" w:rsidP="00E91390">
      <w:pPr>
        <w:pStyle w:val="Odstavecseseznamem"/>
        <w:ind w:left="0" w:firstLine="0"/>
        <w:rPr>
          <w:rFonts w:ascii="Times New Roman" w:hAnsi="Times New Roman"/>
          <w:i/>
          <w:sz w:val="24"/>
          <w:szCs w:val="24"/>
        </w:rPr>
      </w:pPr>
    </w:p>
    <w:p w14:paraId="29BB729C" w14:textId="77777777" w:rsidR="00BA05B6" w:rsidRDefault="003D1580" w:rsidP="003165A6">
      <w:pPr>
        <w:pStyle w:val="Odstavecseseznamem"/>
        <w:numPr>
          <w:ilvl w:val="0"/>
          <w:numId w:val="8"/>
        </w:numPr>
        <w:ind w:left="360"/>
        <w:rPr>
          <w:rFonts w:ascii="Times New Roman" w:hAnsi="Times New Roman"/>
          <w:b/>
          <w:sz w:val="24"/>
          <w:szCs w:val="24"/>
        </w:rPr>
      </w:pPr>
      <w:r w:rsidRPr="003165A6">
        <w:rPr>
          <w:rFonts w:ascii="Times New Roman" w:hAnsi="Times New Roman"/>
          <w:b/>
          <w:sz w:val="24"/>
          <w:szCs w:val="24"/>
        </w:rPr>
        <w:t>K nekvantifikovatelným dopadům navrhované úpravy</w:t>
      </w:r>
    </w:p>
    <w:p w14:paraId="17289C0C" w14:textId="77777777" w:rsidR="003165A6" w:rsidRPr="003165A6" w:rsidRDefault="003165A6" w:rsidP="003165A6">
      <w:pPr>
        <w:pStyle w:val="Odstavecseseznamem"/>
        <w:ind w:left="360" w:firstLine="0"/>
        <w:rPr>
          <w:rFonts w:ascii="Times New Roman" w:hAnsi="Times New Roman"/>
          <w:b/>
          <w:sz w:val="24"/>
          <w:szCs w:val="24"/>
        </w:rPr>
      </w:pPr>
    </w:p>
    <w:p w14:paraId="0BF735E1" w14:textId="77777777" w:rsidR="00FF56CF" w:rsidRPr="003D1580" w:rsidRDefault="003D1580" w:rsidP="00FF56CF">
      <w:pPr>
        <w:pStyle w:val="Odstavecseseznamem"/>
        <w:ind w:left="0" w:firstLine="0"/>
        <w:rPr>
          <w:rFonts w:ascii="Times New Roman" w:hAnsi="Times New Roman"/>
          <w:sz w:val="24"/>
          <w:szCs w:val="24"/>
        </w:rPr>
      </w:pPr>
      <w:r>
        <w:rPr>
          <w:rFonts w:ascii="Times New Roman" w:hAnsi="Times New Roman"/>
          <w:sz w:val="24"/>
          <w:szCs w:val="24"/>
        </w:rPr>
        <w:t>Řadu nekvantifikovatelných dopadů navrhované úpravy tato zpráva zmiňuje v částech 1.2 Definice problému, a 1.5 Popis cílového stavu.</w:t>
      </w:r>
    </w:p>
    <w:p w14:paraId="25DAB116" w14:textId="77777777" w:rsidR="00FF56CF" w:rsidRDefault="00FF56CF" w:rsidP="00FF56CF">
      <w:pPr>
        <w:pStyle w:val="Odstavecseseznamem"/>
        <w:ind w:left="0" w:firstLine="0"/>
        <w:rPr>
          <w:rFonts w:ascii="Times New Roman" w:hAnsi="Times New Roman"/>
          <w:i/>
          <w:sz w:val="24"/>
          <w:szCs w:val="24"/>
        </w:rPr>
      </w:pPr>
    </w:p>
    <w:p w14:paraId="51C8633F" w14:textId="77777777" w:rsidR="003D1580" w:rsidRDefault="003D1580" w:rsidP="003165A6">
      <w:pPr>
        <w:pStyle w:val="Odstavecseseznamem"/>
        <w:numPr>
          <w:ilvl w:val="0"/>
          <w:numId w:val="8"/>
        </w:numPr>
        <w:ind w:left="360"/>
        <w:rPr>
          <w:rFonts w:ascii="Times New Roman" w:hAnsi="Times New Roman"/>
          <w:b/>
          <w:sz w:val="24"/>
          <w:szCs w:val="24"/>
        </w:rPr>
      </w:pPr>
      <w:r w:rsidRPr="003165A6">
        <w:rPr>
          <w:rFonts w:ascii="Times New Roman" w:hAnsi="Times New Roman"/>
          <w:b/>
          <w:sz w:val="24"/>
          <w:szCs w:val="24"/>
        </w:rPr>
        <w:t>K jednotlivým tématům a variantám řešení</w:t>
      </w:r>
    </w:p>
    <w:p w14:paraId="0F9441F4" w14:textId="77777777" w:rsidR="003165A6" w:rsidRPr="003165A6" w:rsidRDefault="003165A6" w:rsidP="003165A6">
      <w:pPr>
        <w:pStyle w:val="Odstavecseseznamem"/>
        <w:ind w:left="360" w:firstLine="0"/>
        <w:rPr>
          <w:rFonts w:ascii="Times New Roman" w:hAnsi="Times New Roman"/>
          <w:b/>
          <w:sz w:val="24"/>
          <w:szCs w:val="24"/>
        </w:rPr>
      </w:pPr>
    </w:p>
    <w:p w14:paraId="45B2EDDB" w14:textId="77777777" w:rsidR="00BA05B6" w:rsidRDefault="00BA05B6" w:rsidP="00C42CE5">
      <w:pPr>
        <w:pStyle w:val="Odstavecseseznamem"/>
        <w:numPr>
          <w:ilvl w:val="1"/>
          <w:numId w:val="1"/>
        </w:numPr>
        <w:ind w:left="432"/>
        <w:rPr>
          <w:rFonts w:ascii="Times New Roman" w:hAnsi="Times New Roman"/>
          <w:b/>
          <w:sz w:val="24"/>
          <w:szCs w:val="24"/>
        </w:rPr>
      </w:pPr>
      <w:r w:rsidRPr="00C42CE5">
        <w:rPr>
          <w:rFonts w:ascii="Times New Roman" w:hAnsi="Times New Roman"/>
          <w:b/>
          <w:sz w:val="24"/>
          <w:szCs w:val="24"/>
        </w:rPr>
        <w:t xml:space="preserve">Zahrnutí provozovatelů hazardních her mezi povinné osoby </w:t>
      </w:r>
    </w:p>
    <w:p w14:paraId="6C86E83A" w14:textId="77777777" w:rsidR="0054088B" w:rsidRPr="00C42CE5" w:rsidRDefault="0054088B" w:rsidP="00C42CE5">
      <w:pPr>
        <w:pStyle w:val="Odstavecseseznamem"/>
        <w:ind w:left="432" w:firstLine="0"/>
        <w:rPr>
          <w:rFonts w:ascii="Times New Roman" w:hAnsi="Times New Roman"/>
          <w:b/>
          <w:sz w:val="24"/>
          <w:szCs w:val="24"/>
        </w:rPr>
      </w:pPr>
    </w:p>
    <w:p w14:paraId="7C5BB795" w14:textId="77777777" w:rsidR="00F02A7C" w:rsidRDefault="003361D5" w:rsidP="00BA05B6">
      <w:pPr>
        <w:jc w:val="both"/>
        <w:rPr>
          <w:rFonts w:ascii="Times New Roman" w:hAnsi="Times New Roman"/>
          <w:sz w:val="24"/>
          <w:szCs w:val="24"/>
        </w:rPr>
      </w:pPr>
      <w:r>
        <w:rPr>
          <w:rFonts w:ascii="Times New Roman" w:hAnsi="Times New Roman"/>
          <w:sz w:val="24"/>
          <w:szCs w:val="24"/>
        </w:rPr>
        <w:t>Navrhovatel zhodnotil dopady zahrnutí provozovatelů hazardních her mezi povinné osoby a zvážil přitom rizika jednotlivých hazardních her jak dle stávající právní úpravy zákona č.</w:t>
      </w:r>
      <w:r w:rsidR="00D724AC">
        <w:rPr>
          <w:rFonts w:ascii="Times New Roman" w:hAnsi="Times New Roman"/>
          <w:sz w:val="24"/>
          <w:szCs w:val="24"/>
        </w:rPr>
        <w:t> </w:t>
      </w:r>
      <w:r>
        <w:rPr>
          <w:rFonts w:ascii="Times New Roman" w:hAnsi="Times New Roman"/>
          <w:sz w:val="24"/>
          <w:szCs w:val="24"/>
        </w:rPr>
        <w:t>202/1990 Sb., o loteriích a jiných podobných hrách, v </w:t>
      </w:r>
      <w:r w:rsidR="00AC6D51">
        <w:rPr>
          <w:rFonts w:ascii="Times New Roman" w:hAnsi="Times New Roman"/>
          <w:sz w:val="24"/>
          <w:szCs w:val="24"/>
        </w:rPr>
        <w:t xml:space="preserve">platném </w:t>
      </w:r>
      <w:r>
        <w:rPr>
          <w:rFonts w:ascii="Times New Roman" w:hAnsi="Times New Roman"/>
          <w:sz w:val="24"/>
          <w:szCs w:val="24"/>
        </w:rPr>
        <w:t>znění, tak dle připravované nové právní úpravy s předpokládanou účinností od 1. ledna 2016.</w:t>
      </w:r>
    </w:p>
    <w:p w14:paraId="659EC4D7" w14:textId="77777777" w:rsidR="003361D5" w:rsidRDefault="003361D5" w:rsidP="00BA05B6">
      <w:pPr>
        <w:jc w:val="both"/>
        <w:rPr>
          <w:rFonts w:ascii="Times New Roman" w:hAnsi="Times New Roman"/>
          <w:sz w:val="24"/>
          <w:szCs w:val="24"/>
        </w:rPr>
      </w:pPr>
      <w:r>
        <w:rPr>
          <w:rFonts w:ascii="Times New Roman" w:hAnsi="Times New Roman"/>
          <w:sz w:val="24"/>
          <w:szCs w:val="24"/>
        </w:rPr>
        <w:t xml:space="preserve">V konzultaci s věcně příslušným odborem MF </w:t>
      </w:r>
      <w:r w:rsidR="00AC6D51">
        <w:rPr>
          <w:rFonts w:ascii="Times New Roman" w:hAnsi="Times New Roman"/>
          <w:sz w:val="24"/>
          <w:szCs w:val="24"/>
        </w:rPr>
        <w:t xml:space="preserve">a GFŘ </w:t>
      </w:r>
      <w:r>
        <w:rPr>
          <w:rFonts w:ascii="Times New Roman" w:hAnsi="Times New Roman"/>
          <w:sz w:val="24"/>
          <w:szCs w:val="24"/>
        </w:rPr>
        <w:t xml:space="preserve">byly zhodnoceny jednotlivé hazardní hry co do míry AML rizika. Na základě tohoto hodnocení se jeví jako efektivní zahrnout mezi povinné osoby všechny provozovatele hazardních her s výjimkami tam, kde daná hra představuje nízké riziko AML. Jedná se o následující hry: </w:t>
      </w:r>
    </w:p>
    <w:tbl>
      <w:tblPr>
        <w:tblStyle w:val="Mkatabulky"/>
        <w:tblW w:w="0" w:type="auto"/>
        <w:tblLook w:val="04A0" w:firstRow="1" w:lastRow="0" w:firstColumn="1" w:lastColumn="0" w:noHBand="0" w:noVBand="1"/>
      </w:tblPr>
      <w:tblGrid>
        <w:gridCol w:w="2988"/>
        <w:gridCol w:w="1183"/>
        <w:gridCol w:w="4956"/>
      </w:tblGrid>
      <w:tr w:rsidR="003361D5" w:rsidRPr="00A72D5B" w14:paraId="6CDD4EA2" w14:textId="77777777" w:rsidTr="003361D5">
        <w:tc>
          <w:tcPr>
            <w:tcW w:w="2988" w:type="dxa"/>
            <w:shd w:val="clear" w:color="auto" w:fill="DEEAF6" w:themeFill="accent1" w:themeFillTint="33"/>
          </w:tcPr>
          <w:p w14:paraId="16F253BC" w14:textId="77777777" w:rsidR="003361D5" w:rsidRPr="00A72D5B" w:rsidRDefault="003361D5" w:rsidP="00077E84">
            <w:pPr>
              <w:rPr>
                <w:rFonts w:ascii="Times New Roman" w:hAnsi="Times New Roman" w:cs="Times New Roman"/>
                <w:b/>
                <w:sz w:val="20"/>
                <w:szCs w:val="20"/>
              </w:rPr>
            </w:pPr>
            <w:r w:rsidRPr="00A72D5B">
              <w:rPr>
                <w:rFonts w:ascii="Times New Roman" w:hAnsi="Times New Roman" w:cs="Times New Roman"/>
                <w:b/>
                <w:sz w:val="20"/>
                <w:szCs w:val="20"/>
              </w:rPr>
              <w:t>Hra</w:t>
            </w:r>
          </w:p>
        </w:tc>
        <w:tc>
          <w:tcPr>
            <w:tcW w:w="1183" w:type="dxa"/>
            <w:shd w:val="clear" w:color="auto" w:fill="DEEAF6" w:themeFill="accent1" w:themeFillTint="33"/>
          </w:tcPr>
          <w:p w14:paraId="69830ECA" w14:textId="77777777" w:rsidR="003361D5" w:rsidRPr="00A72D5B" w:rsidRDefault="003361D5" w:rsidP="00077E84">
            <w:pPr>
              <w:rPr>
                <w:rFonts w:ascii="Times New Roman" w:hAnsi="Times New Roman" w:cs="Times New Roman"/>
                <w:b/>
                <w:sz w:val="20"/>
                <w:szCs w:val="20"/>
              </w:rPr>
            </w:pPr>
            <w:r w:rsidRPr="00A72D5B">
              <w:rPr>
                <w:rFonts w:ascii="Times New Roman" w:hAnsi="Times New Roman" w:cs="Times New Roman"/>
                <w:b/>
                <w:sz w:val="20"/>
                <w:szCs w:val="20"/>
              </w:rPr>
              <w:t>AML Rizikovost</w:t>
            </w:r>
          </w:p>
        </w:tc>
        <w:tc>
          <w:tcPr>
            <w:tcW w:w="4956" w:type="dxa"/>
            <w:shd w:val="clear" w:color="auto" w:fill="DEEAF6" w:themeFill="accent1" w:themeFillTint="33"/>
          </w:tcPr>
          <w:p w14:paraId="63DB3DC3" w14:textId="77777777" w:rsidR="003361D5" w:rsidRPr="00A72D5B" w:rsidRDefault="003361D5" w:rsidP="00077E84">
            <w:pPr>
              <w:rPr>
                <w:rFonts w:ascii="Times New Roman" w:hAnsi="Times New Roman" w:cs="Times New Roman"/>
                <w:b/>
                <w:sz w:val="20"/>
                <w:szCs w:val="20"/>
              </w:rPr>
            </w:pPr>
            <w:r w:rsidRPr="00A72D5B">
              <w:rPr>
                <w:rFonts w:ascii="Times New Roman" w:hAnsi="Times New Roman" w:cs="Times New Roman"/>
                <w:b/>
                <w:sz w:val="20"/>
                <w:szCs w:val="20"/>
              </w:rPr>
              <w:t>Odůvodnění (Odbor 34 MF)</w:t>
            </w:r>
          </w:p>
        </w:tc>
      </w:tr>
      <w:tr w:rsidR="003361D5" w:rsidRPr="00A72D5B" w14:paraId="1BF05781" w14:textId="77777777" w:rsidTr="00077E84">
        <w:tc>
          <w:tcPr>
            <w:tcW w:w="2988" w:type="dxa"/>
          </w:tcPr>
          <w:p w14:paraId="011E932B" w14:textId="77777777" w:rsidR="003361D5" w:rsidRPr="00A72D5B" w:rsidRDefault="003361D5" w:rsidP="0005444A">
            <w:pPr>
              <w:autoSpaceDE w:val="0"/>
              <w:autoSpaceDN w:val="0"/>
              <w:adjustRightInd w:val="0"/>
              <w:rPr>
                <w:rFonts w:ascii="Times New Roman" w:hAnsi="Times New Roman" w:cs="Times New Roman"/>
                <w:sz w:val="20"/>
                <w:szCs w:val="20"/>
              </w:rPr>
            </w:pPr>
            <w:r w:rsidRPr="00A72D5B">
              <w:rPr>
                <w:rFonts w:ascii="Times New Roman" w:hAnsi="Times New Roman" w:cs="Times New Roman"/>
                <w:sz w:val="20"/>
                <w:szCs w:val="20"/>
              </w:rPr>
              <w:t>Peněžité nebo věcné loterie, při nichž je provozovatelem vydán podle herního plánu</w:t>
            </w:r>
            <w:r w:rsidR="0005444A">
              <w:rPr>
                <w:rFonts w:ascii="Times New Roman" w:hAnsi="Times New Roman" w:cs="Times New Roman"/>
                <w:sz w:val="20"/>
                <w:szCs w:val="20"/>
              </w:rPr>
              <w:t xml:space="preserve"> </w:t>
            </w:r>
            <w:r w:rsidRPr="00A72D5B">
              <w:rPr>
                <w:rFonts w:ascii="Times New Roman" w:hAnsi="Times New Roman" w:cs="Times New Roman"/>
                <w:sz w:val="20"/>
                <w:szCs w:val="20"/>
              </w:rPr>
              <w:t>určený počet losů s pořadovými čísly</w:t>
            </w:r>
          </w:p>
        </w:tc>
        <w:tc>
          <w:tcPr>
            <w:tcW w:w="1118" w:type="dxa"/>
          </w:tcPr>
          <w:p w14:paraId="0D0084E8" w14:textId="77777777" w:rsidR="003361D5" w:rsidRPr="00A72D5B" w:rsidRDefault="003361D5" w:rsidP="00077E84">
            <w:pPr>
              <w:rPr>
                <w:rFonts w:ascii="Times New Roman" w:hAnsi="Times New Roman" w:cs="Times New Roman"/>
                <w:sz w:val="20"/>
                <w:szCs w:val="20"/>
              </w:rPr>
            </w:pPr>
            <w:r>
              <w:rPr>
                <w:rFonts w:ascii="Times New Roman" w:hAnsi="Times New Roman" w:cs="Times New Roman"/>
                <w:sz w:val="20"/>
                <w:szCs w:val="20"/>
              </w:rPr>
              <w:t>N</w:t>
            </w:r>
            <w:r w:rsidRPr="00A72D5B">
              <w:rPr>
                <w:rFonts w:ascii="Times New Roman" w:hAnsi="Times New Roman" w:cs="Times New Roman"/>
                <w:sz w:val="20"/>
                <w:szCs w:val="20"/>
              </w:rPr>
              <w:t>ízká</w:t>
            </w:r>
          </w:p>
        </w:tc>
        <w:tc>
          <w:tcPr>
            <w:tcW w:w="4956" w:type="dxa"/>
          </w:tcPr>
          <w:p w14:paraId="67F7792B" w14:textId="77777777" w:rsidR="003361D5" w:rsidRPr="00A72D5B" w:rsidRDefault="003361D5" w:rsidP="00077E84">
            <w:pPr>
              <w:rPr>
                <w:rFonts w:ascii="Times New Roman" w:hAnsi="Times New Roman" w:cs="Times New Roman"/>
                <w:sz w:val="20"/>
                <w:szCs w:val="20"/>
              </w:rPr>
            </w:pPr>
            <w:r w:rsidRPr="00A72D5B">
              <w:rPr>
                <w:rFonts w:ascii="Times New Roman" w:hAnsi="Times New Roman" w:cs="Times New Roman"/>
                <w:i/>
                <w:sz w:val="20"/>
                <w:szCs w:val="20"/>
              </w:rPr>
              <w:t>Možnost ovlivnit výherce se jeví jako velmi nepravděpodobná a to především z toho důvodu, že při losování je nutná vždy přítomnost státního dozoru a také notáře. Co se týče výše výhry, tak dle ustanovení § 6 odst. 3 zákona o loteriích úhrnná cena výher nesmí být menší než 20% a vyšší než 50% herní jistiny, MF může povolit zvýšení až na 70% herní jistiny.</w:t>
            </w:r>
          </w:p>
        </w:tc>
      </w:tr>
      <w:tr w:rsidR="003361D5" w:rsidRPr="00A72D5B" w14:paraId="2B0422FA" w14:textId="77777777" w:rsidTr="00077E84">
        <w:tc>
          <w:tcPr>
            <w:tcW w:w="2988" w:type="dxa"/>
          </w:tcPr>
          <w:p w14:paraId="6E59A8CE" w14:textId="77777777" w:rsidR="003361D5" w:rsidRPr="00A72D5B" w:rsidRDefault="003361D5" w:rsidP="0005444A">
            <w:pPr>
              <w:autoSpaceDE w:val="0"/>
              <w:autoSpaceDN w:val="0"/>
              <w:adjustRightInd w:val="0"/>
              <w:rPr>
                <w:rFonts w:ascii="Times New Roman" w:hAnsi="Times New Roman" w:cs="Times New Roman"/>
                <w:sz w:val="20"/>
                <w:szCs w:val="20"/>
              </w:rPr>
            </w:pPr>
            <w:r w:rsidRPr="00A72D5B">
              <w:rPr>
                <w:rFonts w:ascii="Times New Roman" w:hAnsi="Times New Roman" w:cs="Times New Roman"/>
                <w:sz w:val="20"/>
                <w:szCs w:val="20"/>
              </w:rPr>
              <w:t xml:space="preserve">Tomboly, při nichž se do </w:t>
            </w:r>
            <w:r w:rsidR="0005444A">
              <w:rPr>
                <w:rFonts w:ascii="Times New Roman" w:hAnsi="Times New Roman" w:cs="Times New Roman"/>
                <w:sz w:val="20"/>
                <w:szCs w:val="20"/>
              </w:rPr>
              <w:t>s</w:t>
            </w:r>
            <w:r w:rsidRPr="00A72D5B">
              <w:rPr>
                <w:rFonts w:ascii="Times New Roman" w:hAnsi="Times New Roman" w:cs="Times New Roman"/>
                <w:sz w:val="20"/>
                <w:szCs w:val="20"/>
              </w:rPr>
              <w:t>losování zahrnou pouze prodané losy. Losy se prodávají a</w:t>
            </w:r>
            <w:r w:rsidR="0005444A">
              <w:rPr>
                <w:rFonts w:ascii="Times New Roman" w:hAnsi="Times New Roman" w:cs="Times New Roman"/>
                <w:sz w:val="20"/>
                <w:szCs w:val="20"/>
              </w:rPr>
              <w:t xml:space="preserve"> </w:t>
            </w:r>
            <w:r w:rsidRPr="00A72D5B">
              <w:rPr>
                <w:rFonts w:ascii="Times New Roman" w:hAnsi="Times New Roman" w:cs="Times New Roman"/>
                <w:sz w:val="20"/>
                <w:szCs w:val="20"/>
              </w:rPr>
              <w:t>výhry vydávají v den a na místě slosování</w:t>
            </w:r>
          </w:p>
        </w:tc>
        <w:tc>
          <w:tcPr>
            <w:tcW w:w="1118" w:type="dxa"/>
          </w:tcPr>
          <w:p w14:paraId="00ADE8D7" w14:textId="77777777" w:rsidR="003361D5" w:rsidRPr="00A72D5B" w:rsidRDefault="003361D5" w:rsidP="00077E84">
            <w:pPr>
              <w:rPr>
                <w:rFonts w:ascii="Times New Roman" w:hAnsi="Times New Roman" w:cs="Times New Roman"/>
                <w:sz w:val="20"/>
                <w:szCs w:val="20"/>
              </w:rPr>
            </w:pPr>
            <w:r>
              <w:rPr>
                <w:rFonts w:ascii="Times New Roman" w:hAnsi="Times New Roman" w:cs="Times New Roman"/>
                <w:sz w:val="20"/>
                <w:szCs w:val="20"/>
              </w:rPr>
              <w:t>N</w:t>
            </w:r>
            <w:r w:rsidRPr="00A72D5B">
              <w:rPr>
                <w:rFonts w:ascii="Times New Roman" w:hAnsi="Times New Roman" w:cs="Times New Roman"/>
                <w:sz w:val="20"/>
                <w:szCs w:val="20"/>
              </w:rPr>
              <w:t>ízká</w:t>
            </w:r>
          </w:p>
        </w:tc>
        <w:tc>
          <w:tcPr>
            <w:tcW w:w="4956" w:type="dxa"/>
          </w:tcPr>
          <w:p w14:paraId="2ACA3947" w14:textId="77777777" w:rsidR="003361D5" w:rsidRPr="00A72D5B" w:rsidRDefault="003361D5" w:rsidP="00077E84">
            <w:pPr>
              <w:rPr>
                <w:rFonts w:ascii="Times New Roman" w:hAnsi="Times New Roman" w:cs="Times New Roman"/>
                <w:sz w:val="20"/>
                <w:szCs w:val="20"/>
              </w:rPr>
            </w:pPr>
            <w:r w:rsidRPr="00A72D5B">
              <w:rPr>
                <w:rFonts w:ascii="Times New Roman" w:hAnsi="Times New Roman" w:cs="Times New Roman"/>
                <w:i/>
                <w:sz w:val="20"/>
                <w:szCs w:val="20"/>
              </w:rPr>
              <w:t xml:space="preserve">Nízké riziko spatřujeme zejména v tom, že dle § 3 odst. 1 písm. b) zákona o loteriích mohou být předmětem výhry u tombol pouze věci movité s vyloučením peněz, vkladních knížek a cenných papírů. V praxi se jedná o klasické tomboly, pořádané v rámci různých akcí, zejména plesů, kde hodnota výher nepředstavuje z pohledu AML žádné riziko. Maximální možnou výhru opět nelze určit, neboť stejně jako u loterií to záleží na provozovateli. U tombol, kde je herní jistina </w:t>
            </w:r>
            <w:proofErr w:type="gramStart"/>
            <w:r w:rsidRPr="00A72D5B">
              <w:rPr>
                <w:rFonts w:ascii="Times New Roman" w:hAnsi="Times New Roman" w:cs="Times New Roman"/>
                <w:i/>
                <w:sz w:val="20"/>
                <w:szCs w:val="20"/>
              </w:rPr>
              <w:t>vyšší než</w:t>
            </w:r>
            <w:proofErr w:type="gramEnd"/>
            <w:r w:rsidRPr="00A72D5B">
              <w:rPr>
                <w:rFonts w:ascii="Times New Roman" w:hAnsi="Times New Roman" w:cs="Times New Roman"/>
                <w:i/>
                <w:sz w:val="20"/>
                <w:szCs w:val="20"/>
              </w:rPr>
              <w:t xml:space="preserve"> 50.000,- Kč je při slosování nutná přítomnost státního dozoru a notáře.</w:t>
            </w:r>
          </w:p>
        </w:tc>
      </w:tr>
      <w:tr w:rsidR="003361D5" w:rsidRPr="00A72D5B" w14:paraId="1551A607" w14:textId="77777777" w:rsidTr="00077E84">
        <w:tc>
          <w:tcPr>
            <w:tcW w:w="2988" w:type="dxa"/>
          </w:tcPr>
          <w:p w14:paraId="58BE890E" w14:textId="77777777" w:rsidR="003361D5" w:rsidRPr="00A72D5B" w:rsidRDefault="003361D5" w:rsidP="0005444A">
            <w:pPr>
              <w:autoSpaceDE w:val="0"/>
              <w:autoSpaceDN w:val="0"/>
              <w:adjustRightInd w:val="0"/>
              <w:rPr>
                <w:rFonts w:ascii="Times New Roman" w:hAnsi="Times New Roman" w:cs="Times New Roman"/>
                <w:sz w:val="20"/>
                <w:szCs w:val="20"/>
              </w:rPr>
            </w:pPr>
            <w:r w:rsidRPr="00A72D5B">
              <w:rPr>
                <w:rFonts w:ascii="Times New Roman" w:hAnsi="Times New Roman" w:cs="Times New Roman"/>
                <w:sz w:val="20"/>
                <w:szCs w:val="20"/>
              </w:rPr>
              <w:t>Číselné loterie, u nichž není předem určen ani počet účastníků, ani výše herní jistiny,</w:t>
            </w:r>
            <w:r w:rsidR="0005444A">
              <w:rPr>
                <w:rFonts w:ascii="Times New Roman" w:hAnsi="Times New Roman" w:cs="Times New Roman"/>
                <w:sz w:val="20"/>
                <w:szCs w:val="20"/>
              </w:rPr>
              <w:t xml:space="preserve"> </w:t>
            </w:r>
            <w:r w:rsidRPr="00A72D5B">
              <w:rPr>
                <w:rFonts w:ascii="Times New Roman" w:hAnsi="Times New Roman" w:cs="Times New Roman"/>
                <w:sz w:val="20"/>
                <w:szCs w:val="20"/>
              </w:rPr>
              <w:t>kterou se rozumí násobek počtu vydaných losů a prodejní ceny za jeden los</w:t>
            </w:r>
          </w:p>
        </w:tc>
        <w:tc>
          <w:tcPr>
            <w:tcW w:w="1118" w:type="dxa"/>
          </w:tcPr>
          <w:p w14:paraId="209CB112" w14:textId="77777777" w:rsidR="003361D5" w:rsidRPr="00A72D5B" w:rsidRDefault="003361D5" w:rsidP="00077E84">
            <w:pPr>
              <w:rPr>
                <w:rFonts w:ascii="Times New Roman" w:hAnsi="Times New Roman" w:cs="Times New Roman"/>
                <w:sz w:val="20"/>
                <w:szCs w:val="20"/>
              </w:rPr>
            </w:pPr>
            <w:r>
              <w:rPr>
                <w:rFonts w:ascii="Times New Roman" w:hAnsi="Times New Roman" w:cs="Times New Roman"/>
                <w:sz w:val="20"/>
                <w:szCs w:val="20"/>
              </w:rPr>
              <w:t>N</w:t>
            </w:r>
            <w:r w:rsidRPr="00A72D5B">
              <w:rPr>
                <w:rFonts w:ascii="Times New Roman" w:hAnsi="Times New Roman" w:cs="Times New Roman"/>
                <w:sz w:val="20"/>
                <w:szCs w:val="20"/>
              </w:rPr>
              <w:t>ízká</w:t>
            </w:r>
          </w:p>
        </w:tc>
        <w:tc>
          <w:tcPr>
            <w:tcW w:w="4956" w:type="dxa"/>
          </w:tcPr>
          <w:p w14:paraId="3641CC91" w14:textId="77777777" w:rsidR="003361D5" w:rsidRPr="00A72D5B" w:rsidRDefault="003361D5" w:rsidP="00077E84">
            <w:pPr>
              <w:rPr>
                <w:rFonts w:ascii="Times New Roman" w:hAnsi="Times New Roman" w:cs="Times New Roman"/>
                <w:i/>
                <w:sz w:val="20"/>
                <w:szCs w:val="20"/>
              </w:rPr>
            </w:pPr>
            <w:r w:rsidRPr="00A72D5B">
              <w:rPr>
                <w:rFonts w:ascii="Times New Roman" w:hAnsi="Times New Roman" w:cs="Times New Roman"/>
                <w:i/>
                <w:sz w:val="20"/>
                <w:szCs w:val="20"/>
              </w:rPr>
              <w:t xml:space="preserve">Nízkou rizikovost u tohoto druhu hazardních her spatřujeme zejména v nemožnosti ovlivnit výsledek losování a tím pádem i výherce. U losování číselných loterií je vždy přítomen státní dozor a notář, kteří kontrolují jeho průběh. Výše výher může být značně vysoká, jedná se v případě prvního pořadí nebo jackpotu o stovky milionů Kč, v nově povolené loterii </w:t>
            </w:r>
            <w:proofErr w:type="spellStart"/>
            <w:r w:rsidRPr="00A72D5B">
              <w:rPr>
                <w:rFonts w:ascii="Times New Roman" w:hAnsi="Times New Roman" w:cs="Times New Roman"/>
                <w:i/>
                <w:sz w:val="20"/>
                <w:szCs w:val="20"/>
              </w:rPr>
              <w:t>Eurojackpot</w:t>
            </w:r>
            <w:proofErr w:type="spellEnd"/>
            <w:r w:rsidRPr="00A72D5B">
              <w:rPr>
                <w:rFonts w:ascii="Times New Roman" w:hAnsi="Times New Roman" w:cs="Times New Roman"/>
                <w:i/>
                <w:sz w:val="20"/>
                <w:szCs w:val="20"/>
              </w:rPr>
              <w:t xml:space="preserve"> dokonce v řádu miliard Kč (tato loterie, na které participuje Sazka je losována ve Finsku). Pravděpodobnost výhry je značně nízká – nejznámější číselnou loterií je Sportka.</w:t>
            </w:r>
          </w:p>
        </w:tc>
      </w:tr>
      <w:tr w:rsidR="003361D5" w:rsidRPr="00A72D5B" w14:paraId="38BFBFCA" w14:textId="77777777" w:rsidTr="00077E84">
        <w:tc>
          <w:tcPr>
            <w:tcW w:w="2988" w:type="dxa"/>
          </w:tcPr>
          <w:p w14:paraId="785B1BBA" w14:textId="77777777" w:rsidR="003361D5" w:rsidRPr="00A72D5B" w:rsidRDefault="003361D5" w:rsidP="00077E84">
            <w:pPr>
              <w:autoSpaceDE w:val="0"/>
              <w:autoSpaceDN w:val="0"/>
              <w:adjustRightInd w:val="0"/>
              <w:rPr>
                <w:rFonts w:ascii="Times New Roman" w:hAnsi="Times New Roman" w:cs="Times New Roman"/>
                <w:sz w:val="20"/>
                <w:szCs w:val="20"/>
              </w:rPr>
            </w:pPr>
            <w:r w:rsidRPr="00A72D5B">
              <w:rPr>
                <w:rFonts w:ascii="Times New Roman" w:hAnsi="Times New Roman" w:cs="Times New Roman"/>
                <w:sz w:val="20"/>
                <w:szCs w:val="20"/>
              </w:rPr>
              <w:t xml:space="preserve">Okamžité loterie, při nichž účastník hry, v provozovatelem stanovených obdobích, </w:t>
            </w:r>
            <w:proofErr w:type="gramStart"/>
            <w:r w:rsidRPr="00A72D5B">
              <w:rPr>
                <w:rFonts w:ascii="Times New Roman" w:hAnsi="Times New Roman" w:cs="Times New Roman"/>
                <w:sz w:val="20"/>
                <w:szCs w:val="20"/>
              </w:rPr>
              <w:t>na</w:t>
            </w:r>
            <w:proofErr w:type="gramEnd"/>
          </w:p>
          <w:p w14:paraId="5A43AFD2" w14:textId="77777777" w:rsidR="003361D5" w:rsidRPr="00A72D5B" w:rsidRDefault="003361D5" w:rsidP="00077E84">
            <w:pPr>
              <w:autoSpaceDE w:val="0"/>
              <w:autoSpaceDN w:val="0"/>
              <w:adjustRightInd w:val="0"/>
              <w:rPr>
                <w:rFonts w:ascii="Times New Roman" w:hAnsi="Times New Roman" w:cs="Times New Roman"/>
                <w:sz w:val="20"/>
                <w:szCs w:val="20"/>
              </w:rPr>
            </w:pPr>
            <w:r w:rsidRPr="00A72D5B">
              <w:rPr>
                <w:rFonts w:ascii="Times New Roman" w:hAnsi="Times New Roman" w:cs="Times New Roman"/>
                <w:sz w:val="20"/>
                <w:szCs w:val="20"/>
              </w:rPr>
              <w:t>vyznačené, až do doby koupě zakryté části sázkového tiketu nebo losu, jejím setřením po uhrazení vkladu zjistí případnou výhru nebo prohru</w:t>
            </w:r>
          </w:p>
        </w:tc>
        <w:tc>
          <w:tcPr>
            <w:tcW w:w="1118" w:type="dxa"/>
          </w:tcPr>
          <w:p w14:paraId="71BCF1DD" w14:textId="77777777" w:rsidR="003361D5" w:rsidRPr="00A72D5B" w:rsidRDefault="003361D5" w:rsidP="00077E84">
            <w:pPr>
              <w:rPr>
                <w:rFonts w:ascii="Times New Roman" w:hAnsi="Times New Roman" w:cs="Times New Roman"/>
                <w:sz w:val="20"/>
                <w:szCs w:val="20"/>
              </w:rPr>
            </w:pPr>
            <w:r>
              <w:rPr>
                <w:rFonts w:ascii="Times New Roman" w:hAnsi="Times New Roman" w:cs="Times New Roman"/>
                <w:sz w:val="20"/>
                <w:szCs w:val="20"/>
              </w:rPr>
              <w:t>N</w:t>
            </w:r>
            <w:r w:rsidRPr="00A72D5B">
              <w:rPr>
                <w:rFonts w:ascii="Times New Roman" w:hAnsi="Times New Roman" w:cs="Times New Roman"/>
                <w:sz w:val="20"/>
                <w:szCs w:val="20"/>
              </w:rPr>
              <w:t>ízká</w:t>
            </w:r>
          </w:p>
        </w:tc>
        <w:tc>
          <w:tcPr>
            <w:tcW w:w="4956" w:type="dxa"/>
          </w:tcPr>
          <w:p w14:paraId="78979EAC" w14:textId="77777777" w:rsidR="003361D5" w:rsidRPr="00A72D5B" w:rsidRDefault="003361D5" w:rsidP="00077E84">
            <w:pPr>
              <w:autoSpaceDE w:val="0"/>
              <w:autoSpaceDN w:val="0"/>
              <w:adjustRightInd w:val="0"/>
              <w:rPr>
                <w:rFonts w:ascii="Times New Roman" w:hAnsi="Times New Roman" w:cs="Times New Roman"/>
                <w:i/>
                <w:sz w:val="20"/>
                <w:szCs w:val="20"/>
              </w:rPr>
            </w:pPr>
            <w:r w:rsidRPr="00A72D5B">
              <w:rPr>
                <w:rFonts w:ascii="Times New Roman" w:hAnsi="Times New Roman" w:cs="Times New Roman"/>
                <w:i/>
                <w:sz w:val="20"/>
                <w:szCs w:val="20"/>
              </w:rPr>
              <w:t>Nízké riziko spatřujeme zejména z toho důvodu, že výhry nejsou nijak vysoké a také možnost zmanipulovat výherce je značně ztížena už samou povahou losů (klasické stírací losy). Pravděpodobnost výhry je celkem vysoká, ovšem jedná se o výhry v řádech desítek nebo stovek Kč. Zcela výjimečně se hraje o částky v řádu milionů, ale i v těchto případech lze velmi špatně z pohledu provozovatele jakkoliv ovlivňovat výherce a jeho výhru, tak jak je uvedeno výše.</w:t>
            </w:r>
          </w:p>
          <w:p w14:paraId="6BAF2232" w14:textId="77777777" w:rsidR="003361D5" w:rsidRPr="00A72D5B" w:rsidRDefault="003361D5" w:rsidP="00077E84">
            <w:pPr>
              <w:rPr>
                <w:rFonts w:ascii="Times New Roman" w:hAnsi="Times New Roman" w:cs="Times New Roman"/>
                <w:i/>
                <w:sz w:val="20"/>
                <w:szCs w:val="20"/>
              </w:rPr>
            </w:pPr>
          </w:p>
        </w:tc>
      </w:tr>
      <w:tr w:rsidR="003361D5" w:rsidRPr="00A72D5B" w14:paraId="7B5B758C" w14:textId="77777777" w:rsidTr="00077E84">
        <w:tc>
          <w:tcPr>
            <w:tcW w:w="2988" w:type="dxa"/>
          </w:tcPr>
          <w:p w14:paraId="2F2D8A51" w14:textId="77777777" w:rsidR="003361D5" w:rsidRPr="00A72D5B" w:rsidRDefault="003361D5" w:rsidP="0005444A">
            <w:pPr>
              <w:autoSpaceDE w:val="0"/>
              <w:autoSpaceDN w:val="0"/>
              <w:adjustRightInd w:val="0"/>
              <w:rPr>
                <w:rFonts w:ascii="Times New Roman" w:hAnsi="Times New Roman" w:cs="Times New Roman"/>
                <w:i/>
                <w:sz w:val="20"/>
                <w:szCs w:val="20"/>
              </w:rPr>
            </w:pPr>
            <w:r w:rsidRPr="00A72D5B">
              <w:rPr>
                <w:rFonts w:ascii="Times New Roman" w:hAnsi="Times New Roman" w:cs="Times New Roman"/>
                <w:sz w:val="20"/>
                <w:szCs w:val="20"/>
              </w:rPr>
              <w:t xml:space="preserve">Sázkové hry provozované pomocí </w:t>
            </w:r>
            <w:r w:rsidRPr="00A72D5B">
              <w:rPr>
                <w:rFonts w:ascii="Times New Roman" w:hAnsi="Times New Roman" w:cs="Times New Roman"/>
                <w:sz w:val="20"/>
                <w:szCs w:val="20"/>
              </w:rPr>
              <w:lastRenderedPageBreak/>
              <w:t xml:space="preserve">zvláštního druhu žetonů s </w:t>
            </w:r>
            <w:r w:rsidR="00012036">
              <w:rPr>
                <w:rFonts w:ascii="Times New Roman" w:hAnsi="Times New Roman" w:cs="Times New Roman"/>
                <w:sz w:val="20"/>
                <w:szCs w:val="20"/>
              </w:rPr>
              <w:t>k</w:t>
            </w:r>
            <w:r w:rsidRPr="00A72D5B">
              <w:rPr>
                <w:rFonts w:ascii="Times New Roman" w:hAnsi="Times New Roman" w:cs="Times New Roman"/>
                <w:sz w:val="20"/>
                <w:szCs w:val="20"/>
              </w:rPr>
              <w:t>ombinací patnácti čísel</w:t>
            </w:r>
            <w:r w:rsidR="0005444A">
              <w:rPr>
                <w:rFonts w:ascii="Times New Roman" w:hAnsi="Times New Roman" w:cs="Times New Roman"/>
                <w:sz w:val="20"/>
                <w:szCs w:val="20"/>
              </w:rPr>
              <w:t xml:space="preserve"> </w:t>
            </w:r>
            <w:r w:rsidRPr="00A72D5B">
              <w:rPr>
                <w:rFonts w:ascii="Times New Roman" w:hAnsi="Times New Roman" w:cs="Times New Roman"/>
                <w:sz w:val="20"/>
                <w:szCs w:val="20"/>
              </w:rPr>
              <w:t>v číselné řadě od jedné do devadesáti, při kterých není předem určen počet</w:t>
            </w:r>
            <w:r w:rsidR="00012036">
              <w:rPr>
                <w:rFonts w:ascii="Times New Roman" w:hAnsi="Times New Roman" w:cs="Times New Roman"/>
                <w:sz w:val="20"/>
                <w:szCs w:val="20"/>
              </w:rPr>
              <w:t xml:space="preserve"> </w:t>
            </w:r>
            <w:r w:rsidRPr="00A72D5B">
              <w:rPr>
                <w:rFonts w:ascii="Times New Roman" w:hAnsi="Times New Roman" w:cs="Times New Roman"/>
                <w:sz w:val="20"/>
                <w:szCs w:val="20"/>
              </w:rPr>
              <w:t>účastníků a ani výše herní jistiny. Losování se provádí veřejně za pomoci</w:t>
            </w:r>
            <w:r w:rsidR="00012036">
              <w:rPr>
                <w:rFonts w:ascii="Times New Roman" w:hAnsi="Times New Roman" w:cs="Times New Roman"/>
                <w:sz w:val="20"/>
                <w:szCs w:val="20"/>
              </w:rPr>
              <w:t xml:space="preserve"> </w:t>
            </w:r>
            <w:r w:rsidRPr="00A72D5B">
              <w:rPr>
                <w:rFonts w:ascii="Times New Roman" w:hAnsi="Times New Roman" w:cs="Times New Roman"/>
                <w:sz w:val="20"/>
                <w:szCs w:val="20"/>
              </w:rPr>
              <w:t>mechanického zařízení a spočívá v postupném losování čísel od jedné do</w:t>
            </w:r>
            <w:r w:rsidR="00012036">
              <w:rPr>
                <w:rFonts w:ascii="Times New Roman" w:hAnsi="Times New Roman" w:cs="Times New Roman"/>
                <w:sz w:val="20"/>
                <w:szCs w:val="20"/>
              </w:rPr>
              <w:t xml:space="preserve"> </w:t>
            </w:r>
            <w:r w:rsidRPr="00A72D5B">
              <w:rPr>
                <w:rFonts w:ascii="Times New Roman" w:hAnsi="Times New Roman" w:cs="Times New Roman"/>
                <w:sz w:val="20"/>
                <w:szCs w:val="20"/>
              </w:rPr>
              <w:t xml:space="preserve">devadesáti. </w:t>
            </w:r>
            <w:r w:rsidR="0005444A">
              <w:rPr>
                <w:rFonts w:ascii="Times New Roman" w:hAnsi="Times New Roman" w:cs="Times New Roman"/>
                <w:sz w:val="20"/>
                <w:szCs w:val="20"/>
              </w:rPr>
              <w:t>V</w:t>
            </w:r>
            <w:r w:rsidRPr="00A72D5B">
              <w:rPr>
                <w:rFonts w:ascii="Times New Roman" w:hAnsi="Times New Roman" w:cs="Times New Roman"/>
                <w:sz w:val="20"/>
                <w:szCs w:val="20"/>
              </w:rPr>
              <w:t>ýhra se vypočítává podle úhrnné výše vkladů podle druhu výhry a v</w:t>
            </w:r>
            <w:r w:rsidR="00012036">
              <w:rPr>
                <w:rFonts w:ascii="Times New Roman" w:hAnsi="Times New Roman" w:cs="Times New Roman"/>
                <w:sz w:val="20"/>
                <w:szCs w:val="20"/>
              </w:rPr>
              <w:t xml:space="preserve"> </w:t>
            </w:r>
            <w:r w:rsidRPr="00A72D5B">
              <w:rPr>
                <w:rFonts w:ascii="Times New Roman" w:hAnsi="Times New Roman" w:cs="Times New Roman"/>
                <w:sz w:val="20"/>
                <w:szCs w:val="20"/>
              </w:rPr>
              <w:t>každé hře podle výsledku losování (</w:t>
            </w:r>
            <w:r w:rsidRPr="00A72D5B">
              <w:rPr>
                <w:rFonts w:ascii="Times New Roman" w:hAnsi="Times New Roman" w:cs="Times New Roman"/>
                <w:i/>
                <w:sz w:val="20"/>
                <w:szCs w:val="20"/>
              </w:rPr>
              <w:t>lidově bingo)</w:t>
            </w:r>
          </w:p>
        </w:tc>
        <w:tc>
          <w:tcPr>
            <w:tcW w:w="1118" w:type="dxa"/>
          </w:tcPr>
          <w:p w14:paraId="0120086A" w14:textId="77777777" w:rsidR="003361D5" w:rsidRPr="00A72D5B" w:rsidRDefault="003361D5" w:rsidP="00077E84">
            <w:pPr>
              <w:rPr>
                <w:rFonts w:ascii="Times New Roman" w:hAnsi="Times New Roman" w:cs="Times New Roman"/>
                <w:sz w:val="20"/>
                <w:szCs w:val="20"/>
              </w:rPr>
            </w:pPr>
            <w:r>
              <w:rPr>
                <w:rFonts w:ascii="Times New Roman" w:hAnsi="Times New Roman" w:cs="Times New Roman"/>
                <w:sz w:val="20"/>
                <w:szCs w:val="20"/>
              </w:rPr>
              <w:lastRenderedPageBreak/>
              <w:t>N</w:t>
            </w:r>
            <w:r w:rsidRPr="00A72D5B">
              <w:rPr>
                <w:rFonts w:ascii="Times New Roman" w:hAnsi="Times New Roman" w:cs="Times New Roman"/>
                <w:sz w:val="20"/>
                <w:szCs w:val="20"/>
              </w:rPr>
              <w:t>ízká</w:t>
            </w:r>
          </w:p>
        </w:tc>
        <w:tc>
          <w:tcPr>
            <w:tcW w:w="4956" w:type="dxa"/>
          </w:tcPr>
          <w:p w14:paraId="44EF8CD2" w14:textId="77777777" w:rsidR="003361D5" w:rsidRPr="00A72D5B" w:rsidRDefault="003361D5" w:rsidP="00077E84">
            <w:pPr>
              <w:autoSpaceDE w:val="0"/>
              <w:autoSpaceDN w:val="0"/>
              <w:adjustRightInd w:val="0"/>
              <w:rPr>
                <w:rFonts w:ascii="Times New Roman" w:hAnsi="Times New Roman" w:cs="Times New Roman"/>
                <w:sz w:val="20"/>
                <w:szCs w:val="20"/>
              </w:rPr>
            </w:pPr>
            <w:r w:rsidRPr="00A72D5B">
              <w:rPr>
                <w:rFonts w:ascii="Times New Roman" w:hAnsi="Times New Roman" w:cs="Times New Roman"/>
                <w:i/>
                <w:sz w:val="20"/>
                <w:szCs w:val="20"/>
              </w:rPr>
              <w:t xml:space="preserve">Nízkou rizikovost spatřujeme v tom, že se jedná o veřejné </w:t>
            </w:r>
            <w:r w:rsidRPr="00A72D5B">
              <w:rPr>
                <w:rFonts w:ascii="Times New Roman" w:hAnsi="Times New Roman" w:cs="Times New Roman"/>
                <w:i/>
                <w:sz w:val="20"/>
                <w:szCs w:val="20"/>
              </w:rPr>
              <w:lastRenderedPageBreak/>
              <w:t xml:space="preserve">losování, které je velmi obtížně manipulovatelné a také z toho pohledu, že tato hazardní hra je na trhu zastoupena velmi zanedbatelně a vyhrávané částky nejsou nikterak vysoké. Dle dostupných informací ze systému SDSL je na území ČR povoleno do 10 takových her.  </w:t>
            </w:r>
          </w:p>
          <w:p w14:paraId="34FA249D" w14:textId="77777777" w:rsidR="003361D5" w:rsidRPr="00A72D5B" w:rsidRDefault="003361D5" w:rsidP="00077E84">
            <w:pPr>
              <w:autoSpaceDE w:val="0"/>
              <w:autoSpaceDN w:val="0"/>
              <w:adjustRightInd w:val="0"/>
              <w:rPr>
                <w:rFonts w:ascii="Times New Roman" w:hAnsi="Times New Roman" w:cs="Times New Roman"/>
                <w:i/>
                <w:sz w:val="20"/>
                <w:szCs w:val="20"/>
              </w:rPr>
            </w:pPr>
          </w:p>
        </w:tc>
      </w:tr>
    </w:tbl>
    <w:p w14:paraId="7EB965E1" w14:textId="77777777" w:rsidR="003361D5" w:rsidRDefault="003361D5" w:rsidP="00BA05B6">
      <w:pPr>
        <w:jc w:val="both"/>
        <w:rPr>
          <w:rFonts w:ascii="Times New Roman" w:hAnsi="Times New Roman"/>
          <w:sz w:val="24"/>
          <w:szCs w:val="24"/>
        </w:rPr>
      </w:pPr>
    </w:p>
    <w:p w14:paraId="298669D7" w14:textId="77777777" w:rsidR="003361D5" w:rsidRDefault="003361D5" w:rsidP="00BA05B6">
      <w:pPr>
        <w:jc w:val="both"/>
        <w:rPr>
          <w:rFonts w:ascii="Times New Roman" w:hAnsi="Times New Roman"/>
          <w:sz w:val="24"/>
          <w:szCs w:val="24"/>
        </w:rPr>
      </w:pPr>
      <w:r>
        <w:rPr>
          <w:rFonts w:ascii="Times New Roman" w:hAnsi="Times New Roman"/>
          <w:sz w:val="24"/>
          <w:szCs w:val="24"/>
        </w:rPr>
        <w:t xml:space="preserve">Vzhledem k odůvodněné malé rizikovosti uvedených her se jeví jako přiměřené, aby </w:t>
      </w:r>
      <w:r w:rsidR="00BC5E60">
        <w:rPr>
          <w:rFonts w:ascii="Times New Roman" w:hAnsi="Times New Roman"/>
          <w:sz w:val="24"/>
          <w:szCs w:val="24"/>
        </w:rPr>
        <w:t>pro provozovatele</w:t>
      </w:r>
      <w:r>
        <w:rPr>
          <w:rFonts w:ascii="Times New Roman" w:hAnsi="Times New Roman"/>
          <w:sz w:val="24"/>
          <w:szCs w:val="24"/>
        </w:rPr>
        <w:t xml:space="preserve"> těchto her </w:t>
      </w:r>
      <w:r w:rsidR="00BC5E60">
        <w:rPr>
          <w:rFonts w:ascii="Times New Roman" w:hAnsi="Times New Roman"/>
          <w:sz w:val="24"/>
          <w:szCs w:val="24"/>
        </w:rPr>
        <w:t>existovala zákonná výjimka z režimu povinných osob. Navrhuje se, aby provozovatelé ostatních her byli povinnými osobami vzhledem k AML rizikům her, které provozují. Hodnocení rizikovosti ostatních hazardních her je k dispozici u navrhovatele, resp. u zpracovatele RIA, a vzhledem k jeho rozsahu není zahrnuto do závěrečné zprávy hodnocení dopadů.</w:t>
      </w:r>
    </w:p>
    <w:p w14:paraId="249735BF" w14:textId="77777777" w:rsidR="003361D5" w:rsidRPr="003361D5" w:rsidRDefault="003361D5" w:rsidP="00BA05B6">
      <w:pPr>
        <w:jc w:val="both"/>
        <w:rPr>
          <w:rFonts w:ascii="Times New Roman" w:hAnsi="Times New Roman"/>
          <w:sz w:val="24"/>
          <w:szCs w:val="24"/>
        </w:rPr>
      </w:pPr>
    </w:p>
    <w:tbl>
      <w:tblPr>
        <w:tblStyle w:val="Mkatabulky"/>
        <w:tblW w:w="0" w:type="auto"/>
        <w:tblLook w:val="04A0" w:firstRow="1" w:lastRow="0" w:firstColumn="1" w:lastColumn="0" w:noHBand="0" w:noVBand="1"/>
      </w:tblPr>
      <w:tblGrid>
        <w:gridCol w:w="2405"/>
        <w:gridCol w:w="2397"/>
        <w:gridCol w:w="1420"/>
        <w:gridCol w:w="1427"/>
        <w:gridCol w:w="1516"/>
      </w:tblGrid>
      <w:tr w:rsidR="00FF317E" w14:paraId="4DAA038E" w14:textId="77777777" w:rsidTr="00FF317E">
        <w:tc>
          <w:tcPr>
            <w:tcW w:w="2405" w:type="dxa"/>
            <w:shd w:val="clear" w:color="auto" w:fill="DEEAF6" w:themeFill="accent1" w:themeFillTint="33"/>
          </w:tcPr>
          <w:p w14:paraId="57F5B5A7" w14:textId="77777777" w:rsidR="00FF317E" w:rsidRPr="00093F8B" w:rsidRDefault="00FF317E" w:rsidP="00851432">
            <w:pPr>
              <w:rPr>
                <w:rFonts w:ascii="Times New Roman" w:hAnsi="Times New Roman" w:cs="Times New Roman"/>
                <w:b/>
                <w:sz w:val="24"/>
                <w:szCs w:val="24"/>
              </w:rPr>
            </w:pPr>
            <w:r>
              <w:rPr>
                <w:rFonts w:ascii="Times New Roman" w:hAnsi="Times New Roman" w:cs="Times New Roman"/>
                <w:b/>
                <w:sz w:val="24"/>
                <w:szCs w:val="24"/>
              </w:rPr>
              <w:t>Téma</w:t>
            </w:r>
          </w:p>
        </w:tc>
        <w:tc>
          <w:tcPr>
            <w:tcW w:w="2397" w:type="dxa"/>
            <w:shd w:val="clear" w:color="auto" w:fill="DEEAF6" w:themeFill="accent1" w:themeFillTint="33"/>
          </w:tcPr>
          <w:p w14:paraId="0846BCA2" w14:textId="77777777" w:rsidR="00FF317E" w:rsidRPr="00093F8B" w:rsidRDefault="00FF317E" w:rsidP="00851432">
            <w:pPr>
              <w:rPr>
                <w:rFonts w:ascii="Times New Roman" w:hAnsi="Times New Roman" w:cs="Times New Roman"/>
                <w:b/>
                <w:sz w:val="24"/>
                <w:szCs w:val="24"/>
              </w:rPr>
            </w:pPr>
            <w:r>
              <w:rPr>
                <w:rFonts w:ascii="Times New Roman" w:hAnsi="Times New Roman" w:cs="Times New Roman"/>
                <w:b/>
                <w:sz w:val="24"/>
                <w:szCs w:val="24"/>
              </w:rPr>
              <w:t>Varianty</w:t>
            </w:r>
          </w:p>
        </w:tc>
        <w:tc>
          <w:tcPr>
            <w:tcW w:w="1420" w:type="dxa"/>
            <w:shd w:val="clear" w:color="auto" w:fill="DEEAF6" w:themeFill="accent1" w:themeFillTint="33"/>
          </w:tcPr>
          <w:p w14:paraId="1CBF5B16" w14:textId="77777777" w:rsidR="00FF317E" w:rsidRDefault="00F02A7C" w:rsidP="00851432">
            <w:pPr>
              <w:rPr>
                <w:rFonts w:ascii="Times New Roman" w:hAnsi="Times New Roman" w:cs="Times New Roman"/>
                <w:b/>
                <w:sz w:val="24"/>
                <w:szCs w:val="24"/>
              </w:rPr>
            </w:pPr>
            <w:r>
              <w:rPr>
                <w:rFonts w:ascii="Times New Roman" w:hAnsi="Times New Roman" w:cs="Times New Roman"/>
                <w:b/>
                <w:sz w:val="24"/>
                <w:szCs w:val="24"/>
              </w:rPr>
              <w:t>Efektivita</w:t>
            </w:r>
          </w:p>
        </w:tc>
        <w:tc>
          <w:tcPr>
            <w:tcW w:w="1420" w:type="dxa"/>
            <w:shd w:val="clear" w:color="auto" w:fill="DEEAF6" w:themeFill="accent1" w:themeFillTint="33"/>
          </w:tcPr>
          <w:p w14:paraId="7416125D" w14:textId="77777777" w:rsidR="00FF317E" w:rsidRDefault="00432A22" w:rsidP="00851432">
            <w:pPr>
              <w:rPr>
                <w:rFonts w:ascii="Times New Roman" w:hAnsi="Times New Roman" w:cs="Times New Roman"/>
                <w:b/>
                <w:sz w:val="24"/>
                <w:szCs w:val="24"/>
              </w:rPr>
            </w:pPr>
            <w:r>
              <w:rPr>
                <w:rFonts w:ascii="Times New Roman" w:hAnsi="Times New Roman" w:cs="Times New Roman"/>
                <w:b/>
                <w:sz w:val="24"/>
                <w:szCs w:val="24"/>
              </w:rPr>
              <w:t>Nákladn</w:t>
            </w:r>
            <w:r w:rsidR="00F02A7C">
              <w:rPr>
                <w:rFonts w:ascii="Times New Roman" w:hAnsi="Times New Roman" w:cs="Times New Roman"/>
                <w:b/>
                <w:sz w:val="24"/>
                <w:szCs w:val="24"/>
              </w:rPr>
              <w:t>ost</w:t>
            </w:r>
          </w:p>
        </w:tc>
        <w:tc>
          <w:tcPr>
            <w:tcW w:w="1420" w:type="dxa"/>
            <w:shd w:val="clear" w:color="auto" w:fill="DEEAF6" w:themeFill="accent1" w:themeFillTint="33"/>
          </w:tcPr>
          <w:p w14:paraId="0DCB5C8B" w14:textId="77777777" w:rsidR="00FF317E" w:rsidRDefault="00F02A7C" w:rsidP="00851432">
            <w:pPr>
              <w:rPr>
                <w:rFonts w:ascii="Times New Roman" w:hAnsi="Times New Roman" w:cs="Times New Roman"/>
                <w:b/>
                <w:sz w:val="24"/>
                <w:szCs w:val="24"/>
              </w:rPr>
            </w:pPr>
            <w:r>
              <w:rPr>
                <w:rFonts w:ascii="Times New Roman" w:hAnsi="Times New Roman" w:cs="Times New Roman"/>
                <w:b/>
                <w:sz w:val="24"/>
                <w:szCs w:val="24"/>
              </w:rPr>
              <w:t>Koherence</w:t>
            </w:r>
          </w:p>
        </w:tc>
      </w:tr>
      <w:tr w:rsidR="00FF317E" w14:paraId="04DF4BB1" w14:textId="77777777" w:rsidTr="00FF317E">
        <w:tc>
          <w:tcPr>
            <w:tcW w:w="2405" w:type="dxa"/>
            <w:vMerge w:val="restart"/>
          </w:tcPr>
          <w:p w14:paraId="0E574E3C" w14:textId="77777777" w:rsidR="00FF317E" w:rsidRPr="00093F8B" w:rsidRDefault="00FF317E" w:rsidP="00851432">
            <w:pPr>
              <w:jc w:val="both"/>
              <w:rPr>
                <w:rFonts w:ascii="Times New Roman" w:hAnsi="Times New Roman"/>
                <w:sz w:val="24"/>
                <w:szCs w:val="24"/>
              </w:rPr>
            </w:pPr>
            <w:r w:rsidRPr="00093F8B">
              <w:rPr>
                <w:rFonts w:ascii="Times New Roman" w:hAnsi="Times New Roman"/>
                <w:sz w:val="24"/>
                <w:szCs w:val="24"/>
              </w:rPr>
              <w:t xml:space="preserve">Zahrnutí provozovatelů hazardních her mezi povinné osoby </w:t>
            </w:r>
          </w:p>
        </w:tc>
        <w:tc>
          <w:tcPr>
            <w:tcW w:w="2397" w:type="dxa"/>
          </w:tcPr>
          <w:p w14:paraId="4660F9A3" w14:textId="77777777" w:rsidR="00FF317E" w:rsidRPr="00D94FAE" w:rsidRDefault="00FF317E" w:rsidP="00D94FAE">
            <w:pPr>
              <w:rPr>
                <w:rFonts w:ascii="Times New Roman" w:hAnsi="Times New Roman" w:cs="Times New Roman"/>
                <w:sz w:val="20"/>
                <w:szCs w:val="20"/>
              </w:rPr>
            </w:pPr>
            <w:r w:rsidRPr="00D94FAE">
              <w:rPr>
                <w:rFonts w:ascii="Times New Roman" w:hAnsi="Times New Roman" w:cs="Times New Roman"/>
                <w:sz w:val="20"/>
                <w:szCs w:val="20"/>
              </w:rPr>
              <w:t>Nulová varianta: ponechat mezi povinnými osobami nadále pouze kasina</w:t>
            </w:r>
          </w:p>
        </w:tc>
        <w:tc>
          <w:tcPr>
            <w:tcW w:w="1420" w:type="dxa"/>
          </w:tcPr>
          <w:p w14:paraId="1155B1A4" w14:textId="77777777" w:rsidR="00FF317E" w:rsidRPr="00D94FAE" w:rsidRDefault="00BC5E60" w:rsidP="00851432">
            <w:pPr>
              <w:rPr>
                <w:rFonts w:ascii="Times New Roman" w:hAnsi="Times New Roman" w:cs="Times New Roman"/>
                <w:sz w:val="20"/>
                <w:szCs w:val="20"/>
              </w:rPr>
            </w:pPr>
            <w:r w:rsidRPr="00D94FAE">
              <w:rPr>
                <w:rFonts w:ascii="Times New Roman" w:hAnsi="Times New Roman" w:cs="Times New Roman"/>
                <w:sz w:val="20"/>
                <w:szCs w:val="20"/>
              </w:rPr>
              <w:t>Neefektivní – neřeší další rizikové hazardní hry</w:t>
            </w:r>
          </w:p>
        </w:tc>
        <w:tc>
          <w:tcPr>
            <w:tcW w:w="1420" w:type="dxa"/>
          </w:tcPr>
          <w:p w14:paraId="1F8CA8BD" w14:textId="77777777" w:rsidR="00FF317E" w:rsidRPr="00D94FAE" w:rsidRDefault="00BC5E60" w:rsidP="00851432">
            <w:pPr>
              <w:rPr>
                <w:rFonts w:ascii="Times New Roman" w:hAnsi="Times New Roman" w:cs="Times New Roman"/>
                <w:sz w:val="20"/>
                <w:szCs w:val="20"/>
              </w:rPr>
            </w:pPr>
            <w:r w:rsidRPr="00D94FAE">
              <w:rPr>
                <w:rFonts w:ascii="Times New Roman" w:hAnsi="Times New Roman" w:cs="Times New Roman"/>
                <w:sz w:val="20"/>
                <w:szCs w:val="20"/>
              </w:rPr>
              <w:t>N/A</w:t>
            </w:r>
          </w:p>
        </w:tc>
        <w:tc>
          <w:tcPr>
            <w:tcW w:w="1420" w:type="dxa"/>
          </w:tcPr>
          <w:p w14:paraId="72320B10" w14:textId="77777777" w:rsidR="00FF317E" w:rsidRPr="00D94FAE" w:rsidRDefault="00D94FAE" w:rsidP="00851432">
            <w:pPr>
              <w:rPr>
                <w:rFonts w:ascii="Times New Roman" w:hAnsi="Times New Roman" w:cs="Times New Roman"/>
                <w:sz w:val="20"/>
                <w:szCs w:val="20"/>
              </w:rPr>
            </w:pPr>
            <w:r w:rsidRPr="00D94FAE">
              <w:rPr>
                <w:rFonts w:ascii="Times New Roman" w:hAnsi="Times New Roman" w:cs="Times New Roman"/>
                <w:sz w:val="20"/>
                <w:szCs w:val="20"/>
              </w:rPr>
              <w:t>Nekoherentní řešení – nereaguje na AML rizika jiných her</w:t>
            </w:r>
          </w:p>
        </w:tc>
      </w:tr>
      <w:tr w:rsidR="00FF317E" w14:paraId="2864DCFA" w14:textId="77777777" w:rsidTr="00FF317E">
        <w:tc>
          <w:tcPr>
            <w:tcW w:w="2405" w:type="dxa"/>
            <w:vMerge/>
          </w:tcPr>
          <w:p w14:paraId="056787EA" w14:textId="77777777" w:rsidR="00FF317E" w:rsidRPr="00093F8B" w:rsidRDefault="00FF317E" w:rsidP="00851432">
            <w:pPr>
              <w:jc w:val="both"/>
              <w:rPr>
                <w:rFonts w:ascii="Times New Roman" w:hAnsi="Times New Roman"/>
                <w:sz w:val="24"/>
                <w:szCs w:val="24"/>
              </w:rPr>
            </w:pPr>
          </w:p>
        </w:tc>
        <w:tc>
          <w:tcPr>
            <w:tcW w:w="2397" w:type="dxa"/>
          </w:tcPr>
          <w:p w14:paraId="6FD5E1D7" w14:textId="77777777" w:rsidR="00FF317E" w:rsidRPr="00D94FAE" w:rsidRDefault="00FF317E" w:rsidP="00851432">
            <w:pPr>
              <w:rPr>
                <w:rFonts w:ascii="Times New Roman" w:hAnsi="Times New Roman" w:cs="Times New Roman"/>
                <w:sz w:val="20"/>
                <w:szCs w:val="20"/>
              </w:rPr>
            </w:pPr>
            <w:r w:rsidRPr="00D94FAE">
              <w:rPr>
                <w:rFonts w:ascii="Times New Roman" w:hAnsi="Times New Roman" w:cs="Times New Roman"/>
                <w:sz w:val="20"/>
                <w:szCs w:val="20"/>
              </w:rPr>
              <w:t>Zahrnout mezi povinné osoby všechny provozovatele hazardních her</w:t>
            </w:r>
          </w:p>
        </w:tc>
        <w:tc>
          <w:tcPr>
            <w:tcW w:w="1420" w:type="dxa"/>
          </w:tcPr>
          <w:p w14:paraId="7B45DA08" w14:textId="77777777" w:rsidR="00FF317E" w:rsidRPr="00D94FAE" w:rsidRDefault="00BC5E60" w:rsidP="00BC5E60">
            <w:pPr>
              <w:rPr>
                <w:rFonts w:ascii="Times New Roman" w:hAnsi="Times New Roman" w:cs="Times New Roman"/>
                <w:sz w:val="20"/>
                <w:szCs w:val="20"/>
              </w:rPr>
            </w:pPr>
            <w:r w:rsidRPr="00D94FAE">
              <w:rPr>
                <w:rFonts w:ascii="Times New Roman" w:hAnsi="Times New Roman" w:cs="Times New Roman"/>
                <w:sz w:val="20"/>
                <w:szCs w:val="20"/>
              </w:rPr>
              <w:t>Neefektivní – zahrnuje mezi povinné osoby i provozovatele málo rizikových her</w:t>
            </w:r>
          </w:p>
        </w:tc>
        <w:tc>
          <w:tcPr>
            <w:tcW w:w="1420" w:type="dxa"/>
          </w:tcPr>
          <w:p w14:paraId="41CA5885" w14:textId="77777777" w:rsidR="00D94FAE" w:rsidRPr="00111AE6" w:rsidRDefault="00D94FAE" w:rsidP="00D94FAE">
            <w:pPr>
              <w:rPr>
                <w:rFonts w:ascii="Times New Roman" w:hAnsi="Times New Roman" w:cs="Times New Roman"/>
                <w:sz w:val="20"/>
                <w:szCs w:val="20"/>
              </w:rPr>
            </w:pPr>
            <w:r w:rsidRPr="00111AE6">
              <w:rPr>
                <w:rFonts w:ascii="Times New Roman" w:hAnsi="Times New Roman" w:cs="Times New Roman"/>
                <w:sz w:val="20"/>
                <w:szCs w:val="20"/>
              </w:rPr>
              <w:t>+</w:t>
            </w:r>
          </w:p>
          <w:p w14:paraId="0AB2CAA6" w14:textId="77777777" w:rsidR="00FF317E" w:rsidRPr="00D94FAE" w:rsidRDefault="00D94FAE" w:rsidP="00D94FAE">
            <w:pPr>
              <w:rPr>
                <w:rFonts w:ascii="Times New Roman" w:hAnsi="Times New Roman" w:cs="Times New Roman"/>
                <w:sz w:val="20"/>
                <w:szCs w:val="20"/>
              </w:rPr>
            </w:pPr>
            <w:r w:rsidRPr="00111AE6">
              <w:rPr>
                <w:rFonts w:ascii="Times New Roman" w:hAnsi="Times New Roman" w:cs="Times New Roman"/>
                <w:sz w:val="20"/>
                <w:szCs w:val="20"/>
              </w:rPr>
              <w:t>Vznik</w:t>
            </w:r>
            <w:r w:rsidR="00545370">
              <w:rPr>
                <w:rFonts w:ascii="Times New Roman" w:hAnsi="Times New Roman" w:cs="Times New Roman"/>
                <w:sz w:val="20"/>
                <w:szCs w:val="20"/>
              </w:rPr>
              <w:t>nou administrativní náklady povinným</w:t>
            </w:r>
            <w:r w:rsidRPr="00111AE6">
              <w:rPr>
                <w:rFonts w:ascii="Times New Roman" w:hAnsi="Times New Roman" w:cs="Times New Roman"/>
                <w:sz w:val="20"/>
                <w:szCs w:val="20"/>
              </w:rPr>
              <w:t xml:space="preserve"> osobám</w:t>
            </w:r>
          </w:p>
        </w:tc>
        <w:tc>
          <w:tcPr>
            <w:tcW w:w="1420" w:type="dxa"/>
          </w:tcPr>
          <w:p w14:paraId="0814FE1A" w14:textId="77777777" w:rsidR="00FF317E" w:rsidRPr="00D94FAE" w:rsidRDefault="00D94FAE" w:rsidP="00851432">
            <w:pPr>
              <w:rPr>
                <w:rFonts w:ascii="Times New Roman" w:hAnsi="Times New Roman" w:cs="Times New Roman"/>
                <w:sz w:val="20"/>
                <w:szCs w:val="20"/>
              </w:rPr>
            </w:pPr>
            <w:r w:rsidRPr="00D94FAE">
              <w:rPr>
                <w:rFonts w:ascii="Times New Roman" w:hAnsi="Times New Roman" w:cs="Times New Roman"/>
                <w:sz w:val="20"/>
                <w:szCs w:val="20"/>
              </w:rPr>
              <w:t>Potenciálně koherentní řešení – jednotný přístup ke všem provozovatelům hazardních her</w:t>
            </w:r>
          </w:p>
        </w:tc>
      </w:tr>
      <w:tr w:rsidR="00FF317E" w14:paraId="6D69BAD6" w14:textId="77777777" w:rsidTr="00FF317E">
        <w:tc>
          <w:tcPr>
            <w:tcW w:w="2405" w:type="dxa"/>
            <w:vMerge/>
          </w:tcPr>
          <w:p w14:paraId="407E18C5" w14:textId="77777777" w:rsidR="00FF317E" w:rsidRPr="00093F8B" w:rsidRDefault="00FF317E" w:rsidP="00851432">
            <w:pPr>
              <w:jc w:val="both"/>
              <w:rPr>
                <w:rFonts w:ascii="Times New Roman" w:hAnsi="Times New Roman"/>
                <w:sz w:val="24"/>
                <w:szCs w:val="24"/>
              </w:rPr>
            </w:pPr>
          </w:p>
        </w:tc>
        <w:tc>
          <w:tcPr>
            <w:tcW w:w="2397" w:type="dxa"/>
          </w:tcPr>
          <w:p w14:paraId="40890F04" w14:textId="77777777" w:rsidR="00FF317E" w:rsidRPr="00D94FAE" w:rsidRDefault="00FF317E" w:rsidP="00851432">
            <w:pPr>
              <w:rPr>
                <w:rFonts w:ascii="Times New Roman" w:hAnsi="Times New Roman" w:cs="Times New Roman"/>
                <w:sz w:val="20"/>
                <w:szCs w:val="20"/>
              </w:rPr>
            </w:pPr>
            <w:r w:rsidRPr="00D94FAE">
              <w:rPr>
                <w:rFonts w:ascii="Times New Roman" w:hAnsi="Times New Roman" w:cs="Times New Roman"/>
                <w:sz w:val="20"/>
                <w:szCs w:val="20"/>
              </w:rPr>
              <w:t>Zahrnout mezi povinné osoby vybrané provozovatele hazardních her na základě hodnocení rizik</w:t>
            </w:r>
          </w:p>
        </w:tc>
        <w:tc>
          <w:tcPr>
            <w:tcW w:w="1420" w:type="dxa"/>
          </w:tcPr>
          <w:p w14:paraId="6511D0F0" w14:textId="77777777" w:rsidR="00FF317E" w:rsidRPr="00D94FAE" w:rsidRDefault="00BC5E60" w:rsidP="00851432">
            <w:pPr>
              <w:rPr>
                <w:rFonts w:ascii="Times New Roman" w:hAnsi="Times New Roman" w:cs="Times New Roman"/>
                <w:sz w:val="20"/>
                <w:szCs w:val="20"/>
              </w:rPr>
            </w:pPr>
            <w:r w:rsidRPr="00D94FAE">
              <w:rPr>
                <w:rFonts w:ascii="Times New Roman" w:hAnsi="Times New Roman" w:cs="Times New Roman"/>
                <w:sz w:val="20"/>
                <w:szCs w:val="20"/>
              </w:rPr>
              <w:t>Efektivní řešení – vyloučení málo rizikových her na základě hodnocení rizik</w:t>
            </w:r>
          </w:p>
        </w:tc>
        <w:tc>
          <w:tcPr>
            <w:tcW w:w="1420" w:type="dxa"/>
          </w:tcPr>
          <w:p w14:paraId="778961C6" w14:textId="77777777" w:rsidR="00D94FAE" w:rsidRPr="00111AE6" w:rsidRDefault="00D94FAE" w:rsidP="00D94FAE">
            <w:pPr>
              <w:rPr>
                <w:rFonts w:ascii="Times New Roman" w:hAnsi="Times New Roman" w:cs="Times New Roman"/>
                <w:sz w:val="20"/>
                <w:szCs w:val="20"/>
              </w:rPr>
            </w:pPr>
            <w:r w:rsidRPr="00111AE6">
              <w:rPr>
                <w:rFonts w:ascii="Times New Roman" w:hAnsi="Times New Roman" w:cs="Times New Roman"/>
                <w:sz w:val="20"/>
                <w:szCs w:val="20"/>
              </w:rPr>
              <w:t>+</w:t>
            </w:r>
          </w:p>
          <w:p w14:paraId="6C78D9EB" w14:textId="77777777" w:rsidR="00FF317E" w:rsidRPr="00D94FAE" w:rsidRDefault="00D94FAE" w:rsidP="00D94FAE">
            <w:pPr>
              <w:rPr>
                <w:rFonts w:ascii="Times New Roman" w:hAnsi="Times New Roman" w:cs="Times New Roman"/>
                <w:sz w:val="20"/>
                <w:szCs w:val="20"/>
              </w:rPr>
            </w:pPr>
            <w:r w:rsidRPr="00111AE6">
              <w:rPr>
                <w:rFonts w:ascii="Times New Roman" w:hAnsi="Times New Roman" w:cs="Times New Roman"/>
                <w:sz w:val="20"/>
                <w:szCs w:val="20"/>
              </w:rPr>
              <w:t>Vznikn</w:t>
            </w:r>
            <w:r w:rsidR="00545370">
              <w:rPr>
                <w:rFonts w:ascii="Times New Roman" w:hAnsi="Times New Roman" w:cs="Times New Roman"/>
                <w:sz w:val="20"/>
                <w:szCs w:val="20"/>
              </w:rPr>
              <w:t xml:space="preserve">ou administrativní náklady povinným </w:t>
            </w:r>
            <w:r w:rsidRPr="00111AE6">
              <w:rPr>
                <w:rFonts w:ascii="Times New Roman" w:hAnsi="Times New Roman" w:cs="Times New Roman"/>
                <w:sz w:val="20"/>
                <w:szCs w:val="20"/>
              </w:rPr>
              <w:t>osobám</w:t>
            </w:r>
          </w:p>
        </w:tc>
        <w:tc>
          <w:tcPr>
            <w:tcW w:w="1420" w:type="dxa"/>
          </w:tcPr>
          <w:p w14:paraId="734D0946" w14:textId="77777777" w:rsidR="00FF317E" w:rsidRPr="00D94FAE" w:rsidRDefault="00BC5E60" w:rsidP="00851432">
            <w:pPr>
              <w:rPr>
                <w:rFonts w:ascii="Times New Roman" w:hAnsi="Times New Roman" w:cs="Times New Roman"/>
                <w:sz w:val="20"/>
                <w:szCs w:val="20"/>
              </w:rPr>
            </w:pPr>
            <w:r w:rsidRPr="00D94FAE">
              <w:rPr>
                <w:rFonts w:ascii="Times New Roman" w:hAnsi="Times New Roman" w:cs="Times New Roman"/>
                <w:sz w:val="20"/>
                <w:szCs w:val="20"/>
              </w:rPr>
              <w:t>Koherentní řešení ve smyslu přístupu založeného na hodnocení rizik</w:t>
            </w:r>
          </w:p>
        </w:tc>
      </w:tr>
    </w:tbl>
    <w:p w14:paraId="0C31A00D" w14:textId="77777777" w:rsidR="00BA05B6" w:rsidRDefault="00BA05B6" w:rsidP="00BA05B6">
      <w:pPr>
        <w:rPr>
          <w:rFonts w:ascii="Times New Roman" w:hAnsi="Times New Roman" w:cs="Times New Roman"/>
          <w:sz w:val="24"/>
          <w:szCs w:val="24"/>
        </w:rPr>
      </w:pPr>
    </w:p>
    <w:p w14:paraId="66D5D362" w14:textId="77777777" w:rsidR="00545370" w:rsidRDefault="00545370" w:rsidP="008D4736">
      <w:pPr>
        <w:jc w:val="both"/>
        <w:rPr>
          <w:rFonts w:ascii="Times New Roman" w:hAnsi="Times New Roman"/>
          <w:b/>
          <w:sz w:val="24"/>
          <w:szCs w:val="24"/>
        </w:rPr>
      </w:pPr>
      <w:r>
        <w:rPr>
          <w:rFonts w:ascii="Times New Roman" w:hAnsi="Times New Roman" w:cs="Times New Roman"/>
          <w:b/>
          <w:sz w:val="24"/>
          <w:szCs w:val="24"/>
        </w:rPr>
        <w:t xml:space="preserve">Závěr: </w:t>
      </w:r>
      <w:r w:rsidR="008D4736" w:rsidRPr="008D4736">
        <w:rPr>
          <w:rFonts w:ascii="Times New Roman" w:hAnsi="Times New Roman" w:cs="Times New Roman"/>
          <w:b/>
          <w:sz w:val="24"/>
          <w:szCs w:val="24"/>
        </w:rPr>
        <w:t xml:space="preserve">Navrhuje se, aby </w:t>
      </w:r>
      <w:r w:rsidRPr="008D4736">
        <w:rPr>
          <w:rFonts w:ascii="Times New Roman" w:hAnsi="Times New Roman"/>
          <w:b/>
          <w:sz w:val="24"/>
          <w:szCs w:val="24"/>
        </w:rPr>
        <w:t xml:space="preserve">pro provozovatele </w:t>
      </w:r>
      <w:r w:rsidR="008D4736" w:rsidRPr="008D4736">
        <w:rPr>
          <w:rFonts w:ascii="Times New Roman" w:hAnsi="Times New Roman"/>
          <w:b/>
          <w:sz w:val="24"/>
          <w:szCs w:val="24"/>
        </w:rPr>
        <w:t xml:space="preserve">her, které představují nízké AML riziko, existovala zákonná výjimka, a tyto osoby byly vyňaty </w:t>
      </w:r>
      <w:r w:rsidRPr="008D4736">
        <w:rPr>
          <w:rFonts w:ascii="Times New Roman" w:hAnsi="Times New Roman"/>
          <w:b/>
          <w:sz w:val="24"/>
          <w:szCs w:val="24"/>
        </w:rPr>
        <w:t>z režimu povinných osob.</w:t>
      </w:r>
      <w:r w:rsidR="008D4736" w:rsidRPr="008D4736">
        <w:rPr>
          <w:rFonts w:ascii="Times New Roman" w:hAnsi="Times New Roman"/>
          <w:b/>
          <w:sz w:val="24"/>
          <w:szCs w:val="24"/>
        </w:rPr>
        <w:t xml:space="preserve"> Ostatní provozovatelé hazardních her, které představují vyšší než nízké AML riziko, by měli nově být povinnými osobami.</w:t>
      </w:r>
    </w:p>
    <w:p w14:paraId="341B4D70" w14:textId="77777777" w:rsidR="008D4736" w:rsidRPr="00545370" w:rsidRDefault="008D4736" w:rsidP="008D4736">
      <w:pPr>
        <w:jc w:val="both"/>
        <w:rPr>
          <w:rFonts w:ascii="Times New Roman" w:hAnsi="Times New Roman" w:cs="Times New Roman"/>
          <w:b/>
          <w:sz w:val="24"/>
          <w:szCs w:val="24"/>
        </w:rPr>
      </w:pPr>
    </w:p>
    <w:p w14:paraId="0C7C69EE" w14:textId="31C846C8" w:rsidR="004A498A" w:rsidRPr="00C42CE5" w:rsidRDefault="00BA05B6" w:rsidP="00C42CE5">
      <w:pPr>
        <w:pStyle w:val="Odstavecseseznamem"/>
        <w:numPr>
          <w:ilvl w:val="1"/>
          <w:numId w:val="1"/>
        </w:numPr>
        <w:ind w:left="432"/>
        <w:rPr>
          <w:rFonts w:ascii="Times New Roman" w:hAnsi="Times New Roman"/>
          <w:b/>
          <w:sz w:val="24"/>
          <w:szCs w:val="24"/>
        </w:rPr>
      </w:pPr>
      <w:r w:rsidRPr="00C42CE5">
        <w:rPr>
          <w:rFonts w:ascii="Times New Roman" w:hAnsi="Times New Roman"/>
          <w:b/>
          <w:sz w:val="24"/>
          <w:szCs w:val="24"/>
        </w:rPr>
        <w:t>Změna definice povinných osob co do výše hotovostních plateb u obchodníků se zbožím</w:t>
      </w:r>
    </w:p>
    <w:p w14:paraId="41CD0645" w14:textId="77777777" w:rsidR="0054088B" w:rsidRPr="00C42CE5" w:rsidRDefault="0054088B" w:rsidP="00C42CE5">
      <w:pPr>
        <w:pStyle w:val="Odstavecseseznamem"/>
        <w:ind w:left="432" w:firstLine="0"/>
        <w:rPr>
          <w:rFonts w:ascii="Times New Roman" w:hAnsi="Times New Roman"/>
          <w:b/>
          <w:sz w:val="24"/>
          <w:szCs w:val="24"/>
        </w:rPr>
      </w:pPr>
    </w:p>
    <w:p w14:paraId="5FB21648" w14:textId="77777777" w:rsidR="00531C41" w:rsidRDefault="00531C41" w:rsidP="00C13990">
      <w:pPr>
        <w:jc w:val="both"/>
        <w:rPr>
          <w:rFonts w:ascii="Times New Roman" w:hAnsi="Times New Roman" w:cs="Times New Roman"/>
          <w:sz w:val="24"/>
          <w:szCs w:val="24"/>
        </w:rPr>
      </w:pPr>
      <w:r>
        <w:rPr>
          <w:rFonts w:ascii="Times New Roman" w:hAnsi="Times New Roman" w:cs="Times New Roman"/>
          <w:sz w:val="24"/>
          <w:szCs w:val="24"/>
        </w:rPr>
        <w:t xml:space="preserve">Čtvrtá AML směrnice je ohledně tohoto limitu jednoznačná. </w:t>
      </w:r>
      <w:r w:rsidR="00C13990">
        <w:rPr>
          <w:rFonts w:ascii="Times New Roman" w:hAnsi="Times New Roman" w:cs="Times New Roman"/>
          <w:sz w:val="24"/>
          <w:szCs w:val="24"/>
        </w:rPr>
        <w:t>Změna AML zákona s</w:t>
      </w:r>
      <w:r>
        <w:rPr>
          <w:rFonts w:ascii="Times New Roman" w:hAnsi="Times New Roman" w:cs="Times New Roman"/>
          <w:sz w:val="24"/>
          <w:szCs w:val="24"/>
        </w:rPr>
        <w:t>nížení</w:t>
      </w:r>
      <w:r w:rsidR="00C13990">
        <w:rPr>
          <w:rFonts w:ascii="Times New Roman" w:hAnsi="Times New Roman" w:cs="Times New Roman"/>
          <w:sz w:val="24"/>
          <w:szCs w:val="24"/>
        </w:rPr>
        <w:t>m</w:t>
      </w:r>
      <w:r>
        <w:rPr>
          <w:rFonts w:ascii="Times New Roman" w:hAnsi="Times New Roman" w:cs="Times New Roman"/>
          <w:sz w:val="24"/>
          <w:szCs w:val="24"/>
        </w:rPr>
        <w:t xml:space="preserve"> limitu přinese administrativní náklad v podobě nové povinnosti </w:t>
      </w:r>
      <w:r w:rsidR="00C13990">
        <w:rPr>
          <w:rFonts w:ascii="Times New Roman" w:hAnsi="Times New Roman" w:cs="Times New Roman"/>
          <w:sz w:val="24"/>
          <w:szCs w:val="24"/>
        </w:rPr>
        <w:t xml:space="preserve">tam, kde by dle stávajícího znění zákona nenastávala povinnost identifikace a kontroly klienta, tedy situací, kde bude přijímána hotovostní platba ve výši 10 000 – 15 000 EUR. </w:t>
      </w:r>
      <w:r w:rsidR="00355F50">
        <w:rPr>
          <w:rFonts w:ascii="Times New Roman" w:hAnsi="Times New Roman" w:cs="Times New Roman"/>
          <w:sz w:val="24"/>
          <w:szCs w:val="24"/>
        </w:rPr>
        <w:t xml:space="preserve">Podle nové AML směrnice je třeba nejen snížit limit na 10.000 EUR, ale tento limit se vztáhne </w:t>
      </w:r>
      <w:r w:rsidR="008E3E3A">
        <w:rPr>
          <w:rFonts w:ascii="Times New Roman" w:hAnsi="Times New Roman" w:cs="Times New Roman"/>
          <w:sz w:val="24"/>
          <w:szCs w:val="24"/>
        </w:rPr>
        <w:t>i na hotovostní platby, uskutečněné těmito obchodníky</w:t>
      </w:r>
      <w:r w:rsidR="00DC4F44">
        <w:rPr>
          <w:rFonts w:ascii="Times New Roman" w:hAnsi="Times New Roman" w:cs="Times New Roman"/>
          <w:sz w:val="24"/>
          <w:szCs w:val="24"/>
        </w:rPr>
        <w:t xml:space="preserve"> (např. nákup zboží)</w:t>
      </w:r>
      <w:r w:rsidR="008E3E3A">
        <w:rPr>
          <w:rFonts w:ascii="Times New Roman" w:hAnsi="Times New Roman" w:cs="Times New Roman"/>
          <w:sz w:val="24"/>
          <w:szCs w:val="24"/>
        </w:rPr>
        <w:t>, tedy nejen na příjem platby.</w:t>
      </w:r>
      <w:r w:rsidR="00355F50">
        <w:rPr>
          <w:rFonts w:ascii="Times New Roman" w:hAnsi="Times New Roman" w:cs="Times New Roman"/>
          <w:sz w:val="24"/>
          <w:szCs w:val="24"/>
        </w:rPr>
        <w:t xml:space="preserve"> </w:t>
      </w:r>
      <w:r w:rsidR="00C13990">
        <w:rPr>
          <w:rFonts w:ascii="Times New Roman" w:hAnsi="Times New Roman" w:cs="Times New Roman"/>
          <w:sz w:val="24"/>
          <w:szCs w:val="24"/>
        </w:rPr>
        <w:t>Na základě konzultace nelze kvantifikovat, o jaký objem transakcí se jedná (ani v absolutních číslech, ani v poměru k celkové obchodní činnosti povinné osoby).</w:t>
      </w:r>
      <w:r w:rsidR="00321968">
        <w:rPr>
          <w:rFonts w:ascii="Times New Roman" w:hAnsi="Times New Roman" w:cs="Times New Roman"/>
          <w:sz w:val="24"/>
          <w:szCs w:val="24"/>
        </w:rPr>
        <w:t xml:space="preserve"> Zároveň platí, že změna v zásadě dopadá na subjekty, které již byl</w:t>
      </w:r>
      <w:r w:rsidR="000D0BC5">
        <w:rPr>
          <w:rFonts w:ascii="Times New Roman" w:hAnsi="Times New Roman" w:cs="Times New Roman"/>
          <w:sz w:val="24"/>
          <w:szCs w:val="24"/>
        </w:rPr>
        <w:t>y</w:t>
      </w:r>
      <w:r w:rsidR="00321968">
        <w:rPr>
          <w:rFonts w:ascii="Times New Roman" w:hAnsi="Times New Roman" w:cs="Times New Roman"/>
          <w:sz w:val="24"/>
          <w:szCs w:val="24"/>
        </w:rPr>
        <w:t xml:space="preserve"> touto povinností vázány; nedopadá tedy na nové povinné osoby, pouze mění limit transakcí, při nichž bude třeba provádět identifikaci a kontrolu klientů.</w:t>
      </w:r>
      <w:r w:rsidR="00767D70">
        <w:rPr>
          <w:rFonts w:ascii="Times New Roman" w:hAnsi="Times New Roman" w:cs="Times New Roman"/>
          <w:sz w:val="24"/>
          <w:szCs w:val="24"/>
        </w:rPr>
        <w:t xml:space="preserve"> Náklady se pro účely RIA nejeví zjevně nepřiměřené k dosažení cíle úpravy, v tomto případě k dosažení souladu se čtvrtou AML směrnicí.</w:t>
      </w:r>
    </w:p>
    <w:p w14:paraId="4E0DB447" w14:textId="77777777" w:rsidR="00C96AF2" w:rsidRDefault="00C96AF2" w:rsidP="00C13990">
      <w:pPr>
        <w:jc w:val="both"/>
        <w:rPr>
          <w:rFonts w:ascii="Times New Roman" w:hAnsi="Times New Roman" w:cs="Times New Roman"/>
          <w:sz w:val="24"/>
          <w:szCs w:val="24"/>
        </w:rPr>
      </w:pPr>
      <w:r>
        <w:rPr>
          <w:rFonts w:ascii="Times New Roman" w:hAnsi="Times New Roman" w:cs="Times New Roman"/>
          <w:sz w:val="24"/>
          <w:szCs w:val="24"/>
        </w:rPr>
        <w:t xml:space="preserve">Problematika částečně koresponduje </w:t>
      </w:r>
      <w:r w:rsidR="00D275F2">
        <w:rPr>
          <w:rFonts w:ascii="Times New Roman" w:hAnsi="Times New Roman" w:cs="Times New Roman"/>
          <w:sz w:val="24"/>
          <w:szCs w:val="24"/>
        </w:rPr>
        <w:t xml:space="preserve">se zákazem hotovostních plateb, jak jej upravuje zákon č. 254/2004 Sb., v platném znění. Ten </w:t>
      </w:r>
      <w:r w:rsidR="00FD0613">
        <w:rPr>
          <w:rFonts w:ascii="Times New Roman" w:hAnsi="Times New Roman" w:cs="Times New Roman"/>
          <w:sz w:val="24"/>
          <w:szCs w:val="24"/>
        </w:rPr>
        <w:t xml:space="preserve">obecně </w:t>
      </w:r>
      <w:r w:rsidR="00D275F2">
        <w:rPr>
          <w:rFonts w:ascii="Times New Roman" w:hAnsi="Times New Roman" w:cs="Times New Roman"/>
          <w:sz w:val="24"/>
          <w:szCs w:val="24"/>
        </w:rPr>
        <w:t xml:space="preserve">zakazuje </w:t>
      </w:r>
      <w:r w:rsidR="00FD0613">
        <w:rPr>
          <w:rFonts w:ascii="Times New Roman" w:hAnsi="Times New Roman" w:cs="Times New Roman"/>
          <w:sz w:val="24"/>
          <w:szCs w:val="24"/>
        </w:rPr>
        <w:t>(s vyjmenovanými výjimkami) provádět platby v hotovosti v</w:t>
      </w:r>
      <w:r w:rsidR="007F3EB4">
        <w:rPr>
          <w:rFonts w:ascii="Times New Roman" w:hAnsi="Times New Roman" w:cs="Times New Roman"/>
          <w:sz w:val="24"/>
          <w:szCs w:val="24"/>
        </w:rPr>
        <w:t> nad 270.000 Kč, tj. cca 10.000 EUR; omezení se vztahuje na platby mezi týmiž osobami v průběhu jednoho kalendářního dne</w:t>
      </w:r>
      <w:r w:rsidR="00D177A9">
        <w:rPr>
          <w:rFonts w:ascii="Times New Roman" w:hAnsi="Times New Roman" w:cs="Times New Roman"/>
          <w:sz w:val="24"/>
          <w:szCs w:val="24"/>
        </w:rPr>
        <w:t xml:space="preserve">. Na rozdíl od tohoto zákona však AML zákon postihuje i platby rozdělené do splátek ve více dnech, kdy </w:t>
      </w:r>
      <w:r w:rsidR="00705B38">
        <w:rPr>
          <w:rFonts w:ascii="Times New Roman" w:hAnsi="Times New Roman" w:cs="Times New Roman"/>
          <w:sz w:val="24"/>
          <w:szCs w:val="24"/>
        </w:rPr>
        <w:t>i vůči limitu 10.000 Kč se uplat</w:t>
      </w:r>
      <w:r w:rsidR="003566A6">
        <w:rPr>
          <w:rFonts w:ascii="Times New Roman" w:hAnsi="Times New Roman" w:cs="Times New Roman"/>
          <w:sz w:val="24"/>
          <w:szCs w:val="24"/>
        </w:rPr>
        <w:t>ní povinnost sčítat související</w:t>
      </w:r>
      <w:r w:rsidR="00705B38">
        <w:rPr>
          <w:rFonts w:ascii="Times New Roman" w:hAnsi="Times New Roman" w:cs="Times New Roman"/>
          <w:sz w:val="24"/>
          <w:szCs w:val="24"/>
        </w:rPr>
        <w:t xml:space="preserve"> platby, uvedená </w:t>
      </w:r>
      <w:r w:rsidR="003566A6">
        <w:rPr>
          <w:rFonts w:ascii="Times New Roman" w:hAnsi="Times New Roman" w:cs="Times New Roman"/>
          <w:sz w:val="24"/>
          <w:szCs w:val="24"/>
        </w:rPr>
        <w:t>v § 54 odst. 3 AML zákona v dosud platném znění.</w:t>
      </w:r>
      <w:r w:rsidR="008E3E3A">
        <w:rPr>
          <w:rFonts w:ascii="Times New Roman" w:hAnsi="Times New Roman" w:cs="Times New Roman"/>
          <w:sz w:val="24"/>
          <w:szCs w:val="24"/>
        </w:rPr>
        <w:t xml:space="preserve"> I tak </w:t>
      </w:r>
      <w:r w:rsidR="002B5B53">
        <w:rPr>
          <w:rFonts w:ascii="Times New Roman" w:hAnsi="Times New Roman" w:cs="Times New Roman"/>
          <w:sz w:val="24"/>
          <w:szCs w:val="24"/>
        </w:rPr>
        <w:t xml:space="preserve">s </w:t>
      </w:r>
      <w:r w:rsidR="008E3E3A">
        <w:rPr>
          <w:rFonts w:ascii="Times New Roman" w:hAnsi="Times New Roman" w:cs="Times New Roman"/>
          <w:sz w:val="24"/>
          <w:szCs w:val="24"/>
        </w:rPr>
        <w:t>ohledem na uvedený zákaz hotovostních plate</w:t>
      </w:r>
      <w:r w:rsidR="002B5B53">
        <w:rPr>
          <w:rFonts w:ascii="Times New Roman" w:hAnsi="Times New Roman" w:cs="Times New Roman"/>
          <w:sz w:val="24"/>
          <w:szCs w:val="24"/>
        </w:rPr>
        <w:t>b lze očekávat, že takových plateb se bude realizovat minimum.</w:t>
      </w:r>
      <w:r w:rsidR="008E3E3A">
        <w:rPr>
          <w:rFonts w:ascii="Times New Roman" w:hAnsi="Times New Roman" w:cs="Times New Roman"/>
          <w:sz w:val="24"/>
          <w:szCs w:val="24"/>
        </w:rPr>
        <w:t xml:space="preserve"> </w:t>
      </w:r>
    </w:p>
    <w:p w14:paraId="7EC9E5C0" w14:textId="77777777" w:rsidR="00C13990" w:rsidRDefault="00321968" w:rsidP="00C13990">
      <w:pPr>
        <w:jc w:val="both"/>
        <w:rPr>
          <w:rFonts w:ascii="Times New Roman" w:hAnsi="Times New Roman" w:cs="Times New Roman"/>
          <w:sz w:val="24"/>
          <w:szCs w:val="24"/>
        </w:rPr>
      </w:pPr>
      <w:r>
        <w:rPr>
          <w:rFonts w:ascii="Times New Roman" w:hAnsi="Times New Roman" w:cs="Times New Roman"/>
          <w:sz w:val="24"/>
          <w:szCs w:val="24"/>
        </w:rPr>
        <w:t xml:space="preserve">Vzhledem k nutnosti implementovat směrnici se nejeví jako potřebné dopady dále analyzovat. Předkladatel </w:t>
      </w:r>
      <w:r w:rsidR="00FF304C">
        <w:rPr>
          <w:rFonts w:ascii="Times New Roman" w:hAnsi="Times New Roman" w:cs="Times New Roman"/>
          <w:sz w:val="24"/>
          <w:szCs w:val="24"/>
        </w:rPr>
        <w:t>navrhuje změnit zákon v souladu se směrnicí.</w:t>
      </w:r>
    </w:p>
    <w:p w14:paraId="65AF8D05" w14:textId="77777777" w:rsidR="00C42CE5" w:rsidRDefault="00C42CE5" w:rsidP="00C13990">
      <w:pPr>
        <w:jc w:val="both"/>
        <w:rPr>
          <w:rFonts w:ascii="Times New Roman" w:hAnsi="Times New Roman" w:cs="Times New Roman"/>
          <w:sz w:val="24"/>
          <w:szCs w:val="24"/>
        </w:rPr>
      </w:pPr>
    </w:p>
    <w:p w14:paraId="1AC1E816" w14:textId="77777777" w:rsidR="00C42CE5" w:rsidRPr="00531C41" w:rsidRDefault="00C42CE5" w:rsidP="00C13990">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2376"/>
        <w:gridCol w:w="2156"/>
        <w:gridCol w:w="1510"/>
        <w:gridCol w:w="1510"/>
        <w:gridCol w:w="1510"/>
      </w:tblGrid>
      <w:tr w:rsidR="00FF304C" w14:paraId="5E1DD114" w14:textId="77777777" w:rsidTr="00FF304C">
        <w:tc>
          <w:tcPr>
            <w:tcW w:w="2376" w:type="dxa"/>
            <w:shd w:val="clear" w:color="auto" w:fill="DEEAF6" w:themeFill="accent1" w:themeFillTint="33"/>
          </w:tcPr>
          <w:p w14:paraId="227FEE6A" w14:textId="77777777" w:rsidR="00FF304C" w:rsidRPr="00093F8B" w:rsidRDefault="00FF304C" w:rsidP="00851432">
            <w:pPr>
              <w:rPr>
                <w:rFonts w:ascii="Times New Roman" w:hAnsi="Times New Roman" w:cs="Times New Roman"/>
                <w:b/>
                <w:sz w:val="24"/>
                <w:szCs w:val="24"/>
              </w:rPr>
            </w:pPr>
            <w:r>
              <w:rPr>
                <w:rFonts w:ascii="Times New Roman" w:hAnsi="Times New Roman" w:cs="Times New Roman"/>
                <w:b/>
                <w:sz w:val="24"/>
                <w:szCs w:val="24"/>
              </w:rPr>
              <w:t>Téma</w:t>
            </w:r>
          </w:p>
        </w:tc>
        <w:tc>
          <w:tcPr>
            <w:tcW w:w="2156" w:type="dxa"/>
            <w:shd w:val="clear" w:color="auto" w:fill="DEEAF6" w:themeFill="accent1" w:themeFillTint="33"/>
          </w:tcPr>
          <w:p w14:paraId="20EA0F22" w14:textId="77777777" w:rsidR="00FF304C" w:rsidRPr="00093F8B" w:rsidRDefault="00FF304C" w:rsidP="00851432">
            <w:pPr>
              <w:rPr>
                <w:rFonts w:ascii="Times New Roman" w:hAnsi="Times New Roman" w:cs="Times New Roman"/>
                <w:b/>
                <w:sz w:val="24"/>
                <w:szCs w:val="24"/>
              </w:rPr>
            </w:pPr>
            <w:r>
              <w:rPr>
                <w:rFonts w:ascii="Times New Roman" w:hAnsi="Times New Roman" w:cs="Times New Roman"/>
                <w:b/>
                <w:sz w:val="24"/>
                <w:szCs w:val="24"/>
              </w:rPr>
              <w:t>Varianty</w:t>
            </w:r>
          </w:p>
        </w:tc>
        <w:tc>
          <w:tcPr>
            <w:tcW w:w="1510" w:type="dxa"/>
            <w:shd w:val="clear" w:color="auto" w:fill="DEEAF6" w:themeFill="accent1" w:themeFillTint="33"/>
          </w:tcPr>
          <w:p w14:paraId="4E534EC9" w14:textId="77777777" w:rsidR="00FF304C" w:rsidRDefault="00FF304C" w:rsidP="00851432">
            <w:pPr>
              <w:rPr>
                <w:rFonts w:ascii="Times New Roman" w:hAnsi="Times New Roman" w:cs="Times New Roman"/>
                <w:b/>
                <w:sz w:val="24"/>
                <w:szCs w:val="24"/>
              </w:rPr>
            </w:pPr>
            <w:r>
              <w:rPr>
                <w:rFonts w:ascii="Times New Roman" w:hAnsi="Times New Roman" w:cs="Times New Roman"/>
                <w:b/>
                <w:sz w:val="24"/>
                <w:szCs w:val="24"/>
              </w:rPr>
              <w:t>Efektivita</w:t>
            </w:r>
          </w:p>
        </w:tc>
        <w:tc>
          <w:tcPr>
            <w:tcW w:w="1510" w:type="dxa"/>
            <w:shd w:val="clear" w:color="auto" w:fill="DEEAF6" w:themeFill="accent1" w:themeFillTint="33"/>
          </w:tcPr>
          <w:p w14:paraId="6D026123" w14:textId="77777777" w:rsidR="00FF304C" w:rsidRDefault="00432A22" w:rsidP="00851432">
            <w:pPr>
              <w:rPr>
                <w:rFonts w:ascii="Times New Roman" w:hAnsi="Times New Roman" w:cs="Times New Roman"/>
                <w:b/>
                <w:sz w:val="24"/>
                <w:szCs w:val="24"/>
              </w:rPr>
            </w:pPr>
            <w:r>
              <w:rPr>
                <w:rFonts w:ascii="Times New Roman" w:hAnsi="Times New Roman" w:cs="Times New Roman"/>
                <w:b/>
                <w:sz w:val="24"/>
                <w:szCs w:val="24"/>
              </w:rPr>
              <w:t>Nákladn</w:t>
            </w:r>
            <w:r w:rsidR="00FF304C">
              <w:rPr>
                <w:rFonts w:ascii="Times New Roman" w:hAnsi="Times New Roman" w:cs="Times New Roman"/>
                <w:b/>
                <w:sz w:val="24"/>
                <w:szCs w:val="24"/>
              </w:rPr>
              <w:t>ost</w:t>
            </w:r>
          </w:p>
        </w:tc>
        <w:tc>
          <w:tcPr>
            <w:tcW w:w="1510" w:type="dxa"/>
            <w:shd w:val="clear" w:color="auto" w:fill="DEEAF6" w:themeFill="accent1" w:themeFillTint="33"/>
          </w:tcPr>
          <w:p w14:paraId="0F55800B" w14:textId="77777777" w:rsidR="00FF304C" w:rsidRDefault="00FF304C" w:rsidP="00851432">
            <w:pPr>
              <w:rPr>
                <w:rFonts w:ascii="Times New Roman" w:hAnsi="Times New Roman" w:cs="Times New Roman"/>
                <w:b/>
                <w:sz w:val="24"/>
                <w:szCs w:val="24"/>
              </w:rPr>
            </w:pPr>
            <w:r>
              <w:rPr>
                <w:rFonts w:ascii="Times New Roman" w:hAnsi="Times New Roman" w:cs="Times New Roman"/>
                <w:b/>
                <w:sz w:val="24"/>
                <w:szCs w:val="24"/>
              </w:rPr>
              <w:t>Koherence</w:t>
            </w:r>
          </w:p>
        </w:tc>
      </w:tr>
      <w:tr w:rsidR="00FF304C" w:rsidRPr="00111AE6" w14:paraId="6B07685E" w14:textId="77777777" w:rsidTr="00FF304C">
        <w:tc>
          <w:tcPr>
            <w:tcW w:w="2376" w:type="dxa"/>
            <w:vMerge w:val="restart"/>
          </w:tcPr>
          <w:p w14:paraId="38EAD71D" w14:textId="77777777" w:rsidR="00FF304C" w:rsidRPr="005F467C" w:rsidRDefault="00FF304C" w:rsidP="00851432">
            <w:pPr>
              <w:jc w:val="both"/>
              <w:rPr>
                <w:rFonts w:ascii="Times New Roman" w:hAnsi="Times New Roman"/>
                <w:sz w:val="24"/>
                <w:szCs w:val="24"/>
              </w:rPr>
            </w:pPr>
            <w:r>
              <w:rPr>
                <w:rFonts w:ascii="Times New Roman" w:hAnsi="Times New Roman" w:cs="Times New Roman"/>
                <w:sz w:val="24"/>
                <w:szCs w:val="24"/>
              </w:rPr>
              <w:t>D</w:t>
            </w:r>
            <w:r w:rsidRPr="005F467C">
              <w:rPr>
                <w:rFonts w:ascii="Times New Roman" w:hAnsi="Times New Roman" w:cs="Times New Roman"/>
                <w:sz w:val="24"/>
                <w:szCs w:val="24"/>
              </w:rPr>
              <w:t>efinice povinných osob co do výše hotovostních plateb</w:t>
            </w:r>
          </w:p>
        </w:tc>
        <w:tc>
          <w:tcPr>
            <w:tcW w:w="2156" w:type="dxa"/>
          </w:tcPr>
          <w:p w14:paraId="244B4E20" w14:textId="77777777" w:rsidR="00FF304C" w:rsidRDefault="00FF304C" w:rsidP="00851432">
            <w:pPr>
              <w:rPr>
                <w:rFonts w:ascii="Times New Roman" w:hAnsi="Times New Roman" w:cs="Times New Roman"/>
                <w:sz w:val="24"/>
                <w:szCs w:val="24"/>
              </w:rPr>
            </w:pPr>
            <w:r>
              <w:rPr>
                <w:rFonts w:ascii="Times New Roman" w:hAnsi="Times New Roman" w:cs="Times New Roman"/>
                <w:sz w:val="24"/>
                <w:szCs w:val="24"/>
              </w:rPr>
              <w:t>Nulová varianta (pouze formální)</w:t>
            </w:r>
          </w:p>
          <w:p w14:paraId="7800EC40" w14:textId="77777777" w:rsidR="00FF304C" w:rsidRDefault="00FF304C" w:rsidP="00851432">
            <w:pPr>
              <w:rPr>
                <w:rFonts w:ascii="Times New Roman" w:hAnsi="Times New Roman" w:cs="Times New Roman"/>
                <w:sz w:val="24"/>
                <w:szCs w:val="24"/>
              </w:rPr>
            </w:pPr>
          </w:p>
        </w:tc>
        <w:tc>
          <w:tcPr>
            <w:tcW w:w="1510" w:type="dxa"/>
          </w:tcPr>
          <w:p w14:paraId="56745028" w14:textId="77777777" w:rsidR="00FF304C" w:rsidRPr="00111AE6" w:rsidRDefault="00F9065C" w:rsidP="00851432">
            <w:pPr>
              <w:rPr>
                <w:rFonts w:ascii="Times New Roman" w:hAnsi="Times New Roman" w:cs="Times New Roman"/>
                <w:sz w:val="20"/>
                <w:szCs w:val="20"/>
              </w:rPr>
            </w:pPr>
            <w:r w:rsidRPr="00111AE6">
              <w:rPr>
                <w:rFonts w:ascii="Times New Roman" w:hAnsi="Times New Roman" w:cs="Times New Roman"/>
                <w:sz w:val="20"/>
                <w:szCs w:val="20"/>
              </w:rPr>
              <w:t>-</w:t>
            </w:r>
          </w:p>
          <w:p w14:paraId="4733E094" w14:textId="77777777" w:rsidR="00F9065C" w:rsidRPr="00111AE6" w:rsidRDefault="00767D70" w:rsidP="00851432">
            <w:pPr>
              <w:rPr>
                <w:rFonts w:ascii="Times New Roman" w:hAnsi="Times New Roman" w:cs="Times New Roman"/>
                <w:sz w:val="20"/>
                <w:szCs w:val="20"/>
              </w:rPr>
            </w:pPr>
            <w:r w:rsidRPr="00111AE6">
              <w:rPr>
                <w:rFonts w:ascii="Times New Roman" w:hAnsi="Times New Roman" w:cs="Times New Roman"/>
                <w:sz w:val="20"/>
                <w:szCs w:val="20"/>
              </w:rPr>
              <w:t>N</w:t>
            </w:r>
            <w:r w:rsidR="00F9065C" w:rsidRPr="00111AE6">
              <w:rPr>
                <w:rFonts w:ascii="Times New Roman" w:hAnsi="Times New Roman" w:cs="Times New Roman"/>
                <w:sz w:val="20"/>
                <w:szCs w:val="20"/>
              </w:rPr>
              <w:t>esoulad se směrnicí</w:t>
            </w:r>
          </w:p>
        </w:tc>
        <w:tc>
          <w:tcPr>
            <w:tcW w:w="1510" w:type="dxa"/>
          </w:tcPr>
          <w:p w14:paraId="2C3B63A3" w14:textId="77777777" w:rsidR="00FF304C" w:rsidRPr="00111AE6" w:rsidRDefault="00767D70" w:rsidP="00851432">
            <w:pPr>
              <w:rPr>
                <w:rFonts w:ascii="Times New Roman" w:hAnsi="Times New Roman" w:cs="Times New Roman"/>
                <w:sz w:val="20"/>
                <w:szCs w:val="20"/>
              </w:rPr>
            </w:pPr>
            <w:r w:rsidRPr="00111AE6">
              <w:rPr>
                <w:rFonts w:ascii="Times New Roman" w:hAnsi="Times New Roman" w:cs="Times New Roman"/>
                <w:sz w:val="20"/>
                <w:szCs w:val="20"/>
              </w:rPr>
              <w:t>0</w:t>
            </w:r>
          </w:p>
        </w:tc>
        <w:tc>
          <w:tcPr>
            <w:tcW w:w="1510" w:type="dxa"/>
          </w:tcPr>
          <w:p w14:paraId="7D6A1DD5" w14:textId="77777777" w:rsidR="00FF304C" w:rsidRPr="00111AE6" w:rsidRDefault="00FF304C" w:rsidP="00851432">
            <w:pPr>
              <w:rPr>
                <w:rFonts w:ascii="Times New Roman" w:hAnsi="Times New Roman" w:cs="Times New Roman"/>
                <w:sz w:val="20"/>
                <w:szCs w:val="20"/>
              </w:rPr>
            </w:pPr>
            <w:r w:rsidRPr="00111AE6">
              <w:rPr>
                <w:rFonts w:ascii="Times New Roman" w:hAnsi="Times New Roman" w:cs="Times New Roman"/>
                <w:sz w:val="20"/>
                <w:szCs w:val="20"/>
              </w:rPr>
              <w:t>n/a</w:t>
            </w:r>
          </w:p>
        </w:tc>
      </w:tr>
      <w:tr w:rsidR="00FF304C" w:rsidRPr="00111AE6" w14:paraId="12D43D3E" w14:textId="77777777" w:rsidTr="00FF304C">
        <w:tc>
          <w:tcPr>
            <w:tcW w:w="2376" w:type="dxa"/>
            <w:vMerge/>
          </w:tcPr>
          <w:p w14:paraId="163BBEE2" w14:textId="77777777" w:rsidR="00FF304C" w:rsidRDefault="00FF304C" w:rsidP="00851432">
            <w:pPr>
              <w:jc w:val="both"/>
              <w:rPr>
                <w:rFonts w:ascii="Times New Roman" w:hAnsi="Times New Roman" w:cs="Times New Roman"/>
                <w:sz w:val="24"/>
                <w:szCs w:val="24"/>
              </w:rPr>
            </w:pPr>
          </w:p>
        </w:tc>
        <w:tc>
          <w:tcPr>
            <w:tcW w:w="2156" w:type="dxa"/>
          </w:tcPr>
          <w:p w14:paraId="0D16AAC3" w14:textId="77777777" w:rsidR="00FF304C" w:rsidRDefault="00FF304C" w:rsidP="00851432">
            <w:pPr>
              <w:rPr>
                <w:rFonts w:ascii="Times New Roman" w:hAnsi="Times New Roman" w:cs="Times New Roman"/>
                <w:sz w:val="24"/>
                <w:szCs w:val="24"/>
              </w:rPr>
            </w:pPr>
            <w:r>
              <w:rPr>
                <w:rFonts w:ascii="Times New Roman" w:hAnsi="Times New Roman" w:cs="Times New Roman"/>
                <w:sz w:val="24"/>
                <w:szCs w:val="24"/>
              </w:rPr>
              <w:t>Změna limitu v souladu se směrnicí</w:t>
            </w:r>
          </w:p>
        </w:tc>
        <w:tc>
          <w:tcPr>
            <w:tcW w:w="1510" w:type="dxa"/>
          </w:tcPr>
          <w:p w14:paraId="39A1B955" w14:textId="77777777" w:rsidR="00FF304C" w:rsidRPr="00111AE6" w:rsidRDefault="00F9065C" w:rsidP="00851432">
            <w:pPr>
              <w:rPr>
                <w:rFonts w:ascii="Times New Roman" w:hAnsi="Times New Roman" w:cs="Times New Roman"/>
                <w:sz w:val="20"/>
                <w:szCs w:val="20"/>
              </w:rPr>
            </w:pPr>
            <w:r w:rsidRPr="00111AE6">
              <w:rPr>
                <w:rFonts w:ascii="Times New Roman" w:hAnsi="Times New Roman" w:cs="Times New Roman"/>
                <w:sz w:val="20"/>
                <w:szCs w:val="20"/>
              </w:rPr>
              <w:t>+</w:t>
            </w:r>
          </w:p>
          <w:p w14:paraId="0C4FB817" w14:textId="77777777" w:rsidR="00F9065C" w:rsidRPr="00111AE6" w:rsidRDefault="00767D70" w:rsidP="00851432">
            <w:pPr>
              <w:rPr>
                <w:rFonts w:ascii="Times New Roman" w:hAnsi="Times New Roman" w:cs="Times New Roman"/>
                <w:sz w:val="20"/>
                <w:szCs w:val="20"/>
              </w:rPr>
            </w:pPr>
            <w:r w:rsidRPr="00111AE6">
              <w:rPr>
                <w:rFonts w:ascii="Times New Roman" w:hAnsi="Times New Roman" w:cs="Times New Roman"/>
                <w:sz w:val="20"/>
                <w:szCs w:val="20"/>
              </w:rPr>
              <w:t>S</w:t>
            </w:r>
            <w:r w:rsidR="00F9065C" w:rsidRPr="00111AE6">
              <w:rPr>
                <w:rFonts w:ascii="Times New Roman" w:hAnsi="Times New Roman" w:cs="Times New Roman"/>
                <w:sz w:val="20"/>
                <w:szCs w:val="20"/>
              </w:rPr>
              <w:t>oulad se směrnicí</w:t>
            </w:r>
          </w:p>
        </w:tc>
        <w:tc>
          <w:tcPr>
            <w:tcW w:w="1510" w:type="dxa"/>
          </w:tcPr>
          <w:p w14:paraId="69560566" w14:textId="77777777" w:rsidR="00FF304C" w:rsidRPr="00111AE6" w:rsidRDefault="00767D70" w:rsidP="00851432">
            <w:pPr>
              <w:rPr>
                <w:rFonts w:ascii="Times New Roman" w:hAnsi="Times New Roman" w:cs="Times New Roman"/>
                <w:sz w:val="20"/>
                <w:szCs w:val="20"/>
              </w:rPr>
            </w:pPr>
            <w:r w:rsidRPr="00111AE6">
              <w:rPr>
                <w:rFonts w:ascii="Times New Roman" w:hAnsi="Times New Roman" w:cs="Times New Roman"/>
                <w:sz w:val="20"/>
                <w:szCs w:val="20"/>
              </w:rPr>
              <w:t>+</w:t>
            </w:r>
          </w:p>
          <w:p w14:paraId="2419F8FE" w14:textId="02B9F3F6" w:rsidR="00767D70" w:rsidRPr="00111AE6" w:rsidRDefault="00767D70" w:rsidP="00767D70">
            <w:pPr>
              <w:rPr>
                <w:rFonts w:ascii="Times New Roman" w:hAnsi="Times New Roman" w:cs="Times New Roman"/>
                <w:sz w:val="20"/>
                <w:szCs w:val="20"/>
              </w:rPr>
            </w:pPr>
            <w:r w:rsidRPr="00111AE6">
              <w:rPr>
                <w:rFonts w:ascii="Times New Roman" w:hAnsi="Times New Roman" w:cs="Times New Roman"/>
                <w:sz w:val="20"/>
                <w:szCs w:val="20"/>
              </w:rPr>
              <w:t>Vznik</w:t>
            </w:r>
            <w:r w:rsidR="001B111C">
              <w:rPr>
                <w:rFonts w:ascii="Times New Roman" w:hAnsi="Times New Roman" w:cs="Times New Roman"/>
                <w:sz w:val="20"/>
                <w:szCs w:val="20"/>
              </w:rPr>
              <w:t>nou administrativní náklady povinným</w:t>
            </w:r>
            <w:r w:rsidRPr="00111AE6">
              <w:rPr>
                <w:rFonts w:ascii="Times New Roman" w:hAnsi="Times New Roman" w:cs="Times New Roman"/>
                <w:sz w:val="20"/>
                <w:szCs w:val="20"/>
              </w:rPr>
              <w:t xml:space="preserve"> osobám</w:t>
            </w:r>
          </w:p>
        </w:tc>
        <w:tc>
          <w:tcPr>
            <w:tcW w:w="1510" w:type="dxa"/>
          </w:tcPr>
          <w:p w14:paraId="1371E112" w14:textId="77777777" w:rsidR="00FF304C" w:rsidRPr="00111AE6" w:rsidRDefault="00FF304C" w:rsidP="00851432">
            <w:pPr>
              <w:rPr>
                <w:rFonts w:ascii="Times New Roman" w:hAnsi="Times New Roman" w:cs="Times New Roman"/>
                <w:sz w:val="20"/>
                <w:szCs w:val="20"/>
              </w:rPr>
            </w:pPr>
            <w:r w:rsidRPr="00111AE6">
              <w:rPr>
                <w:rFonts w:ascii="Times New Roman" w:hAnsi="Times New Roman" w:cs="Times New Roman"/>
                <w:sz w:val="20"/>
                <w:szCs w:val="20"/>
              </w:rPr>
              <w:t>n/a</w:t>
            </w:r>
          </w:p>
        </w:tc>
      </w:tr>
    </w:tbl>
    <w:p w14:paraId="733E34DC" w14:textId="77777777" w:rsidR="00BA05B6" w:rsidRDefault="00BA05B6" w:rsidP="00BA05B6">
      <w:pPr>
        <w:jc w:val="both"/>
        <w:rPr>
          <w:rFonts w:ascii="Times New Roman" w:hAnsi="Times New Roman" w:cs="Times New Roman"/>
          <w:b/>
          <w:sz w:val="24"/>
          <w:szCs w:val="24"/>
        </w:rPr>
      </w:pPr>
    </w:p>
    <w:p w14:paraId="347EC4BF" w14:textId="77777777" w:rsidR="00785F93" w:rsidRDefault="00785F93" w:rsidP="00BA05B6">
      <w:pPr>
        <w:jc w:val="both"/>
        <w:rPr>
          <w:rFonts w:ascii="Times New Roman" w:hAnsi="Times New Roman" w:cs="Times New Roman"/>
          <w:b/>
          <w:sz w:val="24"/>
          <w:szCs w:val="24"/>
        </w:rPr>
      </w:pPr>
      <w:r>
        <w:rPr>
          <w:rFonts w:ascii="Times New Roman" w:hAnsi="Times New Roman" w:cs="Times New Roman"/>
          <w:b/>
          <w:sz w:val="24"/>
          <w:szCs w:val="24"/>
        </w:rPr>
        <w:t>Závěr: Navrhuje se změnit limity výše hotovostních plateb u obchodníků se zbožím v souladu se směrnicí.</w:t>
      </w:r>
    </w:p>
    <w:p w14:paraId="1003D602" w14:textId="77777777" w:rsidR="001B111C" w:rsidRDefault="001B111C" w:rsidP="00BA05B6">
      <w:pPr>
        <w:jc w:val="both"/>
        <w:rPr>
          <w:rFonts w:ascii="Times New Roman" w:hAnsi="Times New Roman" w:cs="Times New Roman"/>
          <w:b/>
          <w:sz w:val="24"/>
          <w:szCs w:val="24"/>
        </w:rPr>
      </w:pPr>
    </w:p>
    <w:p w14:paraId="36C9A533" w14:textId="1EBDC2F5" w:rsidR="004A498A" w:rsidRDefault="004A498A" w:rsidP="001B111C">
      <w:pPr>
        <w:pStyle w:val="Odstavecseseznamem"/>
        <w:numPr>
          <w:ilvl w:val="1"/>
          <w:numId w:val="1"/>
        </w:numPr>
        <w:ind w:left="432"/>
        <w:rPr>
          <w:rFonts w:ascii="Times New Roman" w:hAnsi="Times New Roman"/>
          <w:b/>
          <w:sz w:val="24"/>
          <w:szCs w:val="24"/>
        </w:rPr>
      </w:pPr>
      <w:r w:rsidRPr="004A498A">
        <w:rPr>
          <w:rFonts w:ascii="Times New Roman" w:hAnsi="Times New Roman"/>
          <w:b/>
          <w:sz w:val="24"/>
          <w:szCs w:val="24"/>
        </w:rPr>
        <w:t>Změna definice politicky exponovaných osob</w:t>
      </w:r>
    </w:p>
    <w:p w14:paraId="70ECF33D" w14:textId="77777777" w:rsidR="001B111C" w:rsidRPr="001B111C" w:rsidRDefault="001B111C" w:rsidP="001B111C">
      <w:pPr>
        <w:pStyle w:val="Odstavecseseznamem"/>
        <w:ind w:left="432" w:firstLine="0"/>
        <w:rPr>
          <w:rFonts w:ascii="Times New Roman" w:hAnsi="Times New Roman"/>
          <w:b/>
          <w:sz w:val="24"/>
          <w:szCs w:val="24"/>
        </w:rPr>
      </w:pPr>
    </w:p>
    <w:p w14:paraId="09C279A5" w14:textId="77777777" w:rsidR="001B3E10" w:rsidRDefault="009C1E0E" w:rsidP="00BA05B6">
      <w:pPr>
        <w:jc w:val="both"/>
        <w:rPr>
          <w:rFonts w:ascii="Times New Roman" w:hAnsi="Times New Roman" w:cs="Times New Roman"/>
          <w:sz w:val="24"/>
          <w:szCs w:val="24"/>
        </w:rPr>
      </w:pPr>
      <w:r>
        <w:rPr>
          <w:rFonts w:ascii="Times New Roman" w:hAnsi="Times New Roman" w:cs="Times New Roman"/>
          <w:sz w:val="24"/>
          <w:szCs w:val="24"/>
        </w:rPr>
        <w:t>AML zákon</w:t>
      </w:r>
      <w:r w:rsidR="00520AFD">
        <w:rPr>
          <w:rFonts w:ascii="Times New Roman" w:hAnsi="Times New Roman" w:cs="Times New Roman"/>
          <w:sz w:val="24"/>
          <w:szCs w:val="24"/>
        </w:rPr>
        <w:t xml:space="preserve"> v platném znění</w:t>
      </w:r>
      <w:r>
        <w:rPr>
          <w:rFonts w:ascii="Times New Roman" w:hAnsi="Times New Roman" w:cs="Times New Roman"/>
          <w:sz w:val="24"/>
          <w:szCs w:val="24"/>
        </w:rPr>
        <w:t xml:space="preserve"> nedopadá na většinu českých politicky exponovaných osob.</w:t>
      </w:r>
      <w:r w:rsidR="00BE080A">
        <w:rPr>
          <w:rFonts w:ascii="Times New Roman" w:hAnsi="Times New Roman" w:cs="Times New Roman"/>
          <w:sz w:val="24"/>
          <w:szCs w:val="24"/>
        </w:rPr>
        <w:t xml:space="preserve"> </w:t>
      </w:r>
      <w:r w:rsidR="00520AFD">
        <w:rPr>
          <w:rFonts w:ascii="Times New Roman" w:hAnsi="Times New Roman" w:cs="Times New Roman"/>
          <w:sz w:val="24"/>
          <w:szCs w:val="24"/>
        </w:rPr>
        <w:t xml:space="preserve">Taková úprava byla v souladu s Třetí AMLD a </w:t>
      </w:r>
      <w:r w:rsidR="00805D1E">
        <w:rPr>
          <w:rFonts w:ascii="Times New Roman" w:hAnsi="Times New Roman" w:cs="Times New Roman"/>
          <w:sz w:val="24"/>
          <w:szCs w:val="24"/>
        </w:rPr>
        <w:t xml:space="preserve">doporučeními FATF v době přijetí AML </w:t>
      </w:r>
      <w:r w:rsidR="00805D1E">
        <w:rPr>
          <w:rFonts w:ascii="Times New Roman" w:hAnsi="Times New Roman" w:cs="Times New Roman"/>
          <w:sz w:val="24"/>
          <w:szCs w:val="24"/>
        </w:rPr>
        <w:lastRenderedPageBreak/>
        <w:t>zákona. Doporučení FATF se však v tomto ohledu změnila v únoru 2012, což reflektuje i nyní přijatá Čtvrtá AMLD. Je proto třeba v tomto ohledu novelizovat AML zákon.</w:t>
      </w:r>
    </w:p>
    <w:p w14:paraId="04C15EF9" w14:textId="7E9479B2" w:rsidR="000723F3" w:rsidRDefault="009C1E0E" w:rsidP="00BA05B6">
      <w:pPr>
        <w:jc w:val="both"/>
        <w:rPr>
          <w:rFonts w:ascii="Times New Roman" w:hAnsi="Times New Roman" w:cs="Times New Roman"/>
          <w:sz w:val="24"/>
          <w:szCs w:val="24"/>
        </w:rPr>
      </w:pPr>
      <w:r>
        <w:rPr>
          <w:rFonts w:ascii="Times New Roman" w:hAnsi="Times New Roman" w:cs="Times New Roman"/>
          <w:sz w:val="24"/>
          <w:szCs w:val="24"/>
        </w:rPr>
        <w:t xml:space="preserve">Změna bude mít dopad na </w:t>
      </w:r>
      <w:r w:rsidR="00BE080A">
        <w:rPr>
          <w:rFonts w:ascii="Times New Roman" w:hAnsi="Times New Roman" w:cs="Times New Roman"/>
          <w:sz w:val="24"/>
          <w:szCs w:val="24"/>
        </w:rPr>
        <w:t>české PEP.</w:t>
      </w:r>
      <w:r w:rsidR="00DD2E4B">
        <w:rPr>
          <w:rFonts w:ascii="Times New Roman" w:hAnsi="Times New Roman" w:cs="Times New Roman"/>
          <w:sz w:val="24"/>
          <w:szCs w:val="24"/>
        </w:rPr>
        <w:t xml:space="preserve"> Na o</w:t>
      </w:r>
      <w:r w:rsidR="00660423">
        <w:rPr>
          <w:rFonts w:ascii="Times New Roman" w:hAnsi="Times New Roman" w:cs="Times New Roman"/>
          <w:sz w:val="24"/>
          <w:szCs w:val="24"/>
        </w:rPr>
        <w:t>soby vypočtené v § 4 odst. 5 písm. a), re</w:t>
      </w:r>
      <w:r w:rsidR="001B111C">
        <w:rPr>
          <w:rFonts w:ascii="Times New Roman" w:hAnsi="Times New Roman" w:cs="Times New Roman"/>
          <w:sz w:val="24"/>
          <w:szCs w:val="24"/>
        </w:rPr>
        <w:t>sp. i </w:t>
      </w:r>
      <w:r w:rsidR="00DD2E4B">
        <w:rPr>
          <w:rFonts w:ascii="Times New Roman" w:hAnsi="Times New Roman" w:cs="Times New Roman"/>
          <w:sz w:val="24"/>
          <w:szCs w:val="24"/>
        </w:rPr>
        <w:t>písm.</w:t>
      </w:r>
      <w:r w:rsidR="00ED34E0">
        <w:rPr>
          <w:rFonts w:ascii="Times New Roman" w:hAnsi="Times New Roman" w:cs="Times New Roman"/>
          <w:sz w:val="24"/>
          <w:szCs w:val="24"/>
        </w:rPr>
        <w:t> </w:t>
      </w:r>
      <w:r w:rsidR="00DD2E4B">
        <w:rPr>
          <w:rFonts w:ascii="Times New Roman" w:hAnsi="Times New Roman" w:cs="Times New Roman"/>
          <w:sz w:val="24"/>
          <w:szCs w:val="24"/>
        </w:rPr>
        <w:t>b), se budou vztahovat zvláštní pravidla ohledně identifikace a kontroly. Mezi tyto osoby patří např. hlava státu, předseda vlády, ministr, náměstek, člen parlamentu, člen nejvyššího soudu, ústavního soudu, člen vrcholného orgánu centrální banky, člen správního, řídícího nebo kontrolního orgánu podniku ve vlastnictví státu, velvyslanec. Stejně tak jsou pro účely AML zákona PEP i osoby blízké (manžel, partner, rodič, dítě), v blízkém podnikatelském vztahu apod. Logikou boje proti praní špinavých peněz je u těchto osob zvýšené riziko</w:t>
      </w:r>
      <w:r w:rsidR="00093D17">
        <w:rPr>
          <w:rFonts w:ascii="Times New Roman" w:hAnsi="Times New Roman" w:cs="Times New Roman"/>
          <w:sz w:val="24"/>
          <w:szCs w:val="24"/>
        </w:rPr>
        <w:t xml:space="preserve">. </w:t>
      </w:r>
      <w:r w:rsidR="000723F3">
        <w:rPr>
          <w:rFonts w:ascii="Times New Roman" w:hAnsi="Times New Roman" w:cs="Times New Roman"/>
          <w:sz w:val="24"/>
          <w:szCs w:val="24"/>
        </w:rPr>
        <w:t>Podle stávající úpravy musí v</w:t>
      </w:r>
      <w:r w:rsidR="00093D17">
        <w:rPr>
          <w:rFonts w:ascii="Times New Roman" w:hAnsi="Times New Roman" w:cs="Times New Roman"/>
          <w:sz w:val="24"/>
          <w:szCs w:val="24"/>
        </w:rPr>
        <w:t>e vztahu k těmto osobám povinné osoby postupovat obezřetně, zvláště při kontrole klienta (§ 9), na tyto osoby se neuplatní některé výjimky z povinnosti identifikace a k</w:t>
      </w:r>
      <w:r w:rsidR="000723F3">
        <w:rPr>
          <w:rFonts w:ascii="Times New Roman" w:hAnsi="Times New Roman" w:cs="Times New Roman"/>
          <w:sz w:val="24"/>
          <w:szCs w:val="24"/>
        </w:rPr>
        <w:t>ontroly klienta (§ 13 odst. 4), povinné osoby neuskuteční s PEP obchod, pokud jim nebude znám původ majetku užitého v obchodu (§ 15 odst. 2), a pro obchody s povinnými osobami je třeba interní souhlas nadřízeného v povinné osobě (§ 15 odst. 3).</w:t>
      </w:r>
    </w:p>
    <w:p w14:paraId="09653A7F" w14:textId="77777777" w:rsidR="00805D1E" w:rsidRDefault="00805D1E" w:rsidP="00BA05B6">
      <w:pPr>
        <w:jc w:val="both"/>
        <w:rPr>
          <w:rFonts w:ascii="Times New Roman" w:hAnsi="Times New Roman" w:cs="Times New Roman"/>
          <w:sz w:val="24"/>
          <w:szCs w:val="24"/>
        </w:rPr>
      </w:pPr>
      <w:r>
        <w:rPr>
          <w:rFonts w:ascii="Times New Roman" w:hAnsi="Times New Roman" w:cs="Times New Roman"/>
          <w:sz w:val="24"/>
          <w:szCs w:val="24"/>
        </w:rPr>
        <w:t>Změna bude mít zároveň dopad i na povinné osoby, které budou muset zavést monitorování českých PEP a uplatňovat vůči nim opatření vyžadovaná AMLD, resp. novelizovaným AML zákonem.</w:t>
      </w:r>
    </w:p>
    <w:p w14:paraId="0B81CAEB" w14:textId="77777777" w:rsidR="00BE080A" w:rsidRDefault="003864D7" w:rsidP="00BA05B6">
      <w:pPr>
        <w:jc w:val="both"/>
        <w:rPr>
          <w:rFonts w:ascii="Times New Roman" w:hAnsi="Times New Roman" w:cs="Times New Roman"/>
          <w:sz w:val="24"/>
          <w:szCs w:val="24"/>
        </w:rPr>
      </w:pPr>
      <w:r>
        <w:rPr>
          <w:rFonts w:ascii="Times New Roman" w:hAnsi="Times New Roman" w:cs="Times New Roman"/>
          <w:sz w:val="24"/>
          <w:szCs w:val="24"/>
        </w:rPr>
        <w:t xml:space="preserve">Čtvrtá AML směrnice požaduje, aby </w:t>
      </w:r>
      <w:r w:rsidR="00D829B7">
        <w:rPr>
          <w:rFonts w:ascii="Times New Roman" w:hAnsi="Times New Roman" w:cs="Times New Roman"/>
          <w:sz w:val="24"/>
          <w:szCs w:val="24"/>
        </w:rPr>
        <w:t xml:space="preserve">(1) </w:t>
      </w:r>
      <w:r>
        <w:rPr>
          <w:rFonts w:ascii="Times New Roman" w:hAnsi="Times New Roman" w:cs="Times New Roman"/>
          <w:sz w:val="24"/>
          <w:szCs w:val="24"/>
        </w:rPr>
        <w:t>povinné osoby měly adekvátní systém řízení rizika</w:t>
      </w:r>
      <w:r w:rsidR="00D829B7">
        <w:rPr>
          <w:rFonts w:ascii="Times New Roman" w:hAnsi="Times New Roman" w:cs="Times New Roman"/>
          <w:sz w:val="24"/>
          <w:szCs w:val="24"/>
        </w:rPr>
        <w:t xml:space="preserve">, požaduje (2) souhlas nadřízeného při zřízení a pokračování obchodního vztahu, (3) adekvátní postupy pro zjištění původu majetku, (4) zvýšené průběžné monitorování obchodního vztahu (článek 18). </w:t>
      </w:r>
      <w:r w:rsidR="00BE080A">
        <w:rPr>
          <w:rFonts w:ascii="Times New Roman" w:hAnsi="Times New Roman" w:cs="Times New Roman"/>
          <w:sz w:val="24"/>
          <w:szCs w:val="24"/>
        </w:rPr>
        <w:t>Zároveň se změnou zákona je na zvážení využití nelegislativních nástrojů pro komunikaci s povinnými osobami, které zhusta tento institut AML zákona vykládají nesprávně.</w:t>
      </w:r>
    </w:p>
    <w:p w14:paraId="0D52565E" w14:textId="77777777" w:rsidR="00B81FDB" w:rsidRDefault="00B81FDB" w:rsidP="00BA05B6">
      <w:pPr>
        <w:jc w:val="both"/>
        <w:rPr>
          <w:rFonts w:ascii="Times New Roman" w:hAnsi="Times New Roman" w:cs="Times New Roman"/>
          <w:b/>
          <w:sz w:val="24"/>
          <w:szCs w:val="24"/>
        </w:rPr>
      </w:pPr>
    </w:p>
    <w:tbl>
      <w:tblPr>
        <w:tblStyle w:val="Mkatabulky"/>
        <w:tblW w:w="0" w:type="auto"/>
        <w:tblLook w:val="04A0" w:firstRow="1" w:lastRow="0" w:firstColumn="1" w:lastColumn="0" w:noHBand="0" w:noVBand="1"/>
      </w:tblPr>
      <w:tblGrid>
        <w:gridCol w:w="2440"/>
        <w:gridCol w:w="2305"/>
        <w:gridCol w:w="1450"/>
        <w:gridCol w:w="1549"/>
        <w:gridCol w:w="1451"/>
      </w:tblGrid>
      <w:tr w:rsidR="00EF6DDB" w14:paraId="3F552D0E" w14:textId="77777777" w:rsidTr="00B81FDB">
        <w:tc>
          <w:tcPr>
            <w:tcW w:w="2440" w:type="dxa"/>
            <w:shd w:val="clear" w:color="auto" w:fill="DEEAF6" w:themeFill="accent1" w:themeFillTint="33"/>
          </w:tcPr>
          <w:p w14:paraId="2AC80215" w14:textId="77777777" w:rsidR="00EF6DDB" w:rsidRPr="00093F8B" w:rsidRDefault="00EF6DDB" w:rsidP="00851432">
            <w:pPr>
              <w:rPr>
                <w:rFonts w:ascii="Times New Roman" w:hAnsi="Times New Roman" w:cs="Times New Roman"/>
                <w:b/>
                <w:sz w:val="24"/>
                <w:szCs w:val="24"/>
              </w:rPr>
            </w:pPr>
            <w:r>
              <w:rPr>
                <w:rFonts w:ascii="Times New Roman" w:hAnsi="Times New Roman" w:cs="Times New Roman"/>
                <w:b/>
                <w:sz w:val="24"/>
                <w:szCs w:val="24"/>
              </w:rPr>
              <w:t>Téma</w:t>
            </w:r>
          </w:p>
        </w:tc>
        <w:tc>
          <w:tcPr>
            <w:tcW w:w="2305" w:type="dxa"/>
            <w:shd w:val="clear" w:color="auto" w:fill="DEEAF6" w:themeFill="accent1" w:themeFillTint="33"/>
          </w:tcPr>
          <w:p w14:paraId="5604A05E" w14:textId="77777777" w:rsidR="00EF6DDB" w:rsidRPr="00093F8B" w:rsidRDefault="00EF6DDB" w:rsidP="00851432">
            <w:pPr>
              <w:rPr>
                <w:rFonts w:ascii="Times New Roman" w:hAnsi="Times New Roman" w:cs="Times New Roman"/>
                <w:b/>
                <w:sz w:val="24"/>
                <w:szCs w:val="24"/>
              </w:rPr>
            </w:pPr>
            <w:r>
              <w:rPr>
                <w:rFonts w:ascii="Times New Roman" w:hAnsi="Times New Roman" w:cs="Times New Roman"/>
                <w:b/>
                <w:sz w:val="24"/>
                <w:szCs w:val="24"/>
              </w:rPr>
              <w:t>Varianty</w:t>
            </w:r>
          </w:p>
        </w:tc>
        <w:tc>
          <w:tcPr>
            <w:tcW w:w="1450" w:type="dxa"/>
            <w:shd w:val="clear" w:color="auto" w:fill="DEEAF6" w:themeFill="accent1" w:themeFillTint="33"/>
          </w:tcPr>
          <w:p w14:paraId="0A890D98" w14:textId="77777777" w:rsidR="00EF6DDB" w:rsidRDefault="00EF6DDB" w:rsidP="00851432">
            <w:pPr>
              <w:rPr>
                <w:rFonts w:ascii="Times New Roman" w:hAnsi="Times New Roman" w:cs="Times New Roman"/>
                <w:b/>
                <w:sz w:val="24"/>
                <w:szCs w:val="24"/>
              </w:rPr>
            </w:pPr>
            <w:r>
              <w:rPr>
                <w:rFonts w:ascii="Times New Roman" w:hAnsi="Times New Roman" w:cs="Times New Roman"/>
                <w:b/>
                <w:sz w:val="24"/>
                <w:szCs w:val="24"/>
              </w:rPr>
              <w:t xml:space="preserve">Efektivita </w:t>
            </w:r>
          </w:p>
        </w:tc>
        <w:tc>
          <w:tcPr>
            <w:tcW w:w="1549" w:type="dxa"/>
            <w:shd w:val="clear" w:color="auto" w:fill="DEEAF6" w:themeFill="accent1" w:themeFillTint="33"/>
          </w:tcPr>
          <w:p w14:paraId="46DB32B8" w14:textId="77777777" w:rsidR="00EF6DDB" w:rsidRDefault="00493A92" w:rsidP="00851432">
            <w:pPr>
              <w:rPr>
                <w:rFonts w:ascii="Times New Roman" w:hAnsi="Times New Roman" w:cs="Times New Roman"/>
                <w:b/>
                <w:sz w:val="24"/>
                <w:szCs w:val="24"/>
              </w:rPr>
            </w:pPr>
            <w:r>
              <w:rPr>
                <w:rFonts w:ascii="Times New Roman" w:hAnsi="Times New Roman" w:cs="Times New Roman"/>
                <w:b/>
                <w:sz w:val="24"/>
                <w:szCs w:val="24"/>
              </w:rPr>
              <w:t>Nákladnost</w:t>
            </w:r>
          </w:p>
        </w:tc>
        <w:tc>
          <w:tcPr>
            <w:tcW w:w="1451" w:type="dxa"/>
            <w:shd w:val="clear" w:color="auto" w:fill="DEEAF6" w:themeFill="accent1" w:themeFillTint="33"/>
          </w:tcPr>
          <w:p w14:paraId="6235A704" w14:textId="77777777" w:rsidR="00EF6DDB" w:rsidRDefault="00493A92" w:rsidP="00851432">
            <w:pPr>
              <w:rPr>
                <w:rFonts w:ascii="Times New Roman" w:hAnsi="Times New Roman" w:cs="Times New Roman"/>
                <w:b/>
                <w:sz w:val="24"/>
                <w:szCs w:val="24"/>
              </w:rPr>
            </w:pPr>
            <w:r>
              <w:rPr>
                <w:rFonts w:ascii="Times New Roman" w:hAnsi="Times New Roman" w:cs="Times New Roman"/>
                <w:b/>
                <w:sz w:val="24"/>
                <w:szCs w:val="24"/>
              </w:rPr>
              <w:t>Koherence</w:t>
            </w:r>
          </w:p>
        </w:tc>
      </w:tr>
      <w:tr w:rsidR="00EF6DDB" w14:paraId="70B1EFC3" w14:textId="77777777" w:rsidTr="00B81FDB">
        <w:tc>
          <w:tcPr>
            <w:tcW w:w="2440" w:type="dxa"/>
            <w:vMerge w:val="restart"/>
          </w:tcPr>
          <w:p w14:paraId="41AE3B71" w14:textId="77777777" w:rsidR="00EF6DDB" w:rsidRPr="00CB01FF" w:rsidRDefault="00EF6DDB" w:rsidP="00851432">
            <w:pPr>
              <w:jc w:val="both"/>
              <w:rPr>
                <w:rFonts w:ascii="Times New Roman" w:hAnsi="Times New Roman" w:cs="Times New Roman"/>
                <w:sz w:val="24"/>
                <w:szCs w:val="24"/>
              </w:rPr>
            </w:pPr>
            <w:r w:rsidRPr="00CB01FF">
              <w:rPr>
                <w:rFonts w:ascii="Times New Roman" w:hAnsi="Times New Roman" w:cs="Times New Roman"/>
                <w:sz w:val="24"/>
                <w:szCs w:val="24"/>
              </w:rPr>
              <w:t>Definice politicky exponovaných osob</w:t>
            </w:r>
          </w:p>
          <w:p w14:paraId="542B3138" w14:textId="77777777" w:rsidR="00EF6DDB" w:rsidRPr="00784F59" w:rsidRDefault="00EF6DDB" w:rsidP="00851432">
            <w:pPr>
              <w:jc w:val="both"/>
              <w:rPr>
                <w:rFonts w:ascii="Times New Roman" w:hAnsi="Times New Roman"/>
                <w:sz w:val="24"/>
                <w:szCs w:val="24"/>
              </w:rPr>
            </w:pPr>
          </w:p>
        </w:tc>
        <w:tc>
          <w:tcPr>
            <w:tcW w:w="2305" w:type="dxa"/>
          </w:tcPr>
          <w:p w14:paraId="180C2303" w14:textId="77777777" w:rsidR="00EF6DDB" w:rsidRPr="00A67506" w:rsidRDefault="00EF6DDB" w:rsidP="00851432">
            <w:pPr>
              <w:rPr>
                <w:rFonts w:ascii="Times New Roman" w:hAnsi="Times New Roman" w:cs="Times New Roman"/>
                <w:sz w:val="20"/>
                <w:szCs w:val="20"/>
              </w:rPr>
            </w:pPr>
            <w:r w:rsidRPr="00A67506">
              <w:rPr>
                <w:rFonts w:ascii="Times New Roman" w:hAnsi="Times New Roman" w:cs="Times New Roman"/>
                <w:sz w:val="20"/>
                <w:szCs w:val="20"/>
              </w:rPr>
              <w:t>Nulová varianta (pouze formální)</w:t>
            </w:r>
          </w:p>
          <w:p w14:paraId="24A7F29F" w14:textId="77777777" w:rsidR="00EF6DDB" w:rsidRPr="00A67506" w:rsidRDefault="00EF6DDB" w:rsidP="00851432">
            <w:pPr>
              <w:rPr>
                <w:rFonts w:ascii="Times New Roman" w:hAnsi="Times New Roman" w:cs="Times New Roman"/>
                <w:sz w:val="20"/>
                <w:szCs w:val="20"/>
              </w:rPr>
            </w:pPr>
          </w:p>
        </w:tc>
        <w:tc>
          <w:tcPr>
            <w:tcW w:w="1450" w:type="dxa"/>
          </w:tcPr>
          <w:p w14:paraId="5A139101" w14:textId="77777777" w:rsidR="00EF6DDB" w:rsidRPr="00A67506" w:rsidRDefault="00AA4788" w:rsidP="00851432">
            <w:pPr>
              <w:rPr>
                <w:rFonts w:ascii="Times New Roman" w:hAnsi="Times New Roman" w:cs="Times New Roman"/>
                <w:sz w:val="20"/>
                <w:szCs w:val="20"/>
              </w:rPr>
            </w:pPr>
            <w:r w:rsidRPr="00A67506">
              <w:rPr>
                <w:rFonts w:ascii="Times New Roman" w:hAnsi="Times New Roman" w:cs="Times New Roman"/>
                <w:sz w:val="20"/>
                <w:szCs w:val="20"/>
              </w:rPr>
              <w:t>-</w:t>
            </w:r>
          </w:p>
        </w:tc>
        <w:tc>
          <w:tcPr>
            <w:tcW w:w="1549" w:type="dxa"/>
          </w:tcPr>
          <w:p w14:paraId="3BAECC00" w14:textId="77777777" w:rsidR="00EF6DDB" w:rsidRPr="00A67506" w:rsidRDefault="00AA4788" w:rsidP="00851432">
            <w:pPr>
              <w:rPr>
                <w:rFonts w:ascii="Times New Roman" w:hAnsi="Times New Roman" w:cs="Times New Roman"/>
                <w:sz w:val="20"/>
                <w:szCs w:val="20"/>
              </w:rPr>
            </w:pPr>
            <w:r w:rsidRPr="00A67506">
              <w:rPr>
                <w:rFonts w:ascii="Times New Roman" w:hAnsi="Times New Roman" w:cs="Times New Roman"/>
                <w:sz w:val="20"/>
                <w:szCs w:val="20"/>
              </w:rPr>
              <w:t>0</w:t>
            </w:r>
          </w:p>
        </w:tc>
        <w:tc>
          <w:tcPr>
            <w:tcW w:w="1451" w:type="dxa"/>
          </w:tcPr>
          <w:p w14:paraId="3BD4E069" w14:textId="77777777" w:rsidR="00EF6DDB" w:rsidRPr="00A67506" w:rsidRDefault="00493A92" w:rsidP="00851432">
            <w:pPr>
              <w:rPr>
                <w:rFonts w:ascii="Times New Roman" w:hAnsi="Times New Roman" w:cs="Times New Roman"/>
                <w:sz w:val="20"/>
                <w:szCs w:val="20"/>
              </w:rPr>
            </w:pPr>
            <w:r w:rsidRPr="00A67506">
              <w:rPr>
                <w:rFonts w:ascii="Times New Roman" w:hAnsi="Times New Roman" w:cs="Times New Roman"/>
                <w:sz w:val="20"/>
                <w:szCs w:val="20"/>
              </w:rPr>
              <w:t>-</w:t>
            </w:r>
          </w:p>
        </w:tc>
      </w:tr>
      <w:tr w:rsidR="00EF6DDB" w14:paraId="2FC64958" w14:textId="77777777" w:rsidTr="00B81FDB">
        <w:tc>
          <w:tcPr>
            <w:tcW w:w="2440" w:type="dxa"/>
            <w:vMerge/>
          </w:tcPr>
          <w:p w14:paraId="754800F3" w14:textId="77777777" w:rsidR="00EF6DDB" w:rsidRDefault="00EF6DDB" w:rsidP="00851432">
            <w:pPr>
              <w:jc w:val="both"/>
              <w:rPr>
                <w:rFonts w:ascii="Times New Roman" w:hAnsi="Times New Roman" w:cs="Times New Roman"/>
                <w:sz w:val="24"/>
                <w:szCs w:val="24"/>
              </w:rPr>
            </w:pPr>
          </w:p>
        </w:tc>
        <w:tc>
          <w:tcPr>
            <w:tcW w:w="2305" w:type="dxa"/>
          </w:tcPr>
          <w:p w14:paraId="665966E2" w14:textId="77777777" w:rsidR="00EF6DDB" w:rsidRPr="00A67506" w:rsidRDefault="00EF6DDB" w:rsidP="00851432">
            <w:pPr>
              <w:rPr>
                <w:rFonts w:ascii="Times New Roman" w:hAnsi="Times New Roman" w:cs="Times New Roman"/>
                <w:sz w:val="20"/>
                <w:szCs w:val="20"/>
              </w:rPr>
            </w:pPr>
            <w:r w:rsidRPr="00A67506">
              <w:rPr>
                <w:rFonts w:ascii="Times New Roman" w:hAnsi="Times New Roman" w:cs="Times New Roman"/>
                <w:sz w:val="20"/>
                <w:szCs w:val="20"/>
              </w:rPr>
              <w:t>Změna definice v souladu se směrnicí a s úmyslem (českého) zákonodárce</w:t>
            </w:r>
          </w:p>
        </w:tc>
        <w:tc>
          <w:tcPr>
            <w:tcW w:w="1450" w:type="dxa"/>
          </w:tcPr>
          <w:p w14:paraId="0ECCC8A4" w14:textId="77777777" w:rsidR="00EF6DDB" w:rsidRPr="00A67506" w:rsidRDefault="00AA4788" w:rsidP="00851432">
            <w:pPr>
              <w:rPr>
                <w:rFonts w:ascii="Times New Roman" w:hAnsi="Times New Roman" w:cs="Times New Roman"/>
                <w:sz w:val="20"/>
                <w:szCs w:val="20"/>
              </w:rPr>
            </w:pPr>
            <w:r w:rsidRPr="00A67506">
              <w:rPr>
                <w:rFonts w:ascii="Times New Roman" w:hAnsi="Times New Roman" w:cs="Times New Roman"/>
                <w:sz w:val="20"/>
                <w:szCs w:val="20"/>
              </w:rPr>
              <w:t>+</w:t>
            </w:r>
          </w:p>
          <w:p w14:paraId="6139FB91" w14:textId="77777777" w:rsidR="00AA4788" w:rsidRPr="00A67506" w:rsidRDefault="00AA4788" w:rsidP="00B81FDB">
            <w:pPr>
              <w:rPr>
                <w:rFonts w:ascii="Times New Roman" w:hAnsi="Times New Roman" w:cs="Times New Roman"/>
                <w:sz w:val="20"/>
                <w:szCs w:val="20"/>
              </w:rPr>
            </w:pPr>
            <w:r w:rsidRPr="00A67506">
              <w:rPr>
                <w:rFonts w:ascii="Times New Roman" w:hAnsi="Times New Roman" w:cs="Times New Roman"/>
                <w:sz w:val="20"/>
                <w:szCs w:val="20"/>
              </w:rPr>
              <w:t>České PEP je třeba zahrnout už z důvodu implementace směrnice</w:t>
            </w:r>
          </w:p>
        </w:tc>
        <w:tc>
          <w:tcPr>
            <w:tcW w:w="1549" w:type="dxa"/>
          </w:tcPr>
          <w:p w14:paraId="0874C82A" w14:textId="77777777" w:rsidR="00EF6DDB" w:rsidRPr="00A67506" w:rsidRDefault="00AA4788" w:rsidP="00851432">
            <w:pPr>
              <w:rPr>
                <w:rFonts w:ascii="Times New Roman" w:hAnsi="Times New Roman" w:cs="Times New Roman"/>
                <w:sz w:val="20"/>
                <w:szCs w:val="20"/>
              </w:rPr>
            </w:pPr>
            <w:r w:rsidRPr="00A67506">
              <w:rPr>
                <w:rFonts w:ascii="Times New Roman" w:hAnsi="Times New Roman" w:cs="Times New Roman"/>
                <w:sz w:val="20"/>
                <w:szCs w:val="20"/>
              </w:rPr>
              <w:t>++</w:t>
            </w:r>
          </w:p>
          <w:p w14:paraId="032FA89C" w14:textId="77777777" w:rsidR="00AA4788" w:rsidRPr="00A67506" w:rsidRDefault="00AA4788" w:rsidP="00851432">
            <w:pPr>
              <w:rPr>
                <w:rFonts w:ascii="Times New Roman" w:hAnsi="Times New Roman" w:cs="Times New Roman"/>
                <w:sz w:val="20"/>
                <w:szCs w:val="20"/>
              </w:rPr>
            </w:pPr>
            <w:r w:rsidRPr="00A67506">
              <w:rPr>
                <w:rFonts w:ascii="Times New Roman" w:hAnsi="Times New Roman" w:cs="Times New Roman"/>
                <w:sz w:val="20"/>
                <w:szCs w:val="20"/>
              </w:rPr>
              <w:t>Změna bude znamenat administrativní náklad povinných osob a náklady PEP</w:t>
            </w:r>
          </w:p>
        </w:tc>
        <w:tc>
          <w:tcPr>
            <w:tcW w:w="1451" w:type="dxa"/>
          </w:tcPr>
          <w:p w14:paraId="566428BC" w14:textId="77777777" w:rsidR="00EF6DDB" w:rsidRPr="00A67506" w:rsidRDefault="00493A92" w:rsidP="00851432">
            <w:pPr>
              <w:rPr>
                <w:rFonts w:ascii="Times New Roman" w:hAnsi="Times New Roman" w:cs="Times New Roman"/>
                <w:sz w:val="20"/>
                <w:szCs w:val="20"/>
              </w:rPr>
            </w:pPr>
            <w:r w:rsidRPr="00A67506">
              <w:rPr>
                <w:rFonts w:ascii="Times New Roman" w:hAnsi="Times New Roman" w:cs="Times New Roman"/>
                <w:sz w:val="20"/>
                <w:szCs w:val="20"/>
              </w:rPr>
              <w:t>+</w:t>
            </w:r>
          </w:p>
          <w:p w14:paraId="5B7B99C0" w14:textId="77777777" w:rsidR="00493A92" w:rsidRPr="00A67506" w:rsidRDefault="00493A92" w:rsidP="00851432">
            <w:pPr>
              <w:rPr>
                <w:rFonts w:ascii="Times New Roman" w:hAnsi="Times New Roman" w:cs="Times New Roman"/>
                <w:sz w:val="20"/>
                <w:szCs w:val="20"/>
              </w:rPr>
            </w:pPr>
            <w:r w:rsidRPr="00A67506">
              <w:rPr>
                <w:rFonts w:ascii="Times New Roman" w:hAnsi="Times New Roman" w:cs="Times New Roman"/>
                <w:sz w:val="20"/>
                <w:szCs w:val="20"/>
              </w:rPr>
              <w:t>Koherentnější přístup k cizím i domácím PEP</w:t>
            </w:r>
          </w:p>
        </w:tc>
      </w:tr>
    </w:tbl>
    <w:p w14:paraId="64F892B4" w14:textId="77777777" w:rsidR="00BA05B6" w:rsidRDefault="00BA05B6" w:rsidP="00BA05B6">
      <w:pPr>
        <w:jc w:val="both"/>
        <w:rPr>
          <w:rFonts w:ascii="Times New Roman" w:hAnsi="Times New Roman" w:cs="Times New Roman"/>
          <w:sz w:val="24"/>
          <w:szCs w:val="24"/>
        </w:rPr>
      </w:pPr>
    </w:p>
    <w:p w14:paraId="2F20E626" w14:textId="77777777" w:rsidR="00897931" w:rsidRDefault="00897931" w:rsidP="00BA05B6">
      <w:pPr>
        <w:jc w:val="both"/>
        <w:rPr>
          <w:rFonts w:ascii="Times New Roman" w:hAnsi="Times New Roman" w:cs="Times New Roman"/>
          <w:b/>
          <w:sz w:val="24"/>
          <w:szCs w:val="24"/>
        </w:rPr>
      </w:pPr>
      <w:r>
        <w:rPr>
          <w:rFonts w:ascii="Times New Roman" w:hAnsi="Times New Roman" w:cs="Times New Roman"/>
          <w:b/>
          <w:sz w:val="24"/>
          <w:szCs w:val="24"/>
        </w:rPr>
        <w:t xml:space="preserve">Závěr: Navrhuje se </w:t>
      </w:r>
      <w:r w:rsidR="003341F7">
        <w:rPr>
          <w:rFonts w:ascii="Times New Roman" w:hAnsi="Times New Roman" w:cs="Times New Roman"/>
          <w:b/>
          <w:sz w:val="24"/>
          <w:szCs w:val="24"/>
        </w:rPr>
        <w:t>upravit zákonnou definici PEP (§ 4 odst. 5) tak, aby dopadala i na české politicky exponované osoby.</w:t>
      </w:r>
    </w:p>
    <w:p w14:paraId="1C2A02B8" w14:textId="77777777" w:rsidR="003341F7" w:rsidRPr="00897931" w:rsidRDefault="003341F7" w:rsidP="00BA05B6">
      <w:pPr>
        <w:jc w:val="both"/>
        <w:rPr>
          <w:rFonts w:ascii="Times New Roman" w:hAnsi="Times New Roman" w:cs="Times New Roman"/>
          <w:b/>
          <w:sz w:val="24"/>
          <w:szCs w:val="24"/>
        </w:rPr>
      </w:pPr>
    </w:p>
    <w:p w14:paraId="12B70831" w14:textId="77777777" w:rsidR="00B47655" w:rsidRDefault="00B47655" w:rsidP="001B111C">
      <w:pPr>
        <w:pStyle w:val="Odstavecseseznamem"/>
        <w:keepNext/>
        <w:numPr>
          <w:ilvl w:val="1"/>
          <w:numId w:val="1"/>
        </w:numPr>
        <w:ind w:left="432"/>
        <w:rPr>
          <w:rFonts w:ascii="Times New Roman" w:hAnsi="Times New Roman"/>
          <w:b/>
          <w:sz w:val="24"/>
          <w:szCs w:val="24"/>
        </w:rPr>
      </w:pPr>
      <w:r w:rsidRPr="001B111C">
        <w:rPr>
          <w:rFonts w:ascii="Times New Roman" w:hAnsi="Times New Roman"/>
          <w:b/>
          <w:sz w:val="24"/>
          <w:szCs w:val="24"/>
        </w:rPr>
        <w:t>Zahrnutí poskytovatelů služeb spojených s virtuálními měnami mezi povinné osoby</w:t>
      </w:r>
    </w:p>
    <w:p w14:paraId="7BDE70C0" w14:textId="77777777" w:rsidR="004A498A" w:rsidRPr="001B111C" w:rsidRDefault="004A498A" w:rsidP="001B111C">
      <w:pPr>
        <w:pStyle w:val="Odstavecseseznamem"/>
        <w:keepNext/>
        <w:ind w:left="432" w:firstLine="0"/>
        <w:rPr>
          <w:rFonts w:ascii="Times New Roman" w:hAnsi="Times New Roman"/>
          <w:b/>
          <w:sz w:val="24"/>
          <w:szCs w:val="24"/>
        </w:rPr>
      </w:pPr>
    </w:p>
    <w:p w14:paraId="12C1EDE3" w14:textId="77777777" w:rsidR="005E589A" w:rsidRDefault="00BA1DDF" w:rsidP="00BA05B6">
      <w:pPr>
        <w:jc w:val="both"/>
        <w:rPr>
          <w:rFonts w:ascii="Times New Roman" w:hAnsi="Times New Roman" w:cs="Times New Roman"/>
          <w:sz w:val="24"/>
          <w:szCs w:val="24"/>
        </w:rPr>
      </w:pPr>
      <w:r>
        <w:rPr>
          <w:rFonts w:ascii="Times New Roman" w:hAnsi="Times New Roman" w:cs="Times New Roman"/>
          <w:sz w:val="24"/>
          <w:szCs w:val="24"/>
        </w:rPr>
        <w:t xml:space="preserve">Stávající AML zákon vydavatele elektronických peněz zahrnuje mezi povinné osoby (§ 2 odst. 1 písm. b bod 5) a upravuje výjimku z povinnosti identifikace a kontroly klienta, pokud </w:t>
      </w:r>
      <w:r>
        <w:rPr>
          <w:rFonts w:ascii="Times New Roman" w:hAnsi="Times New Roman" w:cs="Times New Roman"/>
          <w:sz w:val="24"/>
          <w:szCs w:val="24"/>
        </w:rPr>
        <w:lastRenderedPageBreak/>
        <w:t>transakce nepřekročí stanovenou výši (§ 13).  AML zákon však neřeší poskytování služeb spojených s virtuálními měnami (tzv. „směnárníky s virtuálními měnami“).</w:t>
      </w:r>
      <w:r w:rsidR="005E589A">
        <w:rPr>
          <w:rFonts w:ascii="Times New Roman" w:hAnsi="Times New Roman" w:cs="Times New Roman"/>
          <w:sz w:val="24"/>
          <w:szCs w:val="24"/>
        </w:rPr>
        <w:t xml:space="preserve"> Z </w:t>
      </w:r>
      <w:r w:rsidR="005C627B">
        <w:rPr>
          <w:rFonts w:ascii="Times New Roman" w:hAnsi="Times New Roman" w:cs="Times New Roman"/>
          <w:sz w:val="24"/>
          <w:szCs w:val="24"/>
        </w:rPr>
        <w:t xml:space="preserve">mezinárodních </w:t>
      </w:r>
      <w:r w:rsidR="00662A35">
        <w:rPr>
          <w:rFonts w:ascii="Times New Roman" w:hAnsi="Times New Roman" w:cs="Times New Roman"/>
          <w:sz w:val="24"/>
          <w:szCs w:val="24"/>
        </w:rPr>
        <w:t xml:space="preserve">zkušeností i z </w:t>
      </w:r>
      <w:r w:rsidR="005E589A">
        <w:rPr>
          <w:rFonts w:ascii="Times New Roman" w:hAnsi="Times New Roman" w:cs="Times New Roman"/>
          <w:sz w:val="24"/>
          <w:szCs w:val="24"/>
        </w:rPr>
        <w:t>činnosti FAU přitom vyplývá, že virtuální měny představují významné AML riziko.</w:t>
      </w:r>
      <w:r w:rsidR="005E589A">
        <w:rPr>
          <w:rStyle w:val="Znakapoznpodarou"/>
          <w:rFonts w:ascii="Times New Roman" w:hAnsi="Times New Roman" w:cs="Times New Roman"/>
          <w:sz w:val="24"/>
          <w:szCs w:val="24"/>
        </w:rPr>
        <w:footnoteReference w:id="8"/>
      </w:r>
      <w:r w:rsidR="00BB1FAB">
        <w:rPr>
          <w:rFonts w:ascii="Times New Roman" w:hAnsi="Times New Roman" w:cs="Times New Roman"/>
          <w:sz w:val="24"/>
          <w:szCs w:val="24"/>
        </w:rPr>
        <w:t xml:space="preserve"> Přitom hlavním legislativním nástrojem, jak na toto riziko reagovat, je zahrnout nejen emitenty, ale i „směnárníky“ s virtuálními měnami mezi povinné osoby a uložit jim tak zákonnou povinnosti identifikovat a kontrolovat klienty. Proto se jeví jako efektivní zahrnout mezi povinné osoby veškeré podnikatele, kteří kupují, prodávají či zprostředkovávají obchody s virtuálními měnami.</w:t>
      </w:r>
    </w:p>
    <w:p w14:paraId="34CFC5C7" w14:textId="77777777" w:rsidR="00BB1FAB" w:rsidRDefault="00BB1FAB" w:rsidP="00BA05B6">
      <w:pPr>
        <w:jc w:val="both"/>
        <w:rPr>
          <w:rFonts w:ascii="Times New Roman" w:hAnsi="Times New Roman" w:cs="Times New Roman"/>
          <w:sz w:val="24"/>
          <w:szCs w:val="24"/>
        </w:rPr>
      </w:pPr>
      <w:r>
        <w:rPr>
          <w:rFonts w:ascii="Times New Roman" w:hAnsi="Times New Roman" w:cs="Times New Roman"/>
          <w:sz w:val="24"/>
          <w:szCs w:val="24"/>
        </w:rPr>
        <w:t>U směnárníků s virtuálními měnami jde často o zahraniční subjekty, ale existuje i řada subjektů českých. Lze očekávat, že při vynucování navrhované povinnosti bude nesnadné kontrolovat plnění povinností zahraničních subjektů, reálně lze tedy očekávat dopad především u českých subjektů.</w:t>
      </w:r>
    </w:p>
    <w:p w14:paraId="21E3327F" w14:textId="77777777" w:rsidR="00BB1FAB" w:rsidRPr="00BB1FAB" w:rsidRDefault="00BB1FAB" w:rsidP="00BA05B6">
      <w:pPr>
        <w:jc w:val="both"/>
        <w:rPr>
          <w:rFonts w:ascii="Times New Roman" w:hAnsi="Times New Roman" w:cs="Times New Roman"/>
          <w:sz w:val="24"/>
          <w:szCs w:val="24"/>
        </w:rPr>
      </w:pPr>
      <w:r>
        <w:rPr>
          <w:rFonts w:ascii="Times New Roman" w:hAnsi="Times New Roman" w:cs="Times New Roman"/>
          <w:sz w:val="24"/>
          <w:szCs w:val="24"/>
        </w:rPr>
        <w:t xml:space="preserve">V rámci konzultace navrhovatel rovněž zjišťoval praxi povinných osob ohledně virtuálních měn. </w:t>
      </w:r>
      <w:r w:rsidR="00E700BF">
        <w:rPr>
          <w:rFonts w:ascii="Times New Roman" w:hAnsi="Times New Roman" w:cs="Times New Roman"/>
          <w:sz w:val="24"/>
          <w:szCs w:val="24"/>
        </w:rPr>
        <w:t xml:space="preserve">Ačkoli povinné osoby vnímají transakce s virtuálními měnami jako AML riziko, konkrétní nástroje detekce těchto transakcí se zpravidla omezují na </w:t>
      </w:r>
      <w:proofErr w:type="spellStart"/>
      <w:r w:rsidR="00E700BF">
        <w:rPr>
          <w:rFonts w:ascii="Times New Roman" w:hAnsi="Times New Roman" w:cs="Times New Roman"/>
          <w:sz w:val="24"/>
          <w:szCs w:val="24"/>
        </w:rPr>
        <w:t>screening</w:t>
      </w:r>
      <w:proofErr w:type="spellEnd"/>
      <w:r w:rsidR="00E700BF">
        <w:rPr>
          <w:rFonts w:ascii="Times New Roman" w:hAnsi="Times New Roman" w:cs="Times New Roman"/>
          <w:sz w:val="24"/>
          <w:szCs w:val="24"/>
        </w:rPr>
        <w:t xml:space="preserve"> slovního popisu transakcí. Pokud klient uvede do slovního popisu transakce příznaková slova (např. </w:t>
      </w:r>
      <w:proofErr w:type="spellStart"/>
      <w:r w:rsidR="00E700BF">
        <w:rPr>
          <w:rFonts w:ascii="Times New Roman" w:hAnsi="Times New Roman" w:cs="Times New Roman"/>
          <w:sz w:val="24"/>
          <w:szCs w:val="24"/>
        </w:rPr>
        <w:t>bitcoin</w:t>
      </w:r>
      <w:proofErr w:type="spellEnd"/>
      <w:r w:rsidR="00E700BF">
        <w:rPr>
          <w:rFonts w:ascii="Times New Roman" w:hAnsi="Times New Roman" w:cs="Times New Roman"/>
          <w:sz w:val="24"/>
          <w:szCs w:val="24"/>
        </w:rPr>
        <w:t xml:space="preserve"> apod.), pak je transakce prověřována. Nedokonalost tohoto mechanismu je evidentní. Jen malá skupina pachatelů trestné činnosti </w:t>
      </w:r>
      <w:r w:rsidR="00A67506">
        <w:rPr>
          <w:rFonts w:ascii="Times New Roman" w:hAnsi="Times New Roman" w:cs="Times New Roman"/>
          <w:sz w:val="24"/>
          <w:szCs w:val="24"/>
        </w:rPr>
        <w:t>takový slovní popis uvede, a pokud se takové chyby nedopustí, pak transakci povinná osoba nehodnotí jako rizikovou.</w:t>
      </w:r>
    </w:p>
    <w:tbl>
      <w:tblPr>
        <w:tblStyle w:val="Mkatabulky"/>
        <w:tblW w:w="0" w:type="auto"/>
        <w:tblLook w:val="04A0" w:firstRow="1" w:lastRow="0" w:firstColumn="1" w:lastColumn="0" w:noHBand="0" w:noVBand="1"/>
      </w:tblPr>
      <w:tblGrid>
        <w:gridCol w:w="2366"/>
        <w:gridCol w:w="2340"/>
        <w:gridCol w:w="1638"/>
        <w:gridCol w:w="1475"/>
        <w:gridCol w:w="1469"/>
      </w:tblGrid>
      <w:tr w:rsidR="00A67506" w14:paraId="31D70AA2" w14:textId="77777777" w:rsidTr="00A67506">
        <w:tc>
          <w:tcPr>
            <w:tcW w:w="2430" w:type="dxa"/>
            <w:shd w:val="clear" w:color="auto" w:fill="DEEAF6" w:themeFill="accent1" w:themeFillTint="33"/>
          </w:tcPr>
          <w:p w14:paraId="2414E564" w14:textId="77777777" w:rsidR="00A67506" w:rsidRPr="00093F8B" w:rsidRDefault="00A67506" w:rsidP="00A67506">
            <w:pPr>
              <w:rPr>
                <w:rFonts w:ascii="Times New Roman" w:hAnsi="Times New Roman" w:cs="Times New Roman"/>
                <w:b/>
                <w:sz w:val="24"/>
                <w:szCs w:val="24"/>
              </w:rPr>
            </w:pPr>
            <w:r>
              <w:rPr>
                <w:rFonts w:ascii="Times New Roman" w:hAnsi="Times New Roman" w:cs="Times New Roman"/>
                <w:b/>
                <w:sz w:val="24"/>
                <w:szCs w:val="24"/>
              </w:rPr>
              <w:t>Téma</w:t>
            </w:r>
          </w:p>
        </w:tc>
        <w:tc>
          <w:tcPr>
            <w:tcW w:w="2421" w:type="dxa"/>
            <w:shd w:val="clear" w:color="auto" w:fill="DEEAF6" w:themeFill="accent1" w:themeFillTint="33"/>
          </w:tcPr>
          <w:p w14:paraId="50B0EA18" w14:textId="77777777" w:rsidR="00A67506" w:rsidRPr="00093F8B" w:rsidRDefault="00A67506" w:rsidP="00A67506">
            <w:pPr>
              <w:rPr>
                <w:rFonts w:ascii="Times New Roman" w:hAnsi="Times New Roman" w:cs="Times New Roman"/>
                <w:b/>
                <w:sz w:val="24"/>
                <w:szCs w:val="24"/>
              </w:rPr>
            </w:pPr>
            <w:r>
              <w:rPr>
                <w:rFonts w:ascii="Times New Roman" w:hAnsi="Times New Roman" w:cs="Times New Roman"/>
                <w:b/>
                <w:sz w:val="24"/>
                <w:szCs w:val="24"/>
              </w:rPr>
              <w:t>Varianty</w:t>
            </w:r>
          </w:p>
        </w:tc>
        <w:tc>
          <w:tcPr>
            <w:tcW w:w="1479" w:type="dxa"/>
            <w:shd w:val="clear" w:color="auto" w:fill="DEEAF6" w:themeFill="accent1" w:themeFillTint="33"/>
          </w:tcPr>
          <w:p w14:paraId="2E118079" w14:textId="77777777" w:rsidR="00A67506" w:rsidRDefault="00A67506" w:rsidP="00A67506">
            <w:pPr>
              <w:rPr>
                <w:rFonts w:ascii="Times New Roman" w:hAnsi="Times New Roman" w:cs="Times New Roman"/>
                <w:b/>
                <w:sz w:val="24"/>
                <w:szCs w:val="24"/>
              </w:rPr>
            </w:pPr>
            <w:r>
              <w:rPr>
                <w:rFonts w:ascii="Times New Roman" w:hAnsi="Times New Roman" w:cs="Times New Roman"/>
                <w:b/>
                <w:sz w:val="24"/>
                <w:szCs w:val="24"/>
              </w:rPr>
              <w:t xml:space="preserve">Efektivita </w:t>
            </w:r>
          </w:p>
        </w:tc>
        <w:tc>
          <w:tcPr>
            <w:tcW w:w="1479" w:type="dxa"/>
            <w:shd w:val="clear" w:color="auto" w:fill="DEEAF6" w:themeFill="accent1" w:themeFillTint="33"/>
          </w:tcPr>
          <w:p w14:paraId="707A6F0E" w14:textId="77777777" w:rsidR="00A67506" w:rsidRDefault="00A67506" w:rsidP="00A67506">
            <w:pPr>
              <w:rPr>
                <w:rFonts w:ascii="Times New Roman" w:hAnsi="Times New Roman" w:cs="Times New Roman"/>
                <w:b/>
                <w:sz w:val="24"/>
                <w:szCs w:val="24"/>
              </w:rPr>
            </w:pPr>
            <w:r>
              <w:rPr>
                <w:rFonts w:ascii="Times New Roman" w:hAnsi="Times New Roman" w:cs="Times New Roman"/>
                <w:b/>
                <w:sz w:val="24"/>
                <w:szCs w:val="24"/>
              </w:rPr>
              <w:t>Nákladnost</w:t>
            </w:r>
          </w:p>
        </w:tc>
        <w:tc>
          <w:tcPr>
            <w:tcW w:w="1479" w:type="dxa"/>
            <w:shd w:val="clear" w:color="auto" w:fill="DEEAF6" w:themeFill="accent1" w:themeFillTint="33"/>
          </w:tcPr>
          <w:p w14:paraId="240368C5" w14:textId="77777777" w:rsidR="00A67506" w:rsidRDefault="00A67506" w:rsidP="00A67506">
            <w:pPr>
              <w:rPr>
                <w:rFonts w:ascii="Times New Roman" w:hAnsi="Times New Roman" w:cs="Times New Roman"/>
                <w:b/>
                <w:sz w:val="24"/>
                <w:szCs w:val="24"/>
              </w:rPr>
            </w:pPr>
            <w:r>
              <w:rPr>
                <w:rFonts w:ascii="Times New Roman" w:hAnsi="Times New Roman" w:cs="Times New Roman"/>
                <w:b/>
                <w:sz w:val="24"/>
                <w:szCs w:val="24"/>
              </w:rPr>
              <w:t>Koherence</w:t>
            </w:r>
          </w:p>
        </w:tc>
      </w:tr>
      <w:tr w:rsidR="00A67506" w14:paraId="0F699A78" w14:textId="77777777" w:rsidTr="00A67506">
        <w:tc>
          <w:tcPr>
            <w:tcW w:w="2430" w:type="dxa"/>
            <w:vMerge w:val="restart"/>
          </w:tcPr>
          <w:p w14:paraId="21BFC41E" w14:textId="77777777" w:rsidR="00A67506" w:rsidRPr="00AF2B91" w:rsidRDefault="00A67506" w:rsidP="00A67506">
            <w:pPr>
              <w:jc w:val="both"/>
              <w:rPr>
                <w:rFonts w:ascii="Times New Roman" w:hAnsi="Times New Roman" w:cs="Times New Roman"/>
                <w:sz w:val="24"/>
                <w:szCs w:val="24"/>
              </w:rPr>
            </w:pPr>
            <w:r w:rsidRPr="00AF2B91">
              <w:rPr>
                <w:rFonts w:ascii="Times New Roman" w:hAnsi="Times New Roman" w:cs="Times New Roman"/>
                <w:sz w:val="24"/>
                <w:szCs w:val="24"/>
              </w:rPr>
              <w:t xml:space="preserve">Zahrnutí </w:t>
            </w:r>
            <w:r w:rsidRPr="00D103F0">
              <w:rPr>
                <w:rFonts w:ascii="Times New Roman" w:hAnsi="Times New Roman" w:cs="Times New Roman"/>
                <w:sz w:val="24"/>
                <w:szCs w:val="24"/>
              </w:rPr>
              <w:t>poskytovatelů služeb spojených s virtuálními měnami mezi povinné osoby</w:t>
            </w:r>
          </w:p>
          <w:p w14:paraId="54D36F84" w14:textId="77777777" w:rsidR="00A67506" w:rsidRPr="00784F59" w:rsidRDefault="00A67506" w:rsidP="00A67506">
            <w:pPr>
              <w:jc w:val="both"/>
              <w:rPr>
                <w:rFonts w:ascii="Times New Roman" w:hAnsi="Times New Roman"/>
                <w:sz w:val="24"/>
                <w:szCs w:val="24"/>
              </w:rPr>
            </w:pPr>
          </w:p>
        </w:tc>
        <w:tc>
          <w:tcPr>
            <w:tcW w:w="2421" w:type="dxa"/>
          </w:tcPr>
          <w:p w14:paraId="4E69F2C5"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 xml:space="preserve">Nulová varianta </w:t>
            </w:r>
          </w:p>
          <w:p w14:paraId="519344E9" w14:textId="77777777" w:rsidR="00A67506" w:rsidRPr="00A67506" w:rsidRDefault="00A67506" w:rsidP="00A67506">
            <w:pPr>
              <w:rPr>
                <w:rFonts w:ascii="Times New Roman" w:hAnsi="Times New Roman" w:cs="Times New Roman"/>
                <w:sz w:val="20"/>
                <w:szCs w:val="20"/>
              </w:rPr>
            </w:pPr>
          </w:p>
        </w:tc>
        <w:tc>
          <w:tcPr>
            <w:tcW w:w="1479" w:type="dxa"/>
          </w:tcPr>
          <w:p w14:paraId="19C77437"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w:t>
            </w:r>
          </w:p>
        </w:tc>
        <w:tc>
          <w:tcPr>
            <w:tcW w:w="1479" w:type="dxa"/>
          </w:tcPr>
          <w:p w14:paraId="13C22618"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w:t>
            </w:r>
          </w:p>
        </w:tc>
        <w:tc>
          <w:tcPr>
            <w:tcW w:w="1479" w:type="dxa"/>
          </w:tcPr>
          <w:p w14:paraId="1A3C1E78"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w:t>
            </w:r>
          </w:p>
        </w:tc>
      </w:tr>
      <w:tr w:rsidR="00A67506" w14:paraId="208CBA96" w14:textId="77777777" w:rsidTr="00A67506">
        <w:tc>
          <w:tcPr>
            <w:tcW w:w="2430" w:type="dxa"/>
            <w:vMerge/>
          </w:tcPr>
          <w:p w14:paraId="61579BE6" w14:textId="77777777" w:rsidR="00A67506" w:rsidRDefault="00A67506" w:rsidP="00A67506">
            <w:pPr>
              <w:jc w:val="both"/>
              <w:rPr>
                <w:rFonts w:ascii="Times New Roman" w:hAnsi="Times New Roman" w:cs="Times New Roman"/>
                <w:sz w:val="24"/>
                <w:szCs w:val="24"/>
              </w:rPr>
            </w:pPr>
          </w:p>
        </w:tc>
        <w:tc>
          <w:tcPr>
            <w:tcW w:w="2421" w:type="dxa"/>
          </w:tcPr>
          <w:p w14:paraId="7904AA22"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Zahrnout poskytovatele služeb spojených s virtuálními měnami („směnárníky s virtuálními měnami“) mezi povinné osoby</w:t>
            </w:r>
          </w:p>
        </w:tc>
        <w:tc>
          <w:tcPr>
            <w:tcW w:w="1479" w:type="dxa"/>
          </w:tcPr>
          <w:p w14:paraId="42FFC38D"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w:t>
            </w:r>
          </w:p>
          <w:p w14:paraId="68FDD2F5" w14:textId="77777777" w:rsidR="00A67506" w:rsidRPr="00A67506" w:rsidRDefault="00A67506" w:rsidP="00A67506">
            <w:pPr>
              <w:rPr>
                <w:rFonts w:ascii="Times New Roman" w:hAnsi="Times New Roman" w:cs="Times New Roman"/>
                <w:sz w:val="20"/>
                <w:szCs w:val="20"/>
              </w:rPr>
            </w:pPr>
            <w:r>
              <w:rPr>
                <w:rFonts w:ascii="Times New Roman" w:hAnsi="Times New Roman" w:cs="Times New Roman"/>
                <w:sz w:val="20"/>
                <w:szCs w:val="20"/>
              </w:rPr>
              <w:t>Bude efektivnější úprava, která mezi povinné osoby zahrnuje nejen emitenty, ale i směnárníky, resp. zprostředkovatele obchodů s virtuální měnou</w:t>
            </w:r>
          </w:p>
        </w:tc>
        <w:tc>
          <w:tcPr>
            <w:tcW w:w="1479" w:type="dxa"/>
          </w:tcPr>
          <w:p w14:paraId="6C92FFEE" w14:textId="77777777" w:rsidR="00A67506" w:rsidRPr="00A67506" w:rsidRDefault="00A67506" w:rsidP="00A67506">
            <w:pPr>
              <w:rPr>
                <w:rFonts w:ascii="Times New Roman" w:hAnsi="Times New Roman" w:cs="Times New Roman"/>
                <w:sz w:val="20"/>
                <w:szCs w:val="20"/>
              </w:rPr>
            </w:pPr>
            <w:r>
              <w:rPr>
                <w:rFonts w:ascii="Times New Roman" w:hAnsi="Times New Roman" w:cs="Times New Roman"/>
                <w:sz w:val="20"/>
                <w:szCs w:val="20"/>
              </w:rPr>
              <w:t>+</w:t>
            </w:r>
          </w:p>
          <w:p w14:paraId="5E71421F"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 xml:space="preserve">Změna bude znamenat administrativní náklad povinných osob </w:t>
            </w:r>
          </w:p>
        </w:tc>
        <w:tc>
          <w:tcPr>
            <w:tcW w:w="1479" w:type="dxa"/>
          </w:tcPr>
          <w:p w14:paraId="3A02986C"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w:t>
            </w:r>
          </w:p>
          <w:p w14:paraId="109E3610" w14:textId="77777777" w:rsidR="00A67506" w:rsidRPr="00A67506" w:rsidRDefault="00A67506" w:rsidP="00A67506">
            <w:pPr>
              <w:rPr>
                <w:rFonts w:ascii="Times New Roman" w:hAnsi="Times New Roman" w:cs="Times New Roman"/>
                <w:sz w:val="20"/>
                <w:szCs w:val="20"/>
              </w:rPr>
            </w:pPr>
            <w:r w:rsidRPr="00A67506">
              <w:rPr>
                <w:rFonts w:ascii="Times New Roman" w:hAnsi="Times New Roman" w:cs="Times New Roman"/>
                <w:sz w:val="20"/>
                <w:szCs w:val="20"/>
              </w:rPr>
              <w:t>Koherentnější přístup k</w:t>
            </w:r>
            <w:r>
              <w:rPr>
                <w:rFonts w:ascii="Times New Roman" w:hAnsi="Times New Roman" w:cs="Times New Roman"/>
                <w:sz w:val="20"/>
                <w:szCs w:val="20"/>
              </w:rPr>
              <w:t> problému, zahrnuti mezi povinné osoby budou nejen emitenti, ale i směnárníci</w:t>
            </w:r>
          </w:p>
        </w:tc>
      </w:tr>
    </w:tbl>
    <w:p w14:paraId="51DEDDDD" w14:textId="77777777" w:rsidR="00BA05B6" w:rsidRDefault="00BA05B6" w:rsidP="00BA05B6">
      <w:pPr>
        <w:jc w:val="both"/>
        <w:rPr>
          <w:rFonts w:ascii="Times New Roman" w:hAnsi="Times New Roman" w:cs="Times New Roman"/>
          <w:sz w:val="24"/>
          <w:szCs w:val="24"/>
        </w:rPr>
      </w:pPr>
    </w:p>
    <w:p w14:paraId="6DF24B29" w14:textId="77777777" w:rsidR="003341F7" w:rsidRPr="003341F7" w:rsidRDefault="003341F7" w:rsidP="00BA05B6">
      <w:pPr>
        <w:jc w:val="both"/>
        <w:rPr>
          <w:rFonts w:ascii="Times New Roman" w:hAnsi="Times New Roman" w:cs="Times New Roman"/>
          <w:b/>
          <w:sz w:val="24"/>
          <w:szCs w:val="24"/>
        </w:rPr>
      </w:pPr>
      <w:r>
        <w:rPr>
          <w:rFonts w:ascii="Times New Roman" w:hAnsi="Times New Roman" w:cs="Times New Roman"/>
          <w:b/>
          <w:sz w:val="24"/>
          <w:szCs w:val="24"/>
        </w:rPr>
        <w:lastRenderedPageBreak/>
        <w:t>Závěr: Navrhuje se z</w:t>
      </w:r>
      <w:r w:rsidRPr="003341F7">
        <w:rPr>
          <w:rFonts w:ascii="Times New Roman" w:hAnsi="Times New Roman" w:cs="Times New Roman"/>
          <w:b/>
          <w:sz w:val="24"/>
          <w:szCs w:val="24"/>
        </w:rPr>
        <w:t>ahrnout poskytovatele služeb spojených s virtuálními měnami („směnárníky s virtuálními měnami“) mezi povinné osoby</w:t>
      </w:r>
      <w:r>
        <w:rPr>
          <w:rFonts w:ascii="Times New Roman" w:hAnsi="Times New Roman" w:cs="Times New Roman"/>
          <w:b/>
          <w:sz w:val="24"/>
          <w:szCs w:val="24"/>
        </w:rPr>
        <w:t>.</w:t>
      </w:r>
    </w:p>
    <w:p w14:paraId="033A68F9" w14:textId="77777777" w:rsidR="003341F7" w:rsidRDefault="003341F7" w:rsidP="00BA05B6">
      <w:pPr>
        <w:jc w:val="both"/>
        <w:rPr>
          <w:rFonts w:ascii="Times New Roman" w:hAnsi="Times New Roman" w:cs="Times New Roman"/>
          <w:sz w:val="24"/>
          <w:szCs w:val="24"/>
        </w:rPr>
      </w:pPr>
    </w:p>
    <w:p w14:paraId="72D9BC58" w14:textId="77777777" w:rsidR="00BA05B6" w:rsidRDefault="00BA05B6" w:rsidP="001B111C">
      <w:pPr>
        <w:pStyle w:val="Odstavecseseznamem"/>
        <w:numPr>
          <w:ilvl w:val="1"/>
          <w:numId w:val="1"/>
        </w:numPr>
        <w:ind w:left="432"/>
        <w:rPr>
          <w:rFonts w:ascii="Times New Roman" w:hAnsi="Times New Roman"/>
          <w:b/>
          <w:sz w:val="24"/>
          <w:szCs w:val="24"/>
        </w:rPr>
      </w:pPr>
      <w:r w:rsidRPr="001B111C">
        <w:rPr>
          <w:rFonts w:ascii="Times New Roman" w:hAnsi="Times New Roman"/>
          <w:b/>
          <w:sz w:val="24"/>
          <w:szCs w:val="24"/>
        </w:rPr>
        <w:t>Hodnocení rizik povinnými osobami</w:t>
      </w:r>
    </w:p>
    <w:p w14:paraId="532D5860" w14:textId="77777777" w:rsidR="004A498A" w:rsidRDefault="004A498A" w:rsidP="001B111C">
      <w:pPr>
        <w:pStyle w:val="Odstavecseseznamem"/>
        <w:ind w:left="432" w:firstLine="0"/>
        <w:rPr>
          <w:rFonts w:ascii="Times New Roman" w:hAnsi="Times New Roman"/>
          <w:b/>
          <w:sz w:val="24"/>
          <w:szCs w:val="24"/>
        </w:rPr>
      </w:pPr>
    </w:p>
    <w:p w14:paraId="13CD0EED" w14:textId="77777777" w:rsidR="004A498A" w:rsidRPr="001B111C" w:rsidRDefault="004A498A" w:rsidP="001B111C">
      <w:pPr>
        <w:pStyle w:val="Odstavecseseznamem"/>
        <w:ind w:left="432" w:firstLine="0"/>
        <w:rPr>
          <w:rFonts w:ascii="Times New Roman" w:hAnsi="Times New Roman"/>
          <w:b/>
          <w:sz w:val="24"/>
          <w:szCs w:val="24"/>
        </w:rPr>
      </w:pPr>
    </w:p>
    <w:p w14:paraId="261B7C66" w14:textId="77777777" w:rsidR="004E034D" w:rsidRDefault="00762E17" w:rsidP="00BA05B6">
      <w:pPr>
        <w:jc w:val="both"/>
        <w:rPr>
          <w:rFonts w:ascii="Times New Roman" w:hAnsi="Times New Roman" w:cs="Times New Roman"/>
          <w:sz w:val="24"/>
          <w:szCs w:val="24"/>
        </w:rPr>
      </w:pPr>
      <w:r>
        <w:rPr>
          <w:rFonts w:ascii="Times New Roman" w:hAnsi="Times New Roman" w:cs="Times New Roman"/>
          <w:sz w:val="24"/>
          <w:szCs w:val="24"/>
        </w:rPr>
        <w:t>Čtvrtá AML směrnice je</w:t>
      </w:r>
      <w:r w:rsidR="00C0003E">
        <w:rPr>
          <w:rFonts w:ascii="Times New Roman" w:hAnsi="Times New Roman" w:cs="Times New Roman"/>
          <w:sz w:val="24"/>
          <w:szCs w:val="24"/>
        </w:rPr>
        <w:t>dnoznačně požaduje, aby povinné osoby prováděly hodnocení rizik (článek 8). Nulovou variantu považujeme za pouze teoretickou.</w:t>
      </w:r>
    </w:p>
    <w:p w14:paraId="07802C5A" w14:textId="77777777" w:rsidR="00C0003E" w:rsidRDefault="00C0003E" w:rsidP="00BA05B6">
      <w:pPr>
        <w:jc w:val="both"/>
        <w:rPr>
          <w:rFonts w:ascii="Times New Roman" w:hAnsi="Times New Roman" w:cs="Times New Roman"/>
          <w:sz w:val="24"/>
          <w:szCs w:val="24"/>
        </w:rPr>
      </w:pPr>
      <w:r>
        <w:rPr>
          <w:rFonts w:ascii="Times New Roman" w:hAnsi="Times New Roman" w:cs="Times New Roman"/>
          <w:sz w:val="24"/>
          <w:szCs w:val="24"/>
        </w:rPr>
        <w:t xml:space="preserve">Povinným osobám v souvislosti s hodnocením rizik vznikají náklady. </w:t>
      </w:r>
      <w:r w:rsidR="00E64849">
        <w:rPr>
          <w:rFonts w:ascii="Times New Roman" w:hAnsi="Times New Roman" w:cs="Times New Roman"/>
          <w:sz w:val="24"/>
          <w:szCs w:val="24"/>
        </w:rPr>
        <w:t>Pokusy o kvantifikaci těchto nákladů mají tradičně problém v tom, že a) neodlišují obecně náklady compliance (souladu s regulatorním prostředím) od specificky nákladů AML compliance, b) obtížně odlišují náklady AML compliance od běžné identifikace obchodních rizik, které musí úvěrové instituce provádět bez ohledu na AML legislativu</w:t>
      </w:r>
      <w:r w:rsidR="002F59F0">
        <w:rPr>
          <w:rFonts w:ascii="Times New Roman" w:hAnsi="Times New Roman" w:cs="Times New Roman"/>
          <w:sz w:val="24"/>
          <w:szCs w:val="24"/>
        </w:rPr>
        <w:t>.</w:t>
      </w:r>
      <w:r w:rsidR="002F59F0">
        <w:rPr>
          <w:rStyle w:val="Znakapoznpodarou"/>
          <w:rFonts w:ascii="Times New Roman" w:hAnsi="Times New Roman" w:cs="Times New Roman"/>
          <w:sz w:val="24"/>
          <w:szCs w:val="24"/>
        </w:rPr>
        <w:footnoteReference w:id="9"/>
      </w:r>
    </w:p>
    <w:p w14:paraId="5B321D42" w14:textId="77777777" w:rsidR="00C0003E" w:rsidRDefault="00C0003E" w:rsidP="00BA05B6">
      <w:pPr>
        <w:jc w:val="both"/>
        <w:rPr>
          <w:rFonts w:ascii="Times New Roman" w:hAnsi="Times New Roman" w:cs="Times New Roman"/>
          <w:sz w:val="24"/>
          <w:szCs w:val="24"/>
        </w:rPr>
      </w:pPr>
      <w:r>
        <w:rPr>
          <w:rFonts w:ascii="Times New Roman" w:hAnsi="Times New Roman" w:cs="Times New Roman"/>
          <w:sz w:val="24"/>
          <w:szCs w:val="24"/>
        </w:rPr>
        <w:t>Řada povinných osob již hodnocení rizik provádí a nové požadavky zákona jen potvrdí jejich dosavadní praxi. V tomto smyslu lze chápat úpravu zákona i tak, že v tomto ohledu nastaví povinným osobám rovné podmínky, tj. povinné osoby, které dosud rizika nehodnotily, nebudou moci neoprávněně těžit z</w:t>
      </w:r>
      <w:r w:rsidR="00E64849">
        <w:rPr>
          <w:rFonts w:ascii="Times New Roman" w:hAnsi="Times New Roman" w:cs="Times New Roman"/>
          <w:sz w:val="24"/>
          <w:szCs w:val="24"/>
        </w:rPr>
        <w:t>e svých</w:t>
      </w:r>
      <w:r>
        <w:rPr>
          <w:rFonts w:ascii="Times New Roman" w:hAnsi="Times New Roman" w:cs="Times New Roman"/>
          <w:sz w:val="24"/>
          <w:szCs w:val="24"/>
        </w:rPr>
        <w:t xml:space="preserve"> nižších </w:t>
      </w:r>
      <w:r w:rsidR="00E64849">
        <w:rPr>
          <w:rFonts w:ascii="Times New Roman" w:hAnsi="Times New Roman" w:cs="Times New Roman"/>
          <w:sz w:val="24"/>
          <w:szCs w:val="24"/>
        </w:rPr>
        <w:t>nákladů (vnitrostátně bude dosaženo tzv. „</w:t>
      </w:r>
      <w:proofErr w:type="spellStart"/>
      <w:r w:rsidR="00E64849">
        <w:rPr>
          <w:rFonts w:ascii="Times New Roman" w:hAnsi="Times New Roman" w:cs="Times New Roman"/>
          <w:sz w:val="24"/>
          <w:szCs w:val="24"/>
        </w:rPr>
        <w:t>level</w:t>
      </w:r>
      <w:proofErr w:type="spellEnd"/>
      <w:r w:rsidR="00E64849">
        <w:rPr>
          <w:rFonts w:ascii="Times New Roman" w:hAnsi="Times New Roman" w:cs="Times New Roman"/>
          <w:sz w:val="24"/>
          <w:szCs w:val="24"/>
        </w:rPr>
        <w:t xml:space="preserve"> </w:t>
      </w:r>
      <w:proofErr w:type="spellStart"/>
      <w:r w:rsidR="00E64849">
        <w:rPr>
          <w:rFonts w:ascii="Times New Roman" w:hAnsi="Times New Roman" w:cs="Times New Roman"/>
          <w:sz w:val="24"/>
          <w:szCs w:val="24"/>
        </w:rPr>
        <w:t>playing</w:t>
      </w:r>
      <w:proofErr w:type="spellEnd"/>
      <w:r w:rsidR="00E64849">
        <w:rPr>
          <w:rFonts w:ascii="Times New Roman" w:hAnsi="Times New Roman" w:cs="Times New Roman"/>
          <w:sz w:val="24"/>
          <w:szCs w:val="24"/>
        </w:rPr>
        <w:t xml:space="preserve"> </w:t>
      </w:r>
      <w:proofErr w:type="spellStart"/>
      <w:r w:rsidR="00E64849">
        <w:rPr>
          <w:rFonts w:ascii="Times New Roman" w:hAnsi="Times New Roman" w:cs="Times New Roman"/>
          <w:sz w:val="24"/>
          <w:szCs w:val="24"/>
        </w:rPr>
        <w:t>field</w:t>
      </w:r>
      <w:proofErr w:type="spellEnd"/>
      <w:r w:rsidR="00E64849">
        <w:rPr>
          <w:rFonts w:ascii="Times New Roman" w:hAnsi="Times New Roman" w:cs="Times New Roman"/>
          <w:sz w:val="24"/>
          <w:szCs w:val="24"/>
        </w:rPr>
        <w:t>“).</w:t>
      </w:r>
    </w:p>
    <w:p w14:paraId="2C995F65" w14:textId="77777777" w:rsidR="0002198D" w:rsidRPr="00C0003E" w:rsidRDefault="0002198D" w:rsidP="00BA05B6">
      <w:pPr>
        <w:jc w:val="both"/>
        <w:rPr>
          <w:rFonts w:ascii="Times New Roman" w:hAnsi="Times New Roman" w:cs="Times New Roman"/>
          <w:sz w:val="24"/>
          <w:szCs w:val="24"/>
        </w:rPr>
      </w:pPr>
      <w:r>
        <w:rPr>
          <w:rFonts w:ascii="Times New Roman" w:hAnsi="Times New Roman" w:cs="Times New Roman"/>
          <w:sz w:val="24"/>
          <w:szCs w:val="24"/>
        </w:rPr>
        <w:t xml:space="preserve">Přínosem přístupu založeného na hodnocení rizik </w:t>
      </w:r>
      <w:r w:rsidR="00316494">
        <w:rPr>
          <w:rFonts w:ascii="Times New Roman" w:hAnsi="Times New Roman" w:cs="Times New Roman"/>
          <w:sz w:val="24"/>
          <w:szCs w:val="24"/>
        </w:rPr>
        <w:t xml:space="preserve">(RBA) </w:t>
      </w:r>
      <w:r>
        <w:rPr>
          <w:rFonts w:ascii="Times New Roman" w:hAnsi="Times New Roman" w:cs="Times New Roman"/>
          <w:sz w:val="24"/>
          <w:szCs w:val="24"/>
        </w:rPr>
        <w:t>bude jednak účinnější boj s praním špinavých peněz, resp. financováním terorismu, jako takový. Specifickým přínosem pak bude efektivnější alokace zdrojů povinných osob, které tak budou moci zaměřit zdroje na rizikovější klienty a transakce.</w:t>
      </w:r>
    </w:p>
    <w:tbl>
      <w:tblPr>
        <w:tblStyle w:val="Mkatabulky"/>
        <w:tblW w:w="0" w:type="auto"/>
        <w:tblLook w:val="04A0" w:firstRow="1" w:lastRow="0" w:firstColumn="1" w:lastColumn="0" w:noHBand="0" w:noVBand="1"/>
      </w:tblPr>
      <w:tblGrid>
        <w:gridCol w:w="2256"/>
        <w:gridCol w:w="2228"/>
        <w:gridCol w:w="1526"/>
        <w:gridCol w:w="1526"/>
        <w:gridCol w:w="1526"/>
      </w:tblGrid>
      <w:tr w:rsidR="0002198D" w14:paraId="197FF552" w14:textId="77777777" w:rsidTr="0002198D">
        <w:tc>
          <w:tcPr>
            <w:tcW w:w="2256" w:type="dxa"/>
            <w:shd w:val="clear" w:color="auto" w:fill="DEEAF6" w:themeFill="accent1" w:themeFillTint="33"/>
          </w:tcPr>
          <w:p w14:paraId="12ED672F" w14:textId="77777777" w:rsidR="0002198D" w:rsidRPr="00093F8B" w:rsidRDefault="0002198D" w:rsidP="00851432">
            <w:pPr>
              <w:rPr>
                <w:rFonts w:ascii="Times New Roman" w:hAnsi="Times New Roman" w:cs="Times New Roman"/>
                <w:b/>
                <w:sz w:val="24"/>
                <w:szCs w:val="24"/>
              </w:rPr>
            </w:pPr>
            <w:r>
              <w:rPr>
                <w:rFonts w:ascii="Times New Roman" w:hAnsi="Times New Roman" w:cs="Times New Roman"/>
                <w:b/>
                <w:sz w:val="24"/>
                <w:szCs w:val="24"/>
              </w:rPr>
              <w:t>Téma</w:t>
            </w:r>
          </w:p>
        </w:tc>
        <w:tc>
          <w:tcPr>
            <w:tcW w:w="2228" w:type="dxa"/>
            <w:shd w:val="clear" w:color="auto" w:fill="DEEAF6" w:themeFill="accent1" w:themeFillTint="33"/>
          </w:tcPr>
          <w:p w14:paraId="389C201C" w14:textId="77777777" w:rsidR="0002198D" w:rsidRPr="00093F8B" w:rsidRDefault="0002198D" w:rsidP="00851432">
            <w:pPr>
              <w:rPr>
                <w:rFonts w:ascii="Times New Roman" w:hAnsi="Times New Roman" w:cs="Times New Roman"/>
                <w:b/>
                <w:sz w:val="24"/>
                <w:szCs w:val="24"/>
              </w:rPr>
            </w:pPr>
            <w:r>
              <w:rPr>
                <w:rFonts w:ascii="Times New Roman" w:hAnsi="Times New Roman" w:cs="Times New Roman"/>
                <w:b/>
                <w:sz w:val="24"/>
                <w:szCs w:val="24"/>
              </w:rPr>
              <w:t>Varianty</w:t>
            </w:r>
          </w:p>
        </w:tc>
        <w:tc>
          <w:tcPr>
            <w:tcW w:w="1526" w:type="dxa"/>
            <w:shd w:val="clear" w:color="auto" w:fill="DEEAF6" w:themeFill="accent1" w:themeFillTint="33"/>
          </w:tcPr>
          <w:p w14:paraId="5888A830" w14:textId="77777777" w:rsidR="0002198D" w:rsidRDefault="0002198D" w:rsidP="00851432">
            <w:pPr>
              <w:rPr>
                <w:rFonts w:ascii="Times New Roman" w:hAnsi="Times New Roman" w:cs="Times New Roman"/>
                <w:b/>
                <w:sz w:val="24"/>
                <w:szCs w:val="24"/>
              </w:rPr>
            </w:pPr>
            <w:r>
              <w:rPr>
                <w:rFonts w:ascii="Times New Roman" w:hAnsi="Times New Roman" w:cs="Times New Roman"/>
                <w:b/>
                <w:sz w:val="24"/>
                <w:szCs w:val="24"/>
              </w:rPr>
              <w:t xml:space="preserve">Efektivita </w:t>
            </w:r>
          </w:p>
        </w:tc>
        <w:tc>
          <w:tcPr>
            <w:tcW w:w="1526" w:type="dxa"/>
            <w:shd w:val="clear" w:color="auto" w:fill="DEEAF6" w:themeFill="accent1" w:themeFillTint="33"/>
          </w:tcPr>
          <w:p w14:paraId="0DA9275C" w14:textId="77777777" w:rsidR="0002198D" w:rsidRDefault="0002198D" w:rsidP="00851432">
            <w:pPr>
              <w:rPr>
                <w:rFonts w:ascii="Times New Roman" w:hAnsi="Times New Roman" w:cs="Times New Roman"/>
                <w:b/>
                <w:sz w:val="24"/>
                <w:szCs w:val="24"/>
              </w:rPr>
            </w:pPr>
            <w:r>
              <w:rPr>
                <w:rFonts w:ascii="Times New Roman" w:hAnsi="Times New Roman" w:cs="Times New Roman"/>
                <w:b/>
                <w:sz w:val="24"/>
                <w:szCs w:val="24"/>
              </w:rPr>
              <w:t>Nákladnost</w:t>
            </w:r>
          </w:p>
        </w:tc>
        <w:tc>
          <w:tcPr>
            <w:tcW w:w="1526" w:type="dxa"/>
            <w:shd w:val="clear" w:color="auto" w:fill="DEEAF6" w:themeFill="accent1" w:themeFillTint="33"/>
          </w:tcPr>
          <w:p w14:paraId="2D57B9CF" w14:textId="77777777" w:rsidR="0002198D" w:rsidRDefault="0002198D" w:rsidP="00851432">
            <w:pPr>
              <w:rPr>
                <w:rFonts w:ascii="Times New Roman" w:hAnsi="Times New Roman" w:cs="Times New Roman"/>
                <w:b/>
                <w:sz w:val="24"/>
                <w:szCs w:val="24"/>
              </w:rPr>
            </w:pPr>
            <w:r>
              <w:rPr>
                <w:rFonts w:ascii="Times New Roman" w:hAnsi="Times New Roman" w:cs="Times New Roman"/>
                <w:b/>
                <w:sz w:val="24"/>
                <w:szCs w:val="24"/>
              </w:rPr>
              <w:t>Koherence</w:t>
            </w:r>
          </w:p>
        </w:tc>
      </w:tr>
      <w:tr w:rsidR="0002198D" w14:paraId="6E431873" w14:textId="77777777" w:rsidTr="0002198D">
        <w:tc>
          <w:tcPr>
            <w:tcW w:w="2256" w:type="dxa"/>
            <w:vMerge w:val="restart"/>
          </w:tcPr>
          <w:p w14:paraId="5CF30A54" w14:textId="77777777" w:rsidR="0002198D" w:rsidRPr="0030396B" w:rsidRDefault="0002198D" w:rsidP="00851432">
            <w:pPr>
              <w:jc w:val="both"/>
              <w:rPr>
                <w:rFonts w:ascii="Times New Roman" w:hAnsi="Times New Roman" w:cs="Times New Roman"/>
                <w:sz w:val="24"/>
                <w:szCs w:val="24"/>
              </w:rPr>
            </w:pPr>
            <w:r w:rsidRPr="0030396B">
              <w:rPr>
                <w:rFonts w:ascii="Times New Roman" w:hAnsi="Times New Roman" w:cs="Times New Roman"/>
                <w:sz w:val="24"/>
                <w:szCs w:val="24"/>
              </w:rPr>
              <w:t>Hodnocení rizik povinnými osobami</w:t>
            </w:r>
          </w:p>
          <w:p w14:paraId="72E0138D" w14:textId="77777777" w:rsidR="0002198D" w:rsidRPr="00784F59" w:rsidRDefault="0002198D" w:rsidP="00851432">
            <w:pPr>
              <w:jc w:val="both"/>
              <w:rPr>
                <w:rFonts w:ascii="Times New Roman" w:hAnsi="Times New Roman"/>
                <w:sz w:val="24"/>
                <w:szCs w:val="24"/>
              </w:rPr>
            </w:pPr>
          </w:p>
        </w:tc>
        <w:tc>
          <w:tcPr>
            <w:tcW w:w="2228" w:type="dxa"/>
          </w:tcPr>
          <w:p w14:paraId="195AFCAA" w14:textId="77777777" w:rsidR="0002198D" w:rsidRDefault="0002198D" w:rsidP="00851432">
            <w:pPr>
              <w:rPr>
                <w:rFonts w:ascii="Times New Roman" w:hAnsi="Times New Roman" w:cs="Times New Roman"/>
                <w:sz w:val="24"/>
                <w:szCs w:val="24"/>
              </w:rPr>
            </w:pPr>
            <w:r>
              <w:rPr>
                <w:rFonts w:ascii="Times New Roman" w:hAnsi="Times New Roman" w:cs="Times New Roman"/>
                <w:sz w:val="24"/>
                <w:szCs w:val="24"/>
              </w:rPr>
              <w:t>Nulová varianta (pouze formální)</w:t>
            </w:r>
          </w:p>
          <w:p w14:paraId="529BC3B9" w14:textId="77777777" w:rsidR="0002198D" w:rsidRDefault="0002198D" w:rsidP="00851432">
            <w:pPr>
              <w:rPr>
                <w:rFonts w:ascii="Times New Roman" w:hAnsi="Times New Roman" w:cs="Times New Roman"/>
                <w:sz w:val="24"/>
                <w:szCs w:val="24"/>
              </w:rPr>
            </w:pPr>
          </w:p>
        </w:tc>
        <w:tc>
          <w:tcPr>
            <w:tcW w:w="1526" w:type="dxa"/>
          </w:tcPr>
          <w:p w14:paraId="3CB0725D" w14:textId="77777777" w:rsidR="0002198D" w:rsidRPr="0002198D" w:rsidRDefault="0002198D" w:rsidP="00851432">
            <w:pPr>
              <w:rPr>
                <w:rFonts w:ascii="Times New Roman" w:hAnsi="Times New Roman" w:cs="Times New Roman"/>
                <w:sz w:val="20"/>
                <w:szCs w:val="20"/>
              </w:rPr>
            </w:pPr>
            <w:r w:rsidRPr="0002198D">
              <w:rPr>
                <w:rFonts w:ascii="Times New Roman" w:hAnsi="Times New Roman" w:cs="Times New Roman"/>
                <w:sz w:val="20"/>
                <w:szCs w:val="20"/>
              </w:rPr>
              <w:t>-</w:t>
            </w:r>
          </w:p>
          <w:p w14:paraId="582031AD" w14:textId="77777777" w:rsidR="0002198D" w:rsidRPr="0002198D" w:rsidRDefault="0002198D" w:rsidP="00851432">
            <w:pPr>
              <w:rPr>
                <w:rFonts w:ascii="Times New Roman" w:hAnsi="Times New Roman" w:cs="Times New Roman"/>
                <w:sz w:val="20"/>
                <w:szCs w:val="20"/>
              </w:rPr>
            </w:pPr>
            <w:r w:rsidRPr="0002198D">
              <w:rPr>
                <w:rFonts w:ascii="Times New Roman" w:hAnsi="Times New Roman" w:cs="Times New Roman"/>
                <w:sz w:val="20"/>
                <w:szCs w:val="20"/>
              </w:rPr>
              <w:t xml:space="preserve"> Neefektivní postup osob, které nemají zavedeno hodnocení rizik</w:t>
            </w:r>
          </w:p>
        </w:tc>
        <w:tc>
          <w:tcPr>
            <w:tcW w:w="1526" w:type="dxa"/>
          </w:tcPr>
          <w:p w14:paraId="661E9628" w14:textId="77777777" w:rsidR="0002198D" w:rsidRDefault="00316494" w:rsidP="00851432">
            <w:pPr>
              <w:rPr>
                <w:rFonts w:ascii="Times New Roman" w:hAnsi="Times New Roman" w:cs="Times New Roman"/>
                <w:sz w:val="24"/>
                <w:szCs w:val="24"/>
              </w:rPr>
            </w:pPr>
            <w:r>
              <w:rPr>
                <w:rFonts w:ascii="Times New Roman" w:hAnsi="Times New Roman" w:cs="Times New Roman"/>
                <w:sz w:val="24"/>
                <w:szCs w:val="24"/>
              </w:rPr>
              <w:t>0</w:t>
            </w:r>
          </w:p>
        </w:tc>
        <w:tc>
          <w:tcPr>
            <w:tcW w:w="1526" w:type="dxa"/>
          </w:tcPr>
          <w:p w14:paraId="3E737458" w14:textId="77777777" w:rsidR="0002198D" w:rsidRDefault="0002198D" w:rsidP="00851432">
            <w:pPr>
              <w:rPr>
                <w:rFonts w:ascii="Times New Roman" w:hAnsi="Times New Roman" w:cs="Times New Roman"/>
                <w:sz w:val="24"/>
                <w:szCs w:val="24"/>
              </w:rPr>
            </w:pPr>
            <w:r>
              <w:rPr>
                <w:rFonts w:ascii="Times New Roman" w:hAnsi="Times New Roman" w:cs="Times New Roman"/>
                <w:sz w:val="24"/>
                <w:szCs w:val="24"/>
              </w:rPr>
              <w:t>n/a</w:t>
            </w:r>
          </w:p>
        </w:tc>
      </w:tr>
      <w:tr w:rsidR="0002198D" w14:paraId="31A0A42F" w14:textId="77777777" w:rsidTr="0002198D">
        <w:tc>
          <w:tcPr>
            <w:tcW w:w="2256" w:type="dxa"/>
            <w:vMerge/>
          </w:tcPr>
          <w:p w14:paraId="1F0DF4BB" w14:textId="77777777" w:rsidR="0002198D" w:rsidRDefault="0002198D" w:rsidP="00851432">
            <w:pPr>
              <w:jc w:val="both"/>
              <w:rPr>
                <w:rFonts w:ascii="Times New Roman" w:hAnsi="Times New Roman" w:cs="Times New Roman"/>
                <w:sz w:val="24"/>
                <w:szCs w:val="24"/>
              </w:rPr>
            </w:pPr>
          </w:p>
        </w:tc>
        <w:tc>
          <w:tcPr>
            <w:tcW w:w="2228" w:type="dxa"/>
          </w:tcPr>
          <w:p w14:paraId="757274A2" w14:textId="77777777" w:rsidR="0002198D" w:rsidRDefault="0002198D" w:rsidP="0002198D">
            <w:pPr>
              <w:rPr>
                <w:rFonts w:ascii="Times New Roman" w:hAnsi="Times New Roman" w:cs="Times New Roman"/>
                <w:sz w:val="24"/>
                <w:szCs w:val="24"/>
              </w:rPr>
            </w:pPr>
            <w:r>
              <w:rPr>
                <w:rFonts w:ascii="Times New Roman" w:hAnsi="Times New Roman" w:cs="Times New Roman"/>
                <w:sz w:val="24"/>
                <w:szCs w:val="24"/>
              </w:rPr>
              <w:t xml:space="preserve">Stanovit povinným osobám povinnosti hodnocení rizik </w:t>
            </w:r>
          </w:p>
        </w:tc>
        <w:tc>
          <w:tcPr>
            <w:tcW w:w="1526" w:type="dxa"/>
          </w:tcPr>
          <w:p w14:paraId="42F16EBA" w14:textId="77777777" w:rsidR="0002198D" w:rsidRDefault="00316494" w:rsidP="00851432">
            <w:pPr>
              <w:rPr>
                <w:rFonts w:ascii="Times New Roman" w:hAnsi="Times New Roman" w:cs="Times New Roman"/>
                <w:sz w:val="24"/>
                <w:szCs w:val="24"/>
              </w:rPr>
            </w:pPr>
            <w:r>
              <w:rPr>
                <w:rFonts w:ascii="Times New Roman" w:hAnsi="Times New Roman" w:cs="Times New Roman"/>
                <w:sz w:val="24"/>
                <w:szCs w:val="24"/>
              </w:rPr>
              <w:t>+</w:t>
            </w:r>
          </w:p>
          <w:p w14:paraId="4331A36C" w14:textId="77777777" w:rsidR="00316494" w:rsidRPr="00316494" w:rsidRDefault="00316494" w:rsidP="00851432">
            <w:pPr>
              <w:rPr>
                <w:rFonts w:ascii="Times New Roman" w:hAnsi="Times New Roman" w:cs="Times New Roman"/>
                <w:sz w:val="20"/>
                <w:szCs w:val="20"/>
              </w:rPr>
            </w:pPr>
            <w:r w:rsidRPr="00316494">
              <w:rPr>
                <w:rFonts w:ascii="Times New Roman" w:hAnsi="Times New Roman" w:cs="Times New Roman"/>
                <w:sz w:val="20"/>
                <w:szCs w:val="20"/>
              </w:rPr>
              <w:t>Efektivnější alokace zdrojů povinných osob.</w:t>
            </w:r>
          </w:p>
          <w:p w14:paraId="62573582" w14:textId="33D73541" w:rsidR="00316494" w:rsidRDefault="001B111C" w:rsidP="00316494">
            <w:pPr>
              <w:rPr>
                <w:rFonts w:ascii="Times New Roman" w:hAnsi="Times New Roman" w:cs="Times New Roman"/>
                <w:sz w:val="24"/>
                <w:szCs w:val="24"/>
              </w:rPr>
            </w:pPr>
            <w:r>
              <w:rPr>
                <w:rFonts w:ascii="Times New Roman" w:hAnsi="Times New Roman" w:cs="Times New Roman"/>
                <w:sz w:val="20"/>
                <w:szCs w:val="20"/>
              </w:rPr>
              <w:lastRenderedPageBreak/>
              <w:t>Efektivnější AML a CT</w:t>
            </w:r>
            <w:r w:rsidR="00316494" w:rsidRPr="00316494">
              <w:rPr>
                <w:rFonts w:ascii="Times New Roman" w:hAnsi="Times New Roman" w:cs="Times New Roman"/>
                <w:sz w:val="20"/>
                <w:szCs w:val="20"/>
              </w:rPr>
              <w:t>F postup.</w:t>
            </w:r>
          </w:p>
        </w:tc>
        <w:tc>
          <w:tcPr>
            <w:tcW w:w="1526" w:type="dxa"/>
          </w:tcPr>
          <w:p w14:paraId="46AC9CCF" w14:textId="77777777" w:rsidR="0002198D" w:rsidRDefault="00316494" w:rsidP="00851432">
            <w:pPr>
              <w:rPr>
                <w:rFonts w:ascii="Times New Roman" w:hAnsi="Times New Roman" w:cs="Times New Roman"/>
                <w:sz w:val="24"/>
                <w:szCs w:val="24"/>
              </w:rPr>
            </w:pPr>
            <w:r>
              <w:rPr>
                <w:rFonts w:ascii="Times New Roman" w:hAnsi="Times New Roman" w:cs="Times New Roman"/>
                <w:sz w:val="24"/>
                <w:szCs w:val="24"/>
              </w:rPr>
              <w:lastRenderedPageBreak/>
              <w:t>+</w:t>
            </w:r>
          </w:p>
          <w:p w14:paraId="67089035" w14:textId="77777777" w:rsidR="00316494" w:rsidRPr="00316494" w:rsidRDefault="00316494" w:rsidP="00851432">
            <w:pPr>
              <w:rPr>
                <w:rFonts w:ascii="Times New Roman" w:hAnsi="Times New Roman" w:cs="Times New Roman"/>
                <w:sz w:val="20"/>
                <w:szCs w:val="20"/>
              </w:rPr>
            </w:pPr>
            <w:r>
              <w:rPr>
                <w:rFonts w:ascii="Times New Roman" w:hAnsi="Times New Roman" w:cs="Times New Roman"/>
                <w:sz w:val="20"/>
                <w:szCs w:val="20"/>
              </w:rPr>
              <w:t xml:space="preserve">Těm povinným osobám, které dosud nemají RBA, vzniknou </w:t>
            </w:r>
            <w:r>
              <w:rPr>
                <w:rFonts w:ascii="Times New Roman" w:hAnsi="Times New Roman" w:cs="Times New Roman"/>
                <w:sz w:val="20"/>
                <w:szCs w:val="20"/>
              </w:rPr>
              <w:lastRenderedPageBreak/>
              <w:t>náklady.</w:t>
            </w:r>
          </w:p>
        </w:tc>
        <w:tc>
          <w:tcPr>
            <w:tcW w:w="1526" w:type="dxa"/>
          </w:tcPr>
          <w:p w14:paraId="4E912761" w14:textId="77777777" w:rsidR="0002198D" w:rsidRPr="0002198D" w:rsidRDefault="0002198D" w:rsidP="00851432">
            <w:pPr>
              <w:rPr>
                <w:rFonts w:ascii="Times New Roman" w:hAnsi="Times New Roman" w:cs="Times New Roman"/>
                <w:sz w:val="20"/>
                <w:szCs w:val="20"/>
              </w:rPr>
            </w:pPr>
          </w:p>
        </w:tc>
      </w:tr>
    </w:tbl>
    <w:p w14:paraId="7AC760C8" w14:textId="77777777" w:rsidR="00BA05B6" w:rsidRDefault="00BA05B6" w:rsidP="00BA05B6">
      <w:pPr>
        <w:jc w:val="both"/>
        <w:rPr>
          <w:rFonts w:ascii="Times New Roman" w:hAnsi="Times New Roman" w:cs="Times New Roman"/>
          <w:sz w:val="24"/>
          <w:szCs w:val="24"/>
        </w:rPr>
      </w:pPr>
    </w:p>
    <w:p w14:paraId="4DD8E452" w14:textId="77777777" w:rsidR="004C3108" w:rsidRPr="002B72DD" w:rsidRDefault="002B72DD" w:rsidP="00BA05B6">
      <w:pPr>
        <w:jc w:val="both"/>
        <w:rPr>
          <w:rFonts w:ascii="Times New Roman" w:hAnsi="Times New Roman" w:cs="Times New Roman"/>
          <w:b/>
          <w:sz w:val="24"/>
          <w:szCs w:val="24"/>
        </w:rPr>
      </w:pPr>
      <w:r>
        <w:rPr>
          <w:rFonts w:ascii="Times New Roman" w:hAnsi="Times New Roman" w:cs="Times New Roman"/>
          <w:b/>
          <w:sz w:val="24"/>
          <w:szCs w:val="24"/>
        </w:rPr>
        <w:t xml:space="preserve">Závěr: Navrhuje se uložit povinným osobám, </w:t>
      </w:r>
      <w:r w:rsidRPr="002B72DD">
        <w:rPr>
          <w:rFonts w:ascii="Times New Roman" w:hAnsi="Times New Roman" w:cs="Times New Roman"/>
          <w:b/>
          <w:sz w:val="24"/>
          <w:szCs w:val="24"/>
        </w:rPr>
        <w:t>aby prováděly hodnocení rizik.</w:t>
      </w:r>
    </w:p>
    <w:p w14:paraId="14BC0DCF" w14:textId="77777777" w:rsidR="004C3108" w:rsidRDefault="004C3108" w:rsidP="00BA05B6">
      <w:pPr>
        <w:jc w:val="both"/>
        <w:rPr>
          <w:rFonts w:ascii="Times New Roman" w:hAnsi="Times New Roman" w:cs="Times New Roman"/>
          <w:sz w:val="24"/>
          <w:szCs w:val="24"/>
        </w:rPr>
      </w:pPr>
    </w:p>
    <w:p w14:paraId="296EF51C" w14:textId="77777777" w:rsidR="00AB5AF1" w:rsidRDefault="00AB5AF1" w:rsidP="00AB5AF1">
      <w:pPr>
        <w:pStyle w:val="Odstavecseseznamem"/>
        <w:numPr>
          <w:ilvl w:val="1"/>
          <w:numId w:val="1"/>
        </w:numPr>
        <w:ind w:left="432"/>
        <w:rPr>
          <w:rFonts w:ascii="Times New Roman" w:hAnsi="Times New Roman"/>
          <w:b/>
          <w:sz w:val="24"/>
          <w:szCs w:val="24"/>
        </w:rPr>
      </w:pPr>
      <w:r w:rsidRPr="005D7D85">
        <w:rPr>
          <w:rFonts w:ascii="Times New Roman" w:hAnsi="Times New Roman"/>
          <w:b/>
          <w:sz w:val="24"/>
          <w:szCs w:val="24"/>
        </w:rPr>
        <w:t>Informace o skutečných vlastnících právnických osob</w:t>
      </w:r>
    </w:p>
    <w:p w14:paraId="20BE0106" w14:textId="32E2CCB9" w:rsidR="00AB5AF1" w:rsidRDefault="00AB5AF1" w:rsidP="001B111C">
      <w:pPr>
        <w:pStyle w:val="Odstavecseseznamem"/>
        <w:ind w:left="432" w:firstLine="0"/>
        <w:rPr>
          <w:rFonts w:ascii="Times New Roman" w:hAnsi="Times New Roman"/>
          <w:sz w:val="24"/>
          <w:szCs w:val="24"/>
        </w:rPr>
      </w:pPr>
      <w:r>
        <w:rPr>
          <w:rFonts w:ascii="Times New Roman" w:hAnsi="Times New Roman"/>
          <w:sz w:val="24"/>
          <w:szCs w:val="24"/>
        </w:rPr>
        <w:t xml:space="preserve">Viz samostatná zpráva. </w:t>
      </w:r>
    </w:p>
    <w:p w14:paraId="343A1274" w14:textId="77777777" w:rsidR="00AB5AF1" w:rsidRPr="001B111C" w:rsidRDefault="00AB5AF1" w:rsidP="001B111C">
      <w:pPr>
        <w:pStyle w:val="Odstavecseseznamem"/>
        <w:ind w:left="432" w:firstLine="0"/>
        <w:rPr>
          <w:rFonts w:ascii="Times New Roman" w:hAnsi="Times New Roman"/>
          <w:sz w:val="24"/>
          <w:szCs w:val="24"/>
        </w:rPr>
      </w:pPr>
    </w:p>
    <w:p w14:paraId="426FE4FC" w14:textId="77777777" w:rsidR="004A498A" w:rsidRDefault="004A498A" w:rsidP="001B111C">
      <w:pPr>
        <w:pStyle w:val="Odstavecseseznamem"/>
        <w:numPr>
          <w:ilvl w:val="1"/>
          <w:numId w:val="1"/>
        </w:numPr>
        <w:ind w:left="432"/>
        <w:rPr>
          <w:rFonts w:ascii="Times New Roman" w:hAnsi="Times New Roman"/>
          <w:b/>
          <w:sz w:val="24"/>
          <w:szCs w:val="24"/>
        </w:rPr>
      </w:pPr>
      <w:r w:rsidRPr="004A498A">
        <w:rPr>
          <w:rFonts w:ascii="Times New Roman" w:hAnsi="Times New Roman"/>
          <w:b/>
          <w:sz w:val="24"/>
          <w:szCs w:val="24"/>
        </w:rPr>
        <w:t>Úprava zjednodušené identifikace klienta</w:t>
      </w:r>
    </w:p>
    <w:p w14:paraId="19FC63C1" w14:textId="77777777" w:rsidR="00AB5AF1" w:rsidRDefault="00AB5AF1" w:rsidP="001B111C">
      <w:pPr>
        <w:pStyle w:val="Odstavecseseznamem"/>
        <w:ind w:left="432" w:firstLine="0"/>
        <w:rPr>
          <w:rFonts w:ascii="Times New Roman" w:hAnsi="Times New Roman"/>
          <w:b/>
          <w:sz w:val="24"/>
          <w:szCs w:val="24"/>
        </w:rPr>
      </w:pPr>
    </w:p>
    <w:p w14:paraId="2FA03424" w14:textId="7B1634DF" w:rsidR="00426C4C" w:rsidRDefault="00426C4C" w:rsidP="00426C4C">
      <w:pPr>
        <w:jc w:val="both"/>
        <w:rPr>
          <w:rFonts w:ascii="Times New Roman" w:hAnsi="Times New Roman" w:cs="Times New Roman"/>
          <w:sz w:val="24"/>
          <w:szCs w:val="24"/>
        </w:rPr>
      </w:pPr>
      <w:r>
        <w:rPr>
          <w:rFonts w:ascii="Times New Roman" w:hAnsi="Times New Roman" w:cs="Times New Roman"/>
          <w:sz w:val="24"/>
          <w:szCs w:val="24"/>
        </w:rPr>
        <w:t xml:space="preserve">V rámci novelizace AML zákona předkladatel zvážil možnost úpravy  stávajícího režimu identifikace klienta dle § 13. Zjištění a ověření totožnosti klienta se provádí </w:t>
      </w:r>
      <w:r w:rsidRPr="001325AD">
        <w:rPr>
          <w:rFonts w:ascii="Times New Roman" w:hAnsi="Times New Roman" w:cs="Times New Roman"/>
          <w:sz w:val="24"/>
          <w:szCs w:val="24"/>
        </w:rPr>
        <w:t>na základě dokumentů, údajů nebo informací získaných ze spolehlivého a nezávislého zdroje</w:t>
      </w:r>
      <w:r w:rsidR="001B111C">
        <w:rPr>
          <w:rFonts w:ascii="Times New Roman" w:hAnsi="Times New Roman" w:cs="Times New Roman"/>
          <w:sz w:val="24"/>
          <w:szCs w:val="24"/>
        </w:rPr>
        <w:t xml:space="preserve"> (čl. 13 odst. 1 písm. b)</w:t>
      </w:r>
      <w:r>
        <w:rPr>
          <w:rFonts w:ascii="Times New Roman" w:hAnsi="Times New Roman" w:cs="Times New Roman"/>
          <w:sz w:val="24"/>
          <w:szCs w:val="24"/>
        </w:rPr>
        <w:t xml:space="preserve"> 4. AMLD). Takovým spolehlivým a nezávislým zdrojem by měly být i prostředky elektronické identifikace, jak je upravuje (s použitelností od 1. července 2016) n</w:t>
      </w:r>
      <w:r w:rsidRPr="000E7D59">
        <w:rPr>
          <w:rFonts w:ascii="Times New Roman" w:hAnsi="Times New Roman" w:cs="Times New Roman"/>
          <w:sz w:val="24"/>
          <w:szCs w:val="24"/>
        </w:rPr>
        <w:t>ařízení Evropského parlamentu a Rady (EU) č. 910/2014 ze dne 23. července 2014, o elektronické identifikaci a službách vytvářejících důvěru pro elektronické</w:t>
      </w:r>
      <w:r w:rsidR="001B111C">
        <w:rPr>
          <w:rFonts w:ascii="Times New Roman" w:hAnsi="Times New Roman" w:cs="Times New Roman"/>
          <w:sz w:val="24"/>
          <w:szCs w:val="24"/>
        </w:rPr>
        <w:t xml:space="preserve"> transakce na vnitřním trhu a o </w:t>
      </w:r>
      <w:r w:rsidRPr="000E7D59">
        <w:rPr>
          <w:rFonts w:ascii="Times New Roman" w:hAnsi="Times New Roman" w:cs="Times New Roman"/>
          <w:sz w:val="24"/>
          <w:szCs w:val="24"/>
        </w:rPr>
        <w:t>zrušení směrnice 1999/93/ES</w:t>
      </w:r>
      <w:r>
        <w:rPr>
          <w:rFonts w:ascii="Times New Roman" w:hAnsi="Times New Roman" w:cs="Times New Roman"/>
          <w:sz w:val="24"/>
          <w:szCs w:val="24"/>
        </w:rPr>
        <w:t>.</w:t>
      </w:r>
    </w:p>
    <w:p w14:paraId="2FFD23AB" w14:textId="77777777" w:rsidR="00426C4C" w:rsidRDefault="00426C4C" w:rsidP="00426C4C">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426C4C" w14:paraId="7612A437" w14:textId="77777777" w:rsidTr="004C725D">
        <w:tc>
          <w:tcPr>
            <w:tcW w:w="4531" w:type="dxa"/>
            <w:shd w:val="clear" w:color="auto" w:fill="DEEAF6" w:themeFill="accent1" w:themeFillTint="33"/>
          </w:tcPr>
          <w:p w14:paraId="1D4E21C1" w14:textId="77777777" w:rsidR="00426C4C" w:rsidRPr="00093F8B" w:rsidRDefault="00426C4C" w:rsidP="004C725D">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5971994A" w14:textId="77777777" w:rsidR="00426C4C" w:rsidRPr="00093F8B" w:rsidRDefault="00426C4C" w:rsidP="004C725D">
            <w:pPr>
              <w:rPr>
                <w:rFonts w:ascii="Times New Roman" w:hAnsi="Times New Roman" w:cs="Times New Roman"/>
                <w:b/>
                <w:sz w:val="24"/>
                <w:szCs w:val="24"/>
              </w:rPr>
            </w:pPr>
            <w:r>
              <w:rPr>
                <w:rFonts w:ascii="Times New Roman" w:hAnsi="Times New Roman" w:cs="Times New Roman"/>
                <w:b/>
                <w:sz w:val="24"/>
                <w:szCs w:val="24"/>
              </w:rPr>
              <w:t>Varianty</w:t>
            </w:r>
          </w:p>
        </w:tc>
      </w:tr>
      <w:tr w:rsidR="00426C4C" w14:paraId="41544C66" w14:textId="77777777" w:rsidTr="004C725D">
        <w:tc>
          <w:tcPr>
            <w:tcW w:w="4531" w:type="dxa"/>
            <w:vMerge w:val="restart"/>
          </w:tcPr>
          <w:p w14:paraId="4432C73E" w14:textId="77777777" w:rsidR="00426C4C" w:rsidRPr="0030396B" w:rsidRDefault="00426C4C" w:rsidP="004C725D">
            <w:pPr>
              <w:jc w:val="both"/>
              <w:rPr>
                <w:rFonts w:ascii="Times New Roman" w:hAnsi="Times New Roman" w:cs="Times New Roman"/>
                <w:sz w:val="24"/>
                <w:szCs w:val="24"/>
              </w:rPr>
            </w:pPr>
            <w:r>
              <w:rPr>
                <w:rFonts w:ascii="Times New Roman" w:hAnsi="Times New Roman" w:cs="Times New Roman"/>
                <w:sz w:val="24"/>
                <w:szCs w:val="24"/>
              </w:rPr>
              <w:t>Úprava zjednodušené identifikace klienta</w:t>
            </w:r>
          </w:p>
          <w:p w14:paraId="6B1279B3" w14:textId="77777777" w:rsidR="00426C4C" w:rsidRPr="00784F59" w:rsidRDefault="00426C4C" w:rsidP="004C725D">
            <w:pPr>
              <w:jc w:val="both"/>
              <w:rPr>
                <w:rFonts w:ascii="Times New Roman" w:hAnsi="Times New Roman"/>
                <w:sz w:val="24"/>
                <w:szCs w:val="24"/>
              </w:rPr>
            </w:pPr>
          </w:p>
        </w:tc>
        <w:tc>
          <w:tcPr>
            <w:tcW w:w="4531" w:type="dxa"/>
          </w:tcPr>
          <w:p w14:paraId="3ED3C29C" w14:textId="77777777" w:rsidR="00426C4C" w:rsidRDefault="00426C4C" w:rsidP="004C725D">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5CDDBACE" w14:textId="77777777" w:rsidR="00426C4C" w:rsidRDefault="00426C4C" w:rsidP="004C725D">
            <w:pPr>
              <w:rPr>
                <w:rFonts w:ascii="Times New Roman" w:hAnsi="Times New Roman" w:cs="Times New Roman"/>
                <w:sz w:val="24"/>
                <w:szCs w:val="24"/>
              </w:rPr>
            </w:pPr>
          </w:p>
        </w:tc>
      </w:tr>
      <w:tr w:rsidR="00426C4C" w14:paraId="6B9C0DA4" w14:textId="77777777" w:rsidTr="004C725D">
        <w:tc>
          <w:tcPr>
            <w:tcW w:w="4531" w:type="dxa"/>
            <w:vMerge/>
          </w:tcPr>
          <w:p w14:paraId="5A03BD8B" w14:textId="77777777" w:rsidR="00426C4C" w:rsidRDefault="00426C4C" w:rsidP="004C725D">
            <w:pPr>
              <w:jc w:val="both"/>
              <w:rPr>
                <w:rFonts w:ascii="Times New Roman" w:hAnsi="Times New Roman" w:cs="Times New Roman"/>
                <w:sz w:val="24"/>
                <w:szCs w:val="24"/>
              </w:rPr>
            </w:pPr>
          </w:p>
        </w:tc>
        <w:tc>
          <w:tcPr>
            <w:tcW w:w="4531" w:type="dxa"/>
          </w:tcPr>
          <w:p w14:paraId="5C8B6B31" w14:textId="77777777" w:rsidR="00426C4C" w:rsidRDefault="00426C4C" w:rsidP="004C725D">
            <w:pPr>
              <w:rPr>
                <w:rFonts w:ascii="Times New Roman" w:hAnsi="Times New Roman" w:cs="Times New Roman"/>
                <w:sz w:val="24"/>
                <w:szCs w:val="24"/>
              </w:rPr>
            </w:pPr>
            <w:r>
              <w:rPr>
                <w:rFonts w:ascii="Times New Roman" w:hAnsi="Times New Roman" w:cs="Times New Roman"/>
                <w:sz w:val="24"/>
                <w:szCs w:val="24"/>
              </w:rPr>
              <w:t>Úprava zjednodušené identifikace klienta prostředky elektronické komunikace</w:t>
            </w:r>
          </w:p>
        </w:tc>
      </w:tr>
    </w:tbl>
    <w:p w14:paraId="5CC43A6C" w14:textId="77777777" w:rsidR="00426C4C" w:rsidRDefault="00426C4C" w:rsidP="00426C4C">
      <w:pPr>
        <w:jc w:val="both"/>
        <w:rPr>
          <w:rFonts w:ascii="Times New Roman" w:hAnsi="Times New Roman" w:cs="Times New Roman"/>
          <w:sz w:val="24"/>
          <w:szCs w:val="24"/>
        </w:rPr>
      </w:pPr>
    </w:p>
    <w:p w14:paraId="3CE8C0F7" w14:textId="77777777" w:rsidR="00426C4C" w:rsidRDefault="00426C4C" w:rsidP="00426C4C">
      <w:pPr>
        <w:jc w:val="both"/>
        <w:rPr>
          <w:rFonts w:ascii="Times New Roman" w:hAnsi="Times New Roman" w:cs="Times New Roman"/>
          <w:sz w:val="24"/>
          <w:szCs w:val="24"/>
        </w:rPr>
      </w:pPr>
      <w:r>
        <w:rPr>
          <w:rFonts w:ascii="Times New Roman" w:hAnsi="Times New Roman" w:cs="Times New Roman"/>
          <w:sz w:val="24"/>
          <w:szCs w:val="24"/>
        </w:rPr>
        <w:t>Na základě informací FAÚ se elektronické podpisy již k identifikaci v některých státech využívají. Některé zahraniční zákonné úpravy předvídají, že v nepřítomnosti klienta – fyzické osoby (případně fyzické osoby, jednající za klienta – právnickou osobu) se identifikace provede na základě dodatečných dokumentů a informací a jejich ověření z dalších zdrojů.</w:t>
      </w:r>
    </w:p>
    <w:p w14:paraId="11BA7632" w14:textId="6A438699" w:rsidR="006232F4" w:rsidRDefault="006232F4" w:rsidP="00426C4C">
      <w:pPr>
        <w:jc w:val="both"/>
        <w:rPr>
          <w:rFonts w:ascii="Times New Roman" w:hAnsi="Times New Roman" w:cs="Times New Roman"/>
          <w:sz w:val="24"/>
          <w:szCs w:val="24"/>
        </w:rPr>
      </w:pPr>
      <w:r>
        <w:rPr>
          <w:rFonts w:ascii="Times New Roman" w:hAnsi="Times New Roman" w:cs="Times New Roman"/>
          <w:sz w:val="24"/>
          <w:szCs w:val="24"/>
        </w:rPr>
        <w:t>Předvídá se, že identifikace klienta prostředky elektronické komunikace bude vždy spojena s dalšími identifikačními nástroji, typicky se zasláním kopií dokladu či několika dokladů, prokazujících totožnost, a případně dalších potřebných informací, např. dokladu o oprávnění k jednání za právnickou osobu.  N</w:t>
      </w:r>
      <w:r w:rsidR="00426C4C">
        <w:rPr>
          <w:rFonts w:ascii="Times New Roman" w:hAnsi="Times New Roman" w:cs="Times New Roman"/>
          <w:sz w:val="24"/>
          <w:szCs w:val="24"/>
        </w:rPr>
        <w:t xml:space="preserve">ařízení EU </w:t>
      </w:r>
      <w:r w:rsidR="00426C4C" w:rsidRPr="00176763">
        <w:rPr>
          <w:rFonts w:ascii="Times New Roman" w:hAnsi="Times New Roman" w:cs="Times New Roman"/>
          <w:sz w:val="24"/>
          <w:szCs w:val="24"/>
        </w:rPr>
        <w:t>č. 910/2014</w:t>
      </w:r>
      <w:r w:rsidR="00426C4C">
        <w:rPr>
          <w:rFonts w:ascii="Times New Roman" w:hAnsi="Times New Roman" w:cs="Times New Roman"/>
          <w:sz w:val="24"/>
          <w:szCs w:val="24"/>
        </w:rPr>
        <w:t xml:space="preserve"> </w:t>
      </w:r>
      <w:r>
        <w:rPr>
          <w:rFonts w:ascii="Times New Roman" w:hAnsi="Times New Roman" w:cs="Times New Roman"/>
          <w:sz w:val="24"/>
          <w:szCs w:val="24"/>
        </w:rPr>
        <w:t xml:space="preserve">k takové úpravě </w:t>
      </w:r>
      <w:r w:rsidR="00426C4C">
        <w:rPr>
          <w:rFonts w:ascii="Times New Roman" w:hAnsi="Times New Roman" w:cs="Times New Roman"/>
          <w:sz w:val="24"/>
          <w:szCs w:val="24"/>
        </w:rPr>
        <w:t xml:space="preserve">vytváří vhodný rámec. </w:t>
      </w:r>
      <w:r>
        <w:rPr>
          <w:rFonts w:ascii="Times New Roman" w:hAnsi="Times New Roman" w:cs="Times New Roman"/>
          <w:sz w:val="24"/>
          <w:szCs w:val="24"/>
        </w:rPr>
        <w:t xml:space="preserve">Předkladatel rovněž předvídá podrobnější úpravu tohoto způsobu zjednodušené identifikace klienta, která však vzhledem k míře detailu a návodnosti není vhodnou materií novely zákona. Předkladatel předvídá úpravu formou metodického pokynu. </w:t>
      </w:r>
    </w:p>
    <w:p w14:paraId="5F778DD8" w14:textId="253DE61F" w:rsidR="006232F4" w:rsidRDefault="006232F4" w:rsidP="00426C4C">
      <w:pPr>
        <w:jc w:val="both"/>
        <w:rPr>
          <w:rFonts w:ascii="Times New Roman" w:hAnsi="Times New Roman" w:cs="Times New Roman"/>
          <w:sz w:val="24"/>
          <w:szCs w:val="24"/>
        </w:rPr>
      </w:pPr>
      <w:r>
        <w:rPr>
          <w:rFonts w:ascii="Times New Roman" w:hAnsi="Times New Roman" w:cs="Times New Roman"/>
          <w:sz w:val="24"/>
          <w:szCs w:val="24"/>
        </w:rPr>
        <w:t xml:space="preserve">Z pohledu dopadů navrhované úpravy by tato forma identifikace byla pouze jednou z možností identifikace, proto předkladatel nepovažuje za potřebné analyzovat případné náklady na straně povinných osob. V tomto ohledu se jedná o režim ekvivalentní jiným způsobům identifikace </w:t>
      </w:r>
      <w:r w:rsidR="00B94CF3">
        <w:rPr>
          <w:rFonts w:ascii="Times New Roman" w:hAnsi="Times New Roman" w:cs="Times New Roman"/>
          <w:sz w:val="24"/>
          <w:szCs w:val="24"/>
        </w:rPr>
        <w:t>ve smyslu § 10 AML zákona (identifikace notářem, krajským úřadem, event. kontaktním místem CzechPOINT). Povinné osoby v zásadě nemají povinnost této možnosti využívat. Z pohledu přínosů se jedná o rozšířen</w:t>
      </w:r>
      <w:r w:rsidR="001B111C">
        <w:rPr>
          <w:rFonts w:ascii="Times New Roman" w:hAnsi="Times New Roman" w:cs="Times New Roman"/>
          <w:sz w:val="24"/>
          <w:szCs w:val="24"/>
        </w:rPr>
        <w:t xml:space="preserve">í možností identifikace, tedy </w:t>
      </w:r>
      <w:r w:rsidR="001B111C">
        <w:rPr>
          <w:rFonts w:ascii="Times New Roman" w:hAnsi="Times New Roman" w:cs="Times New Roman"/>
          <w:sz w:val="24"/>
          <w:szCs w:val="24"/>
        </w:rPr>
        <w:lastRenderedPageBreak/>
        <w:t>o </w:t>
      </w:r>
      <w:r w:rsidR="00B94CF3">
        <w:rPr>
          <w:rFonts w:ascii="Times New Roman" w:hAnsi="Times New Roman" w:cs="Times New Roman"/>
          <w:sz w:val="24"/>
          <w:szCs w:val="24"/>
        </w:rPr>
        <w:t>usnadnění splnění zákonných povinností, pokud budou strany transakce ochotny nést dodatečné administrativní náklady spojené s navrhovaným způsobem identifikace.</w:t>
      </w:r>
    </w:p>
    <w:p w14:paraId="0D3E95C4" w14:textId="2794A2BF" w:rsidR="00BA05B6" w:rsidRPr="00B94CF3" w:rsidRDefault="00B94CF3" w:rsidP="00BA05B6">
      <w:pPr>
        <w:jc w:val="both"/>
        <w:rPr>
          <w:rFonts w:ascii="Times New Roman" w:hAnsi="Times New Roman" w:cs="Times New Roman"/>
          <w:b/>
          <w:sz w:val="24"/>
          <w:szCs w:val="24"/>
        </w:rPr>
      </w:pPr>
      <w:r>
        <w:rPr>
          <w:rFonts w:ascii="Times New Roman" w:hAnsi="Times New Roman" w:cs="Times New Roman"/>
          <w:b/>
          <w:sz w:val="24"/>
          <w:szCs w:val="24"/>
        </w:rPr>
        <w:t xml:space="preserve">Závěr: Navrhuje se umožnit </w:t>
      </w:r>
      <w:r w:rsidRPr="00B94CF3">
        <w:rPr>
          <w:rFonts w:ascii="Times New Roman" w:hAnsi="Times New Roman" w:cs="Times New Roman"/>
          <w:b/>
          <w:sz w:val="24"/>
          <w:szCs w:val="24"/>
        </w:rPr>
        <w:t>zjednodušenou identifikaci</w:t>
      </w:r>
      <w:r w:rsidRPr="001B111C">
        <w:rPr>
          <w:rFonts w:ascii="Times New Roman" w:hAnsi="Times New Roman" w:cs="Times New Roman"/>
          <w:b/>
          <w:sz w:val="24"/>
          <w:szCs w:val="24"/>
        </w:rPr>
        <w:t xml:space="preserve"> klienta prostředky elektronické komunikace</w:t>
      </w:r>
      <w:r>
        <w:rPr>
          <w:rFonts w:ascii="Times New Roman" w:hAnsi="Times New Roman" w:cs="Times New Roman"/>
          <w:b/>
          <w:sz w:val="24"/>
          <w:szCs w:val="24"/>
        </w:rPr>
        <w:t>.</w:t>
      </w:r>
    </w:p>
    <w:p w14:paraId="77DFBC7F" w14:textId="77777777" w:rsidR="00B94CF3" w:rsidRPr="001B111C" w:rsidRDefault="00B94CF3" w:rsidP="00BA05B6">
      <w:pPr>
        <w:jc w:val="both"/>
        <w:rPr>
          <w:rFonts w:ascii="Times New Roman" w:hAnsi="Times New Roman" w:cs="Times New Roman"/>
          <w:b/>
          <w:sz w:val="24"/>
          <w:szCs w:val="24"/>
        </w:rPr>
      </w:pPr>
    </w:p>
    <w:p w14:paraId="45E0BE77" w14:textId="490BF141" w:rsidR="00AB5AF1" w:rsidRDefault="00BA05B6" w:rsidP="001B111C">
      <w:pPr>
        <w:pStyle w:val="Odstavecseseznamem"/>
        <w:numPr>
          <w:ilvl w:val="1"/>
          <w:numId w:val="1"/>
        </w:numPr>
        <w:ind w:left="432"/>
        <w:rPr>
          <w:rFonts w:ascii="Times New Roman" w:hAnsi="Times New Roman"/>
          <w:b/>
          <w:sz w:val="24"/>
          <w:szCs w:val="24"/>
        </w:rPr>
      </w:pPr>
      <w:r w:rsidRPr="001B111C">
        <w:rPr>
          <w:rFonts w:ascii="Times New Roman" w:hAnsi="Times New Roman"/>
          <w:b/>
          <w:sz w:val="24"/>
          <w:szCs w:val="24"/>
        </w:rPr>
        <w:t>Rozšíření možností zprostředkované identifikace klienta</w:t>
      </w:r>
    </w:p>
    <w:p w14:paraId="6A332041" w14:textId="77777777" w:rsidR="001B111C" w:rsidRPr="001B111C" w:rsidRDefault="001B111C" w:rsidP="001B111C">
      <w:pPr>
        <w:pStyle w:val="Odstavecseseznamem"/>
        <w:ind w:left="432" w:firstLine="0"/>
        <w:rPr>
          <w:rFonts w:ascii="Times New Roman" w:hAnsi="Times New Roman"/>
          <w:b/>
          <w:sz w:val="24"/>
          <w:szCs w:val="24"/>
        </w:rPr>
      </w:pPr>
    </w:p>
    <w:p w14:paraId="7FE5CD5C" w14:textId="77777777" w:rsidR="00316124" w:rsidRDefault="00316124" w:rsidP="00BA05B6">
      <w:pPr>
        <w:jc w:val="both"/>
        <w:rPr>
          <w:rFonts w:ascii="Times New Roman" w:hAnsi="Times New Roman" w:cs="Times New Roman"/>
          <w:sz w:val="24"/>
          <w:szCs w:val="24"/>
        </w:rPr>
      </w:pPr>
      <w:r>
        <w:rPr>
          <w:rFonts w:ascii="Times New Roman" w:hAnsi="Times New Roman" w:cs="Times New Roman"/>
          <w:sz w:val="24"/>
          <w:szCs w:val="24"/>
        </w:rPr>
        <w:t>Z konzultace vyplynulo, že povinné osoby uvítají rozšíření možností zprostředkované identifikace</w:t>
      </w:r>
      <w:r w:rsidR="00057F9D">
        <w:rPr>
          <w:rFonts w:ascii="Times New Roman" w:hAnsi="Times New Roman" w:cs="Times New Roman"/>
          <w:sz w:val="24"/>
          <w:szCs w:val="24"/>
        </w:rPr>
        <w:t xml:space="preserve"> na kontaktní místa veřejné správy (CzechPOINT)</w:t>
      </w:r>
      <w:r>
        <w:rPr>
          <w:rFonts w:ascii="Times New Roman" w:hAnsi="Times New Roman" w:cs="Times New Roman"/>
          <w:sz w:val="24"/>
          <w:szCs w:val="24"/>
        </w:rPr>
        <w:t>. Výstup konzultace v tomto ohledu není jednoznačný, neboť řada povinných osob uvedla, že zprostředkovanou identifikaci využívá minimálně. To však nevylučuje změnu v případě, že se možnosti rozšíří.</w:t>
      </w:r>
    </w:p>
    <w:p w14:paraId="2E0434B0" w14:textId="510AA613" w:rsidR="003E261E" w:rsidRDefault="00C4147D" w:rsidP="00BA05B6">
      <w:pPr>
        <w:jc w:val="both"/>
        <w:rPr>
          <w:rFonts w:ascii="Times New Roman" w:hAnsi="Times New Roman" w:cs="Times New Roman"/>
          <w:sz w:val="24"/>
          <w:szCs w:val="24"/>
        </w:rPr>
      </w:pPr>
      <w:r>
        <w:rPr>
          <w:rFonts w:ascii="Times New Roman" w:hAnsi="Times New Roman" w:cs="Times New Roman"/>
          <w:sz w:val="24"/>
          <w:szCs w:val="24"/>
        </w:rPr>
        <w:t>Často se navrhovatel setkával s požadavky na možnost provedení této identifikace zastupitelskými úřady v</w:t>
      </w:r>
      <w:r w:rsidR="00CA1D00">
        <w:rPr>
          <w:rFonts w:ascii="Times New Roman" w:hAnsi="Times New Roman" w:cs="Times New Roman"/>
          <w:sz w:val="24"/>
          <w:szCs w:val="24"/>
        </w:rPr>
        <w:t> </w:t>
      </w:r>
      <w:r>
        <w:rPr>
          <w:rFonts w:ascii="Times New Roman" w:hAnsi="Times New Roman" w:cs="Times New Roman"/>
          <w:sz w:val="24"/>
          <w:szCs w:val="24"/>
        </w:rPr>
        <w:t>zahraničí</w:t>
      </w:r>
      <w:r w:rsidR="00CA1D00">
        <w:rPr>
          <w:rFonts w:ascii="Times New Roman" w:hAnsi="Times New Roman" w:cs="Times New Roman"/>
          <w:sz w:val="24"/>
          <w:szCs w:val="24"/>
        </w:rPr>
        <w:t>.</w:t>
      </w:r>
      <w:r w:rsidR="0029518D">
        <w:rPr>
          <w:rFonts w:ascii="Times New Roman" w:hAnsi="Times New Roman" w:cs="Times New Roman"/>
          <w:sz w:val="24"/>
          <w:szCs w:val="24"/>
        </w:rPr>
        <w:t xml:space="preserve"> Jelikož služby</w:t>
      </w:r>
      <w:r w:rsidR="00CA1D00">
        <w:rPr>
          <w:rFonts w:ascii="Times New Roman" w:hAnsi="Times New Roman" w:cs="Times New Roman"/>
          <w:sz w:val="24"/>
          <w:szCs w:val="24"/>
        </w:rPr>
        <w:t xml:space="preserve"> Czech</w:t>
      </w:r>
      <w:r w:rsidR="00057F9D">
        <w:rPr>
          <w:rFonts w:ascii="Times New Roman" w:hAnsi="Times New Roman" w:cs="Times New Roman"/>
          <w:sz w:val="24"/>
          <w:szCs w:val="24"/>
        </w:rPr>
        <w:t>POINT</w:t>
      </w:r>
      <w:r w:rsidR="001B111C">
        <w:rPr>
          <w:rFonts w:ascii="Times New Roman" w:hAnsi="Times New Roman" w:cs="Times New Roman"/>
          <w:sz w:val="24"/>
          <w:szCs w:val="24"/>
        </w:rPr>
        <w:t>u jsou</w:t>
      </w:r>
      <w:r w:rsidR="0029518D">
        <w:rPr>
          <w:rFonts w:ascii="Times New Roman" w:hAnsi="Times New Roman" w:cs="Times New Roman"/>
          <w:sz w:val="24"/>
          <w:szCs w:val="24"/>
        </w:rPr>
        <w:t xml:space="preserve"> aktuálně dostupné</w:t>
      </w:r>
      <w:r w:rsidR="00CA1D00">
        <w:rPr>
          <w:rFonts w:ascii="Times New Roman" w:hAnsi="Times New Roman" w:cs="Times New Roman"/>
          <w:sz w:val="24"/>
          <w:szCs w:val="24"/>
        </w:rPr>
        <w:t xml:space="preserve"> na 38 zastupitelských úřadech</w:t>
      </w:r>
      <w:r w:rsidR="0029518D">
        <w:rPr>
          <w:rFonts w:ascii="Times New Roman" w:hAnsi="Times New Roman" w:cs="Times New Roman"/>
          <w:sz w:val="24"/>
          <w:szCs w:val="24"/>
        </w:rPr>
        <w:t xml:space="preserve"> v zahraničí, </w:t>
      </w:r>
      <w:r w:rsidR="009E3B90">
        <w:rPr>
          <w:rFonts w:ascii="Times New Roman" w:hAnsi="Times New Roman" w:cs="Times New Roman"/>
          <w:sz w:val="24"/>
          <w:szCs w:val="24"/>
        </w:rPr>
        <w:t>lze předpokládat, že právě tam bude nová služba vítaná.</w:t>
      </w:r>
    </w:p>
    <w:p w14:paraId="72661DEC" w14:textId="15B8161F" w:rsidR="00652193" w:rsidRDefault="00652193" w:rsidP="00BA05B6">
      <w:pPr>
        <w:jc w:val="both"/>
        <w:rPr>
          <w:rFonts w:ascii="Times New Roman" w:hAnsi="Times New Roman" w:cs="Times New Roman"/>
          <w:sz w:val="24"/>
          <w:szCs w:val="24"/>
        </w:rPr>
      </w:pPr>
      <w:r>
        <w:rPr>
          <w:rFonts w:ascii="Times New Roman" w:hAnsi="Times New Roman" w:cs="Times New Roman"/>
          <w:sz w:val="24"/>
          <w:szCs w:val="24"/>
        </w:rPr>
        <w:t xml:space="preserve">Navrhovatel v rámci konzultací požádal </w:t>
      </w:r>
      <w:r w:rsidR="003034C3">
        <w:rPr>
          <w:rFonts w:ascii="Times New Roman" w:hAnsi="Times New Roman" w:cs="Times New Roman"/>
          <w:sz w:val="24"/>
          <w:szCs w:val="24"/>
        </w:rPr>
        <w:t>M</w:t>
      </w:r>
      <w:r>
        <w:rPr>
          <w:rFonts w:ascii="Times New Roman" w:hAnsi="Times New Roman" w:cs="Times New Roman"/>
          <w:sz w:val="24"/>
          <w:szCs w:val="24"/>
        </w:rPr>
        <w:t>inisterstvo vnitra o analýzu nákladů zavedení zprostředkované identifikace u CzechP</w:t>
      </w:r>
      <w:r w:rsidR="00057F9D">
        <w:rPr>
          <w:rFonts w:ascii="Times New Roman" w:hAnsi="Times New Roman" w:cs="Times New Roman"/>
          <w:sz w:val="24"/>
          <w:szCs w:val="24"/>
        </w:rPr>
        <w:t>OINT</w:t>
      </w:r>
      <w:r w:rsidR="001B111C">
        <w:rPr>
          <w:rFonts w:ascii="Times New Roman" w:hAnsi="Times New Roman" w:cs="Times New Roman"/>
          <w:sz w:val="24"/>
          <w:szCs w:val="24"/>
        </w:rPr>
        <w:t>u</w:t>
      </w:r>
      <w:r>
        <w:rPr>
          <w:rFonts w:ascii="Times New Roman" w:hAnsi="Times New Roman" w:cs="Times New Roman"/>
          <w:sz w:val="24"/>
          <w:szCs w:val="24"/>
        </w:rPr>
        <w:t xml:space="preserve">. Výstupem této analýzy je </w:t>
      </w:r>
      <w:r w:rsidR="005441E4">
        <w:rPr>
          <w:rFonts w:ascii="Times New Roman" w:hAnsi="Times New Roman" w:cs="Times New Roman"/>
          <w:sz w:val="24"/>
          <w:szCs w:val="24"/>
        </w:rPr>
        <w:t xml:space="preserve">maximální odhad investičních nákladů na realizaci ve výši 1.949.000 Kč bez DPH. Analýza je </w:t>
      </w:r>
      <w:r w:rsidR="003E261E">
        <w:rPr>
          <w:rFonts w:ascii="Times New Roman" w:hAnsi="Times New Roman" w:cs="Times New Roman"/>
          <w:sz w:val="24"/>
          <w:szCs w:val="24"/>
        </w:rPr>
        <w:t>v příloze III.</w:t>
      </w:r>
      <w:r w:rsidR="001B111C">
        <w:rPr>
          <w:rFonts w:ascii="Times New Roman" w:hAnsi="Times New Roman" w:cs="Times New Roman"/>
          <w:sz w:val="24"/>
          <w:szCs w:val="24"/>
        </w:rPr>
        <w:t xml:space="preserve"> </w:t>
      </w:r>
      <w:r w:rsidR="003E261E">
        <w:rPr>
          <w:rFonts w:ascii="Times New Roman" w:hAnsi="Times New Roman" w:cs="Times New Roman"/>
          <w:sz w:val="24"/>
          <w:szCs w:val="24"/>
        </w:rPr>
        <w:t>c důvodové zprávy</w:t>
      </w:r>
      <w:r w:rsidR="005441E4">
        <w:rPr>
          <w:rFonts w:ascii="Times New Roman" w:hAnsi="Times New Roman" w:cs="Times New Roman"/>
          <w:sz w:val="24"/>
          <w:szCs w:val="24"/>
        </w:rPr>
        <w:t>.</w:t>
      </w:r>
      <w:r w:rsidR="003034C3">
        <w:rPr>
          <w:rFonts w:ascii="Times New Roman" w:hAnsi="Times New Roman" w:cs="Times New Roman"/>
          <w:sz w:val="24"/>
          <w:szCs w:val="24"/>
        </w:rPr>
        <w:t xml:space="preserve"> Zmíněný </w:t>
      </w:r>
      <w:r w:rsidR="00FB1397">
        <w:rPr>
          <w:rFonts w:ascii="Times New Roman" w:hAnsi="Times New Roman" w:cs="Times New Roman"/>
          <w:sz w:val="24"/>
          <w:szCs w:val="24"/>
        </w:rPr>
        <w:t>dopad nevyvolá navyšující požadavky na čerpání finančních prostředků státního rozpočtu, tj. bude pokryt v rámci schváleného rozpočtu kapitoly MV na příslušný kalendářní rok a střednědobého výhledu.</w:t>
      </w:r>
    </w:p>
    <w:p w14:paraId="5296ECB5" w14:textId="0C29CEED" w:rsidR="007D0954" w:rsidRDefault="007D0954" w:rsidP="00BA05B6">
      <w:pPr>
        <w:jc w:val="both"/>
        <w:rPr>
          <w:rFonts w:ascii="Times New Roman" w:hAnsi="Times New Roman" w:cs="Times New Roman"/>
          <w:sz w:val="24"/>
          <w:szCs w:val="24"/>
        </w:rPr>
      </w:pPr>
      <w:r>
        <w:rPr>
          <w:rFonts w:ascii="Times New Roman" w:hAnsi="Times New Roman" w:cs="Times New Roman"/>
          <w:sz w:val="24"/>
          <w:szCs w:val="24"/>
        </w:rPr>
        <w:t>Co se týče nákladů identifikace u Czech</w:t>
      </w:r>
      <w:r w:rsidR="00D102B5">
        <w:rPr>
          <w:rFonts w:ascii="Times New Roman" w:hAnsi="Times New Roman" w:cs="Times New Roman"/>
          <w:sz w:val="24"/>
          <w:szCs w:val="24"/>
        </w:rPr>
        <w:t>POINT</w:t>
      </w:r>
      <w:r w:rsidR="001B111C">
        <w:rPr>
          <w:rFonts w:ascii="Times New Roman" w:hAnsi="Times New Roman" w:cs="Times New Roman"/>
          <w:sz w:val="24"/>
          <w:szCs w:val="24"/>
        </w:rPr>
        <w:t>u</w:t>
      </w:r>
      <w:r>
        <w:rPr>
          <w:rFonts w:ascii="Times New Roman" w:hAnsi="Times New Roman" w:cs="Times New Roman"/>
          <w:sz w:val="24"/>
          <w:szCs w:val="24"/>
        </w:rPr>
        <w:t>, lze je chápat tak, že se náklady identifikace, které obvykle nese banka, přenášejí na klienta, který je uhradí kontaktnímu místu Czech</w:t>
      </w:r>
      <w:r w:rsidR="00057F9D">
        <w:rPr>
          <w:rFonts w:ascii="Times New Roman" w:hAnsi="Times New Roman" w:cs="Times New Roman"/>
          <w:sz w:val="24"/>
          <w:szCs w:val="24"/>
        </w:rPr>
        <w:t>POINT</w:t>
      </w:r>
      <w:r w:rsidR="001B111C">
        <w:rPr>
          <w:rFonts w:ascii="Times New Roman" w:hAnsi="Times New Roman" w:cs="Times New Roman"/>
          <w:sz w:val="24"/>
          <w:szCs w:val="24"/>
        </w:rPr>
        <w:t>u</w:t>
      </w:r>
      <w:r>
        <w:rPr>
          <w:rFonts w:ascii="Times New Roman" w:hAnsi="Times New Roman" w:cs="Times New Roman"/>
          <w:sz w:val="24"/>
          <w:szCs w:val="24"/>
        </w:rPr>
        <w:t xml:space="preserve"> ve formě správního poplatku. V zásadě tedy nenese zvýšené náklady stát (MV, resp. MZV), ale klient, jehož identita má být ověřena. </w:t>
      </w:r>
      <w:r w:rsidR="00775913">
        <w:rPr>
          <w:rFonts w:ascii="Times New Roman" w:hAnsi="Times New Roman" w:cs="Times New Roman"/>
          <w:sz w:val="24"/>
          <w:szCs w:val="24"/>
        </w:rPr>
        <w:t>Dále lze n</w:t>
      </w:r>
      <w:r>
        <w:rPr>
          <w:rFonts w:ascii="Times New Roman" w:hAnsi="Times New Roman" w:cs="Times New Roman"/>
          <w:sz w:val="24"/>
          <w:szCs w:val="24"/>
        </w:rPr>
        <w:t>avrhované rozšíření možností zprostře</w:t>
      </w:r>
      <w:r w:rsidR="00BE51F3">
        <w:rPr>
          <w:rFonts w:ascii="Times New Roman" w:hAnsi="Times New Roman" w:cs="Times New Roman"/>
          <w:sz w:val="24"/>
          <w:szCs w:val="24"/>
        </w:rPr>
        <w:t>d</w:t>
      </w:r>
      <w:r>
        <w:rPr>
          <w:rFonts w:ascii="Times New Roman" w:hAnsi="Times New Roman" w:cs="Times New Roman"/>
          <w:sz w:val="24"/>
          <w:szCs w:val="24"/>
        </w:rPr>
        <w:t xml:space="preserve">kované identifikace klienta chápat jako koherentnější </w:t>
      </w:r>
      <w:r w:rsidR="0073466C">
        <w:rPr>
          <w:rFonts w:ascii="Times New Roman" w:hAnsi="Times New Roman" w:cs="Times New Roman"/>
          <w:sz w:val="24"/>
          <w:szCs w:val="24"/>
        </w:rPr>
        <w:t>v tom smyslu, že dle stávající úpravy AML zákona může klienta zprostředkovaně identifikovat notář, res</w:t>
      </w:r>
      <w:r w:rsidR="00775913">
        <w:rPr>
          <w:rFonts w:ascii="Times New Roman" w:hAnsi="Times New Roman" w:cs="Times New Roman"/>
          <w:sz w:val="24"/>
          <w:szCs w:val="24"/>
        </w:rPr>
        <w:t>p. obecní/krajský úřad (§ 10). Po</w:t>
      </w:r>
      <w:r w:rsidR="0073466C">
        <w:rPr>
          <w:rFonts w:ascii="Times New Roman" w:hAnsi="Times New Roman" w:cs="Times New Roman"/>
          <w:sz w:val="24"/>
          <w:szCs w:val="24"/>
        </w:rPr>
        <w:t xml:space="preserve"> novelizaci by </w:t>
      </w:r>
      <w:r w:rsidR="00775913">
        <w:rPr>
          <w:rFonts w:ascii="Times New Roman" w:hAnsi="Times New Roman" w:cs="Times New Roman"/>
          <w:sz w:val="24"/>
          <w:szCs w:val="24"/>
        </w:rPr>
        <w:t>identifikaci</w:t>
      </w:r>
      <w:r w:rsidR="0073466C">
        <w:rPr>
          <w:rFonts w:ascii="Times New Roman" w:hAnsi="Times New Roman" w:cs="Times New Roman"/>
          <w:sz w:val="24"/>
          <w:szCs w:val="24"/>
        </w:rPr>
        <w:t xml:space="preserve"> provádě</w:t>
      </w:r>
      <w:r w:rsidR="00B34BBB">
        <w:rPr>
          <w:rFonts w:ascii="Times New Roman" w:hAnsi="Times New Roman" w:cs="Times New Roman"/>
          <w:sz w:val="24"/>
          <w:szCs w:val="24"/>
        </w:rPr>
        <w:t>la</w:t>
      </w:r>
      <w:r w:rsidR="0073466C">
        <w:rPr>
          <w:rFonts w:ascii="Times New Roman" w:hAnsi="Times New Roman" w:cs="Times New Roman"/>
          <w:sz w:val="24"/>
          <w:szCs w:val="24"/>
        </w:rPr>
        <w:t xml:space="preserve"> i </w:t>
      </w:r>
      <w:r w:rsidR="00B34BBB">
        <w:rPr>
          <w:rFonts w:ascii="Times New Roman" w:hAnsi="Times New Roman" w:cs="Times New Roman"/>
          <w:sz w:val="24"/>
          <w:szCs w:val="24"/>
        </w:rPr>
        <w:t xml:space="preserve">všechna kontaktní místa veřejné správy, která představují podstatně </w:t>
      </w:r>
      <w:r w:rsidR="00BA404C">
        <w:rPr>
          <w:rFonts w:ascii="Times New Roman" w:hAnsi="Times New Roman" w:cs="Times New Roman"/>
          <w:sz w:val="24"/>
          <w:szCs w:val="24"/>
        </w:rPr>
        <w:t xml:space="preserve">širší a tedy i </w:t>
      </w:r>
      <w:r w:rsidR="00B34BBB">
        <w:rPr>
          <w:rFonts w:ascii="Times New Roman" w:hAnsi="Times New Roman" w:cs="Times New Roman"/>
          <w:sz w:val="24"/>
          <w:szCs w:val="24"/>
        </w:rPr>
        <w:t>dostupnější síť</w:t>
      </w:r>
      <w:r w:rsidR="0073466C">
        <w:rPr>
          <w:rFonts w:ascii="Times New Roman" w:hAnsi="Times New Roman" w:cs="Times New Roman"/>
          <w:sz w:val="24"/>
          <w:szCs w:val="24"/>
        </w:rPr>
        <w:t>.</w:t>
      </w:r>
    </w:p>
    <w:p w14:paraId="5FB3A843" w14:textId="77777777" w:rsidR="00411DCC" w:rsidRPr="007D0954" w:rsidRDefault="00411DCC" w:rsidP="00BA05B6">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2345"/>
        <w:gridCol w:w="2452"/>
        <w:gridCol w:w="1304"/>
        <w:gridCol w:w="1538"/>
        <w:gridCol w:w="1649"/>
      </w:tblGrid>
      <w:tr w:rsidR="0040534E" w14:paraId="56943DE1" w14:textId="77777777" w:rsidTr="00D102B5">
        <w:tc>
          <w:tcPr>
            <w:tcW w:w="2345" w:type="dxa"/>
            <w:shd w:val="clear" w:color="auto" w:fill="DEEAF6" w:themeFill="accent1" w:themeFillTint="33"/>
          </w:tcPr>
          <w:p w14:paraId="0303ACE8" w14:textId="77777777" w:rsidR="007D0954" w:rsidRPr="00093F8B" w:rsidRDefault="007D0954" w:rsidP="00851432">
            <w:pPr>
              <w:rPr>
                <w:rFonts w:ascii="Times New Roman" w:hAnsi="Times New Roman" w:cs="Times New Roman"/>
                <w:b/>
                <w:sz w:val="24"/>
                <w:szCs w:val="24"/>
              </w:rPr>
            </w:pPr>
            <w:r>
              <w:rPr>
                <w:rFonts w:ascii="Times New Roman" w:hAnsi="Times New Roman" w:cs="Times New Roman"/>
                <w:b/>
                <w:sz w:val="24"/>
                <w:szCs w:val="24"/>
              </w:rPr>
              <w:t>Téma</w:t>
            </w:r>
          </w:p>
        </w:tc>
        <w:tc>
          <w:tcPr>
            <w:tcW w:w="2452" w:type="dxa"/>
            <w:shd w:val="clear" w:color="auto" w:fill="DEEAF6" w:themeFill="accent1" w:themeFillTint="33"/>
          </w:tcPr>
          <w:p w14:paraId="3F0CE8E5" w14:textId="77777777" w:rsidR="007D0954" w:rsidRPr="00093F8B" w:rsidRDefault="007D0954" w:rsidP="00851432">
            <w:pPr>
              <w:rPr>
                <w:rFonts w:ascii="Times New Roman" w:hAnsi="Times New Roman" w:cs="Times New Roman"/>
                <w:b/>
                <w:sz w:val="24"/>
                <w:szCs w:val="24"/>
              </w:rPr>
            </w:pPr>
            <w:r>
              <w:rPr>
                <w:rFonts w:ascii="Times New Roman" w:hAnsi="Times New Roman" w:cs="Times New Roman"/>
                <w:b/>
                <w:sz w:val="24"/>
                <w:szCs w:val="24"/>
              </w:rPr>
              <w:t>Varianty</w:t>
            </w:r>
          </w:p>
        </w:tc>
        <w:tc>
          <w:tcPr>
            <w:tcW w:w="1304" w:type="dxa"/>
            <w:shd w:val="clear" w:color="auto" w:fill="DEEAF6" w:themeFill="accent1" w:themeFillTint="33"/>
          </w:tcPr>
          <w:p w14:paraId="6D4F5DE7" w14:textId="77777777" w:rsidR="007D0954" w:rsidRDefault="007D0954" w:rsidP="00851432">
            <w:pPr>
              <w:rPr>
                <w:rFonts w:ascii="Times New Roman" w:hAnsi="Times New Roman" w:cs="Times New Roman"/>
                <w:b/>
                <w:sz w:val="24"/>
                <w:szCs w:val="24"/>
              </w:rPr>
            </w:pPr>
            <w:r>
              <w:rPr>
                <w:rFonts w:ascii="Times New Roman" w:hAnsi="Times New Roman" w:cs="Times New Roman"/>
                <w:b/>
                <w:sz w:val="24"/>
                <w:szCs w:val="24"/>
              </w:rPr>
              <w:t>Efektivita</w:t>
            </w:r>
          </w:p>
        </w:tc>
        <w:tc>
          <w:tcPr>
            <w:tcW w:w="1538" w:type="dxa"/>
            <w:shd w:val="clear" w:color="auto" w:fill="DEEAF6" w:themeFill="accent1" w:themeFillTint="33"/>
          </w:tcPr>
          <w:p w14:paraId="18D2470E" w14:textId="77777777" w:rsidR="007D0954" w:rsidRDefault="007D0954" w:rsidP="00851432">
            <w:pPr>
              <w:rPr>
                <w:rFonts w:ascii="Times New Roman" w:hAnsi="Times New Roman" w:cs="Times New Roman"/>
                <w:b/>
                <w:sz w:val="24"/>
                <w:szCs w:val="24"/>
              </w:rPr>
            </w:pPr>
            <w:r>
              <w:rPr>
                <w:rFonts w:ascii="Times New Roman" w:hAnsi="Times New Roman" w:cs="Times New Roman"/>
                <w:b/>
                <w:sz w:val="24"/>
                <w:szCs w:val="24"/>
              </w:rPr>
              <w:t>Nákladnost</w:t>
            </w:r>
          </w:p>
        </w:tc>
        <w:tc>
          <w:tcPr>
            <w:tcW w:w="1649" w:type="dxa"/>
            <w:shd w:val="clear" w:color="auto" w:fill="DEEAF6" w:themeFill="accent1" w:themeFillTint="33"/>
          </w:tcPr>
          <w:p w14:paraId="55FC995C" w14:textId="77777777" w:rsidR="007D0954" w:rsidRDefault="007D0954" w:rsidP="00851432">
            <w:pPr>
              <w:rPr>
                <w:rFonts w:ascii="Times New Roman" w:hAnsi="Times New Roman" w:cs="Times New Roman"/>
                <w:b/>
                <w:sz w:val="24"/>
                <w:szCs w:val="24"/>
              </w:rPr>
            </w:pPr>
            <w:r>
              <w:rPr>
                <w:rFonts w:ascii="Times New Roman" w:hAnsi="Times New Roman" w:cs="Times New Roman"/>
                <w:b/>
                <w:sz w:val="24"/>
                <w:szCs w:val="24"/>
              </w:rPr>
              <w:t>Koherence</w:t>
            </w:r>
          </w:p>
        </w:tc>
      </w:tr>
      <w:tr w:rsidR="0040534E" w14:paraId="403D0166" w14:textId="77777777" w:rsidTr="00D102B5">
        <w:tc>
          <w:tcPr>
            <w:tcW w:w="2345" w:type="dxa"/>
            <w:vMerge w:val="restart"/>
          </w:tcPr>
          <w:p w14:paraId="1016CA51" w14:textId="77777777" w:rsidR="007D0954" w:rsidRPr="003D1575" w:rsidRDefault="007D0954" w:rsidP="00851432">
            <w:pPr>
              <w:jc w:val="both"/>
              <w:rPr>
                <w:rFonts w:ascii="Times New Roman" w:hAnsi="Times New Roman" w:cs="Times New Roman"/>
                <w:sz w:val="24"/>
                <w:szCs w:val="24"/>
              </w:rPr>
            </w:pPr>
            <w:r w:rsidRPr="003D1575">
              <w:rPr>
                <w:rFonts w:ascii="Times New Roman" w:hAnsi="Times New Roman" w:cs="Times New Roman"/>
                <w:sz w:val="24"/>
                <w:szCs w:val="24"/>
              </w:rPr>
              <w:t>Rozšíření možností zprostředkované identifikace klienta</w:t>
            </w:r>
          </w:p>
          <w:p w14:paraId="555C3647" w14:textId="77777777" w:rsidR="007D0954" w:rsidRPr="00784F59" w:rsidRDefault="007D0954" w:rsidP="00851432">
            <w:pPr>
              <w:jc w:val="both"/>
              <w:rPr>
                <w:rFonts w:ascii="Times New Roman" w:hAnsi="Times New Roman"/>
                <w:sz w:val="24"/>
                <w:szCs w:val="24"/>
              </w:rPr>
            </w:pPr>
          </w:p>
        </w:tc>
        <w:tc>
          <w:tcPr>
            <w:tcW w:w="2452" w:type="dxa"/>
          </w:tcPr>
          <w:p w14:paraId="4D9B2C1E" w14:textId="77777777" w:rsidR="007D0954" w:rsidRDefault="007D0954" w:rsidP="00851432">
            <w:pPr>
              <w:rPr>
                <w:rFonts w:ascii="Times New Roman" w:hAnsi="Times New Roman" w:cs="Times New Roman"/>
                <w:sz w:val="24"/>
                <w:szCs w:val="24"/>
              </w:rPr>
            </w:pPr>
            <w:r>
              <w:rPr>
                <w:rFonts w:ascii="Times New Roman" w:hAnsi="Times New Roman" w:cs="Times New Roman"/>
                <w:sz w:val="24"/>
                <w:szCs w:val="24"/>
              </w:rPr>
              <w:t>Nulová varianta (v souladu se směrnicí)</w:t>
            </w:r>
          </w:p>
          <w:p w14:paraId="54F84B12" w14:textId="77777777" w:rsidR="007D0954" w:rsidRDefault="007D0954" w:rsidP="00851432">
            <w:pPr>
              <w:rPr>
                <w:rFonts w:ascii="Times New Roman" w:hAnsi="Times New Roman" w:cs="Times New Roman"/>
                <w:sz w:val="24"/>
                <w:szCs w:val="24"/>
              </w:rPr>
            </w:pPr>
          </w:p>
        </w:tc>
        <w:tc>
          <w:tcPr>
            <w:tcW w:w="1304" w:type="dxa"/>
          </w:tcPr>
          <w:p w14:paraId="5464D904" w14:textId="77777777" w:rsidR="007D0954" w:rsidRDefault="0040534E" w:rsidP="00851432">
            <w:pPr>
              <w:rPr>
                <w:rFonts w:ascii="Times New Roman" w:hAnsi="Times New Roman" w:cs="Times New Roman"/>
                <w:sz w:val="24"/>
                <w:szCs w:val="24"/>
              </w:rPr>
            </w:pPr>
            <w:r>
              <w:rPr>
                <w:rFonts w:ascii="Times New Roman" w:hAnsi="Times New Roman" w:cs="Times New Roman"/>
                <w:sz w:val="24"/>
                <w:szCs w:val="24"/>
              </w:rPr>
              <w:t>-</w:t>
            </w:r>
          </w:p>
        </w:tc>
        <w:tc>
          <w:tcPr>
            <w:tcW w:w="1538" w:type="dxa"/>
          </w:tcPr>
          <w:p w14:paraId="3BE64260" w14:textId="77777777" w:rsidR="007D0954" w:rsidRDefault="0040534E" w:rsidP="00851432">
            <w:pPr>
              <w:rPr>
                <w:rFonts w:ascii="Times New Roman" w:hAnsi="Times New Roman" w:cs="Times New Roman"/>
                <w:sz w:val="24"/>
                <w:szCs w:val="24"/>
              </w:rPr>
            </w:pPr>
            <w:r>
              <w:rPr>
                <w:rFonts w:ascii="Times New Roman" w:hAnsi="Times New Roman" w:cs="Times New Roman"/>
                <w:sz w:val="24"/>
                <w:szCs w:val="24"/>
              </w:rPr>
              <w:t>0</w:t>
            </w:r>
          </w:p>
        </w:tc>
        <w:tc>
          <w:tcPr>
            <w:tcW w:w="1649" w:type="dxa"/>
          </w:tcPr>
          <w:p w14:paraId="0B8D2123" w14:textId="77777777" w:rsidR="007D0954" w:rsidRDefault="0040534E" w:rsidP="00851432">
            <w:pPr>
              <w:rPr>
                <w:rFonts w:ascii="Times New Roman" w:hAnsi="Times New Roman" w:cs="Times New Roman"/>
                <w:sz w:val="24"/>
                <w:szCs w:val="24"/>
              </w:rPr>
            </w:pPr>
            <w:r>
              <w:rPr>
                <w:rFonts w:ascii="Times New Roman" w:hAnsi="Times New Roman" w:cs="Times New Roman"/>
                <w:sz w:val="24"/>
                <w:szCs w:val="24"/>
              </w:rPr>
              <w:t>-</w:t>
            </w:r>
          </w:p>
        </w:tc>
      </w:tr>
      <w:tr w:rsidR="0040534E" w14:paraId="5BAE9F54" w14:textId="77777777" w:rsidTr="00D102B5">
        <w:tc>
          <w:tcPr>
            <w:tcW w:w="2345" w:type="dxa"/>
            <w:vMerge/>
          </w:tcPr>
          <w:p w14:paraId="7F6B7D0B" w14:textId="77777777" w:rsidR="007D0954" w:rsidRDefault="007D0954" w:rsidP="00851432">
            <w:pPr>
              <w:jc w:val="both"/>
              <w:rPr>
                <w:rFonts w:ascii="Times New Roman" w:hAnsi="Times New Roman" w:cs="Times New Roman"/>
                <w:sz w:val="24"/>
                <w:szCs w:val="24"/>
              </w:rPr>
            </w:pPr>
          </w:p>
        </w:tc>
        <w:tc>
          <w:tcPr>
            <w:tcW w:w="2452" w:type="dxa"/>
          </w:tcPr>
          <w:p w14:paraId="59A90AC7" w14:textId="77777777" w:rsidR="007D0954" w:rsidRDefault="007D0954" w:rsidP="00851432">
            <w:pPr>
              <w:rPr>
                <w:rFonts w:ascii="Times New Roman" w:hAnsi="Times New Roman" w:cs="Times New Roman"/>
                <w:sz w:val="24"/>
                <w:szCs w:val="24"/>
              </w:rPr>
            </w:pPr>
            <w:r>
              <w:rPr>
                <w:rFonts w:ascii="Times New Roman" w:hAnsi="Times New Roman" w:cs="Times New Roman"/>
                <w:sz w:val="24"/>
                <w:szCs w:val="24"/>
              </w:rPr>
              <w:t>Umožnit zprostředkovanou identifikaci u Czech</w:t>
            </w:r>
            <w:r w:rsidR="00CF5D1E">
              <w:rPr>
                <w:rFonts w:ascii="Times New Roman" w:hAnsi="Times New Roman" w:cs="Times New Roman"/>
                <w:sz w:val="24"/>
                <w:szCs w:val="24"/>
              </w:rPr>
              <w:t>POINT</w:t>
            </w:r>
            <w:r>
              <w:rPr>
                <w:rFonts w:ascii="Times New Roman" w:hAnsi="Times New Roman" w:cs="Times New Roman"/>
                <w:sz w:val="24"/>
                <w:szCs w:val="24"/>
              </w:rPr>
              <w:t xml:space="preserve">  </w:t>
            </w:r>
          </w:p>
        </w:tc>
        <w:tc>
          <w:tcPr>
            <w:tcW w:w="1304" w:type="dxa"/>
          </w:tcPr>
          <w:p w14:paraId="450F50D4" w14:textId="77777777" w:rsidR="007D0954" w:rsidRDefault="0040534E" w:rsidP="00851432">
            <w:pPr>
              <w:rPr>
                <w:rFonts w:ascii="Times New Roman" w:hAnsi="Times New Roman" w:cs="Times New Roman"/>
                <w:sz w:val="24"/>
                <w:szCs w:val="24"/>
              </w:rPr>
            </w:pPr>
            <w:r>
              <w:rPr>
                <w:rFonts w:ascii="Times New Roman" w:hAnsi="Times New Roman" w:cs="Times New Roman"/>
                <w:sz w:val="24"/>
                <w:szCs w:val="24"/>
              </w:rPr>
              <w:t>+</w:t>
            </w:r>
          </w:p>
          <w:p w14:paraId="779CBB5D" w14:textId="77777777" w:rsidR="0040534E" w:rsidRPr="0040534E" w:rsidRDefault="0040534E" w:rsidP="00851432">
            <w:pPr>
              <w:rPr>
                <w:rFonts w:ascii="Times New Roman" w:hAnsi="Times New Roman" w:cs="Times New Roman"/>
                <w:sz w:val="20"/>
                <w:szCs w:val="20"/>
              </w:rPr>
            </w:pPr>
            <w:r w:rsidRPr="0040534E">
              <w:rPr>
                <w:rFonts w:ascii="Times New Roman" w:hAnsi="Times New Roman" w:cs="Times New Roman"/>
                <w:sz w:val="20"/>
                <w:szCs w:val="20"/>
              </w:rPr>
              <w:t>Efektivnější úprava = širší možnost vyhovět požadavkům zákona</w:t>
            </w:r>
            <w:r>
              <w:rPr>
                <w:rFonts w:ascii="Times New Roman" w:hAnsi="Times New Roman" w:cs="Times New Roman"/>
                <w:sz w:val="20"/>
                <w:szCs w:val="20"/>
              </w:rPr>
              <w:t>.</w:t>
            </w:r>
          </w:p>
        </w:tc>
        <w:tc>
          <w:tcPr>
            <w:tcW w:w="1538" w:type="dxa"/>
          </w:tcPr>
          <w:p w14:paraId="52CCE3A2" w14:textId="77777777" w:rsidR="007D0954" w:rsidRDefault="0040534E" w:rsidP="00851432">
            <w:pPr>
              <w:rPr>
                <w:rFonts w:ascii="Times New Roman" w:hAnsi="Times New Roman" w:cs="Times New Roman"/>
                <w:sz w:val="24"/>
                <w:szCs w:val="24"/>
              </w:rPr>
            </w:pPr>
            <w:r>
              <w:rPr>
                <w:rFonts w:ascii="Times New Roman" w:hAnsi="Times New Roman" w:cs="Times New Roman"/>
                <w:sz w:val="24"/>
                <w:szCs w:val="24"/>
              </w:rPr>
              <w:t>+</w:t>
            </w:r>
          </w:p>
          <w:p w14:paraId="194599A4" w14:textId="77777777" w:rsidR="0040534E" w:rsidRPr="0040534E" w:rsidRDefault="0040534E" w:rsidP="00851432">
            <w:pPr>
              <w:rPr>
                <w:rFonts w:ascii="Times New Roman" w:hAnsi="Times New Roman" w:cs="Times New Roman"/>
                <w:sz w:val="20"/>
                <w:szCs w:val="20"/>
              </w:rPr>
            </w:pPr>
            <w:r w:rsidRPr="0040534E">
              <w:rPr>
                <w:rFonts w:ascii="Times New Roman" w:hAnsi="Times New Roman" w:cs="Times New Roman"/>
                <w:sz w:val="20"/>
                <w:szCs w:val="20"/>
              </w:rPr>
              <w:t>Změna vyvolá náklady, které ponesou převážně ti, kteří možnosti zprostředkované identifikace využijí.</w:t>
            </w:r>
          </w:p>
        </w:tc>
        <w:tc>
          <w:tcPr>
            <w:tcW w:w="1649" w:type="dxa"/>
          </w:tcPr>
          <w:p w14:paraId="1E23EF9D" w14:textId="77777777" w:rsidR="007D0954" w:rsidRDefault="0040534E" w:rsidP="00851432">
            <w:pPr>
              <w:rPr>
                <w:rFonts w:ascii="Times New Roman" w:hAnsi="Times New Roman" w:cs="Times New Roman"/>
                <w:sz w:val="24"/>
                <w:szCs w:val="24"/>
              </w:rPr>
            </w:pPr>
            <w:r>
              <w:rPr>
                <w:rFonts w:ascii="Times New Roman" w:hAnsi="Times New Roman" w:cs="Times New Roman"/>
                <w:sz w:val="24"/>
                <w:szCs w:val="24"/>
              </w:rPr>
              <w:t>+</w:t>
            </w:r>
          </w:p>
          <w:p w14:paraId="63AC1500" w14:textId="77777777" w:rsidR="0040534E" w:rsidRPr="0040534E" w:rsidRDefault="0040534E" w:rsidP="00851432">
            <w:pPr>
              <w:rPr>
                <w:rFonts w:ascii="Times New Roman" w:hAnsi="Times New Roman" w:cs="Times New Roman"/>
                <w:sz w:val="20"/>
                <w:szCs w:val="20"/>
              </w:rPr>
            </w:pPr>
            <w:r>
              <w:rPr>
                <w:rFonts w:ascii="Times New Roman" w:hAnsi="Times New Roman" w:cs="Times New Roman"/>
                <w:sz w:val="20"/>
                <w:szCs w:val="20"/>
              </w:rPr>
              <w:t>Tak, jako zprostředkovanou identifikaci může provést např. notář, bude ji moci provést i Czech</w:t>
            </w:r>
            <w:r w:rsidR="00CF5D1E" w:rsidRPr="00CF5D1E">
              <w:rPr>
                <w:rFonts w:ascii="Times New Roman" w:hAnsi="Times New Roman" w:cs="Times New Roman"/>
                <w:sz w:val="20"/>
                <w:szCs w:val="20"/>
              </w:rPr>
              <w:t>POINT</w:t>
            </w:r>
            <w:r>
              <w:rPr>
                <w:rFonts w:ascii="Times New Roman" w:hAnsi="Times New Roman" w:cs="Times New Roman"/>
                <w:sz w:val="20"/>
                <w:szCs w:val="20"/>
              </w:rPr>
              <w:t>.</w:t>
            </w:r>
          </w:p>
        </w:tc>
      </w:tr>
    </w:tbl>
    <w:p w14:paraId="55233CCB" w14:textId="77777777" w:rsidR="00BA05B6" w:rsidRDefault="00BA05B6" w:rsidP="00BA05B6">
      <w:pPr>
        <w:jc w:val="both"/>
        <w:rPr>
          <w:rFonts w:ascii="Times New Roman" w:hAnsi="Times New Roman" w:cs="Times New Roman"/>
          <w:sz w:val="24"/>
          <w:szCs w:val="24"/>
        </w:rPr>
      </w:pPr>
    </w:p>
    <w:p w14:paraId="43E02B6F" w14:textId="77777777" w:rsidR="00CF5D1E" w:rsidRDefault="00CF5D1E" w:rsidP="00BA05B6">
      <w:pPr>
        <w:jc w:val="both"/>
        <w:rPr>
          <w:rFonts w:ascii="Times New Roman" w:hAnsi="Times New Roman" w:cs="Times New Roman"/>
          <w:b/>
          <w:sz w:val="24"/>
          <w:szCs w:val="24"/>
        </w:rPr>
      </w:pPr>
      <w:r>
        <w:rPr>
          <w:rFonts w:ascii="Times New Roman" w:hAnsi="Times New Roman" w:cs="Times New Roman"/>
          <w:b/>
          <w:sz w:val="24"/>
          <w:szCs w:val="24"/>
        </w:rPr>
        <w:lastRenderedPageBreak/>
        <w:t>Závěr:</w:t>
      </w:r>
    </w:p>
    <w:p w14:paraId="09EF2C8D" w14:textId="77777777" w:rsidR="00CF5D1E" w:rsidRDefault="00CF5D1E" w:rsidP="00BA05B6">
      <w:pPr>
        <w:jc w:val="both"/>
        <w:rPr>
          <w:rFonts w:ascii="Times New Roman" w:hAnsi="Times New Roman" w:cs="Times New Roman"/>
          <w:b/>
          <w:sz w:val="24"/>
          <w:szCs w:val="24"/>
        </w:rPr>
      </w:pPr>
      <w:r>
        <w:rPr>
          <w:rFonts w:ascii="Times New Roman" w:hAnsi="Times New Roman" w:cs="Times New Roman"/>
          <w:b/>
          <w:sz w:val="24"/>
          <w:szCs w:val="24"/>
        </w:rPr>
        <w:t xml:space="preserve">Doporučuje se </w:t>
      </w:r>
      <w:r w:rsidR="007D39EA">
        <w:rPr>
          <w:rFonts w:ascii="Times New Roman" w:hAnsi="Times New Roman" w:cs="Times New Roman"/>
          <w:b/>
          <w:sz w:val="24"/>
          <w:szCs w:val="24"/>
        </w:rPr>
        <w:t>rozšířit v zákoně možnost zprostředkované identifikace na kontaktní místa veřejné správy.</w:t>
      </w:r>
    </w:p>
    <w:p w14:paraId="378CCDED" w14:textId="77777777" w:rsidR="007D39EA" w:rsidRPr="001B111C" w:rsidRDefault="007D39EA" w:rsidP="00BA05B6">
      <w:pPr>
        <w:jc w:val="both"/>
        <w:rPr>
          <w:rFonts w:ascii="Times New Roman" w:hAnsi="Times New Roman" w:cs="Times New Roman"/>
          <w:b/>
          <w:sz w:val="24"/>
          <w:szCs w:val="24"/>
        </w:rPr>
      </w:pPr>
    </w:p>
    <w:p w14:paraId="51BB1A1C" w14:textId="77777777" w:rsidR="00AB5AF1" w:rsidRPr="004C725D" w:rsidRDefault="00AB5AF1" w:rsidP="001B111C">
      <w:pPr>
        <w:pStyle w:val="Odstavecseseznamem"/>
        <w:numPr>
          <w:ilvl w:val="1"/>
          <w:numId w:val="1"/>
        </w:numPr>
        <w:ind w:left="432"/>
        <w:rPr>
          <w:rFonts w:ascii="Times New Roman" w:hAnsi="Times New Roman"/>
          <w:b/>
          <w:sz w:val="24"/>
          <w:szCs w:val="24"/>
        </w:rPr>
      </w:pPr>
      <w:r w:rsidRPr="001B111C">
        <w:rPr>
          <w:rFonts w:ascii="Times New Roman" w:hAnsi="Times New Roman"/>
          <w:b/>
          <w:sz w:val="24"/>
          <w:szCs w:val="24"/>
        </w:rPr>
        <w:t>Změna úpravy sankcí</w:t>
      </w:r>
    </w:p>
    <w:p w14:paraId="1E748754" w14:textId="77777777" w:rsidR="004C725D" w:rsidRDefault="004C725D" w:rsidP="004C725D">
      <w:pPr>
        <w:jc w:val="both"/>
        <w:rPr>
          <w:rFonts w:ascii="Times New Roman" w:hAnsi="Times New Roman" w:cs="Times New Roman"/>
          <w:sz w:val="24"/>
          <w:szCs w:val="24"/>
        </w:rPr>
      </w:pPr>
      <w:r>
        <w:rPr>
          <w:rFonts w:ascii="Times New Roman" w:hAnsi="Times New Roman" w:cs="Times New Roman"/>
          <w:sz w:val="24"/>
          <w:szCs w:val="24"/>
        </w:rPr>
        <w:t xml:space="preserve">AML zákon upravuje v šesté části správní delikty (§ 43 – 53) a stanoví sankce. Čtvrtá AML směrnice upravuje sankční režim v oddíle 4 (článek 55 </w:t>
      </w:r>
      <w:proofErr w:type="spellStart"/>
      <w:r>
        <w:rPr>
          <w:rFonts w:ascii="Times New Roman" w:hAnsi="Times New Roman" w:cs="Times New Roman"/>
          <w:sz w:val="24"/>
          <w:szCs w:val="24"/>
        </w:rPr>
        <w:t>an</w:t>
      </w:r>
      <w:proofErr w:type="spellEnd"/>
      <w:r>
        <w:rPr>
          <w:rFonts w:ascii="Times New Roman" w:hAnsi="Times New Roman" w:cs="Times New Roman"/>
          <w:sz w:val="24"/>
          <w:szCs w:val="24"/>
        </w:rPr>
        <w:t>). Předkladatel zrevidoval sankční režim podle zákona ve světle požadavků směrnice a zvážil změnu úpravy.</w:t>
      </w:r>
    </w:p>
    <w:p w14:paraId="0A4AF58C" w14:textId="77777777" w:rsidR="00411DCC" w:rsidRDefault="00411DCC" w:rsidP="004C725D">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BA05B6" w:rsidRPr="00BD190B" w14:paraId="4BFB2573" w14:textId="77777777" w:rsidTr="00775913">
        <w:tc>
          <w:tcPr>
            <w:tcW w:w="4531" w:type="dxa"/>
            <w:shd w:val="clear" w:color="auto" w:fill="DEEAF6" w:themeFill="accent1" w:themeFillTint="33"/>
          </w:tcPr>
          <w:p w14:paraId="1336DCD3" w14:textId="77777777" w:rsidR="00BA05B6" w:rsidRPr="001B111C" w:rsidRDefault="00BA05B6" w:rsidP="00851432">
            <w:pPr>
              <w:rPr>
                <w:rFonts w:ascii="Times New Roman" w:hAnsi="Times New Roman" w:cs="Times New Roman"/>
                <w:b/>
                <w:sz w:val="24"/>
                <w:szCs w:val="24"/>
              </w:rPr>
            </w:pPr>
            <w:r w:rsidRPr="001B111C">
              <w:rPr>
                <w:rFonts w:ascii="Times New Roman" w:hAnsi="Times New Roman" w:cs="Times New Roman"/>
                <w:b/>
                <w:sz w:val="24"/>
                <w:szCs w:val="24"/>
              </w:rPr>
              <w:t>Téma</w:t>
            </w:r>
          </w:p>
        </w:tc>
        <w:tc>
          <w:tcPr>
            <w:tcW w:w="4531" w:type="dxa"/>
            <w:shd w:val="clear" w:color="auto" w:fill="DEEAF6" w:themeFill="accent1" w:themeFillTint="33"/>
          </w:tcPr>
          <w:p w14:paraId="3AC2531C" w14:textId="77777777" w:rsidR="00BA05B6" w:rsidRPr="001B111C" w:rsidRDefault="00BA05B6" w:rsidP="00851432">
            <w:pPr>
              <w:rPr>
                <w:rFonts w:ascii="Times New Roman" w:hAnsi="Times New Roman" w:cs="Times New Roman"/>
                <w:b/>
                <w:sz w:val="24"/>
                <w:szCs w:val="24"/>
              </w:rPr>
            </w:pPr>
            <w:r w:rsidRPr="001B111C">
              <w:rPr>
                <w:rFonts w:ascii="Times New Roman" w:hAnsi="Times New Roman" w:cs="Times New Roman"/>
                <w:b/>
                <w:sz w:val="24"/>
                <w:szCs w:val="24"/>
              </w:rPr>
              <w:t>Varianty</w:t>
            </w:r>
          </w:p>
        </w:tc>
      </w:tr>
      <w:tr w:rsidR="00BA05B6" w:rsidRPr="00BD190B" w14:paraId="6D1D14DD" w14:textId="77777777" w:rsidTr="00775913">
        <w:tc>
          <w:tcPr>
            <w:tcW w:w="4531" w:type="dxa"/>
            <w:vMerge w:val="restart"/>
          </w:tcPr>
          <w:p w14:paraId="7CD8832B" w14:textId="77777777" w:rsidR="00BA05B6" w:rsidRPr="001B111C" w:rsidRDefault="00BA05B6" w:rsidP="00851432">
            <w:pPr>
              <w:jc w:val="both"/>
              <w:rPr>
                <w:rFonts w:ascii="Times New Roman" w:hAnsi="Times New Roman" w:cs="Times New Roman"/>
                <w:sz w:val="24"/>
                <w:szCs w:val="24"/>
              </w:rPr>
            </w:pPr>
            <w:r w:rsidRPr="001B111C">
              <w:rPr>
                <w:rFonts w:ascii="Times New Roman" w:hAnsi="Times New Roman" w:cs="Times New Roman"/>
                <w:sz w:val="24"/>
                <w:szCs w:val="24"/>
              </w:rPr>
              <w:t xml:space="preserve">Změna úpravy sankcí </w:t>
            </w:r>
          </w:p>
          <w:p w14:paraId="192CF306" w14:textId="77777777" w:rsidR="00BA05B6" w:rsidRPr="001B111C" w:rsidRDefault="00BA05B6" w:rsidP="00851432">
            <w:pPr>
              <w:jc w:val="both"/>
              <w:rPr>
                <w:rFonts w:ascii="Times New Roman" w:hAnsi="Times New Roman"/>
                <w:sz w:val="24"/>
                <w:szCs w:val="24"/>
              </w:rPr>
            </w:pPr>
          </w:p>
        </w:tc>
        <w:tc>
          <w:tcPr>
            <w:tcW w:w="4531" w:type="dxa"/>
          </w:tcPr>
          <w:p w14:paraId="6C73DDF5" w14:textId="77777777" w:rsidR="00BA05B6" w:rsidRPr="001B111C" w:rsidRDefault="00BA05B6" w:rsidP="00851432">
            <w:pPr>
              <w:rPr>
                <w:rFonts w:ascii="Times New Roman" w:hAnsi="Times New Roman" w:cs="Times New Roman"/>
                <w:sz w:val="24"/>
                <w:szCs w:val="24"/>
              </w:rPr>
            </w:pPr>
            <w:r w:rsidRPr="001B111C">
              <w:rPr>
                <w:rFonts w:ascii="Times New Roman" w:hAnsi="Times New Roman" w:cs="Times New Roman"/>
                <w:sz w:val="24"/>
                <w:szCs w:val="24"/>
              </w:rPr>
              <w:t xml:space="preserve">Nulová varianta </w:t>
            </w:r>
          </w:p>
          <w:p w14:paraId="3416E35C" w14:textId="77777777" w:rsidR="00BA05B6" w:rsidRPr="001B111C" w:rsidRDefault="00BA05B6" w:rsidP="00851432">
            <w:pPr>
              <w:rPr>
                <w:rFonts w:ascii="Times New Roman" w:hAnsi="Times New Roman" w:cs="Times New Roman"/>
                <w:sz w:val="24"/>
                <w:szCs w:val="24"/>
              </w:rPr>
            </w:pPr>
          </w:p>
        </w:tc>
      </w:tr>
      <w:tr w:rsidR="00BA05B6" w:rsidRPr="00BD190B" w14:paraId="100B480E" w14:textId="77777777" w:rsidTr="00775913">
        <w:tc>
          <w:tcPr>
            <w:tcW w:w="4531" w:type="dxa"/>
            <w:vMerge/>
          </w:tcPr>
          <w:p w14:paraId="0FB65754" w14:textId="77777777" w:rsidR="00BA05B6" w:rsidRPr="001B111C" w:rsidRDefault="00BA05B6" w:rsidP="00851432">
            <w:pPr>
              <w:jc w:val="both"/>
              <w:rPr>
                <w:rFonts w:ascii="Times New Roman" w:hAnsi="Times New Roman" w:cs="Times New Roman"/>
                <w:sz w:val="24"/>
                <w:szCs w:val="24"/>
              </w:rPr>
            </w:pPr>
          </w:p>
        </w:tc>
        <w:tc>
          <w:tcPr>
            <w:tcW w:w="4531" w:type="dxa"/>
          </w:tcPr>
          <w:p w14:paraId="6140DA80" w14:textId="72F5C171" w:rsidR="00BA05B6" w:rsidRPr="001B111C" w:rsidRDefault="004C725D" w:rsidP="00851432">
            <w:pPr>
              <w:rPr>
                <w:rFonts w:ascii="Times New Roman" w:hAnsi="Times New Roman" w:cs="Times New Roman"/>
                <w:sz w:val="24"/>
                <w:szCs w:val="24"/>
              </w:rPr>
            </w:pPr>
            <w:r>
              <w:rPr>
                <w:rFonts w:ascii="Times New Roman" w:hAnsi="Times New Roman" w:cs="Times New Roman"/>
                <w:sz w:val="24"/>
                <w:szCs w:val="24"/>
              </w:rPr>
              <w:t>Upravit</w:t>
            </w:r>
            <w:r w:rsidRPr="001B111C">
              <w:rPr>
                <w:rFonts w:ascii="Times New Roman" w:hAnsi="Times New Roman" w:cs="Times New Roman"/>
                <w:sz w:val="24"/>
                <w:szCs w:val="24"/>
              </w:rPr>
              <w:t xml:space="preserve"> </w:t>
            </w:r>
            <w:r w:rsidR="00BA05B6" w:rsidRPr="001B111C">
              <w:rPr>
                <w:rFonts w:ascii="Times New Roman" w:hAnsi="Times New Roman" w:cs="Times New Roman"/>
                <w:sz w:val="24"/>
                <w:szCs w:val="24"/>
              </w:rPr>
              <w:t>sankce</w:t>
            </w:r>
          </w:p>
        </w:tc>
      </w:tr>
    </w:tbl>
    <w:p w14:paraId="1951E541" w14:textId="77777777" w:rsidR="00BA05B6" w:rsidRDefault="00BA05B6" w:rsidP="00BA05B6">
      <w:pPr>
        <w:jc w:val="both"/>
        <w:rPr>
          <w:rFonts w:ascii="Times New Roman" w:hAnsi="Times New Roman" w:cs="Times New Roman"/>
          <w:sz w:val="24"/>
          <w:szCs w:val="24"/>
        </w:rPr>
      </w:pPr>
    </w:p>
    <w:p w14:paraId="7A310C28" w14:textId="514D7FC2" w:rsidR="004C725D" w:rsidRDefault="0099208B" w:rsidP="00BA05B6">
      <w:pPr>
        <w:jc w:val="both"/>
        <w:rPr>
          <w:rFonts w:ascii="Times New Roman" w:hAnsi="Times New Roman" w:cs="Times New Roman"/>
          <w:sz w:val="24"/>
          <w:szCs w:val="24"/>
        </w:rPr>
      </w:pPr>
      <w:r>
        <w:rPr>
          <w:rFonts w:ascii="Times New Roman" w:hAnsi="Times New Roman" w:cs="Times New Roman"/>
          <w:sz w:val="24"/>
          <w:szCs w:val="24"/>
        </w:rPr>
        <w:t xml:space="preserve">Přijetí čtvrté AML směrnice vyvolává potřebu revidovat sankční režim za porušení AML povinností. Sankční režim dle stávající úpravy zahrnuje jak AML zákon, tak trestní zákon (zákon č. 40/2009 Sb., v platném znění) a zákon o trestní odpovědnosti právnických osob (zákon č. 418/2011 Sb., v platném znění). </w:t>
      </w:r>
    </w:p>
    <w:p w14:paraId="73710158" w14:textId="4984A871" w:rsidR="0099208B" w:rsidRDefault="0099208B" w:rsidP="00BA05B6">
      <w:pPr>
        <w:jc w:val="both"/>
        <w:rPr>
          <w:rFonts w:ascii="Times New Roman" w:hAnsi="Times New Roman" w:cs="Times New Roman"/>
          <w:sz w:val="24"/>
          <w:szCs w:val="24"/>
        </w:rPr>
      </w:pPr>
      <w:r>
        <w:rPr>
          <w:rFonts w:ascii="Times New Roman" w:hAnsi="Times New Roman" w:cs="Times New Roman"/>
          <w:sz w:val="24"/>
          <w:szCs w:val="24"/>
        </w:rPr>
        <w:t xml:space="preserve">Čtvrtá AML směrnice přináší jak zpřísnění stávajících sankcí, tak zavedení typově nových sankcí, jmenovitě trest zveřejnění rozhodnutí. </w:t>
      </w:r>
      <w:r w:rsidR="00A04BDD">
        <w:rPr>
          <w:rFonts w:ascii="Times New Roman" w:hAnsi="Times New Roman" w:cs="Times New Roman"/>
          <w:sz w:val="24"/>
          <w:szCs w:val="24"/>
        </w:rPr>
        <w:t>Vzhledem k povinnosti směrnici implementovat nehodnotil předkladatel dopady jednotlivých sankcí, neboť lze jen obtížně předvídat, nakolik budou mít nově navrhované sankce jiný dopad co do prevence a výchovy, restituce, satisfakce, příp. represe. V podrobnostech komentuje navrhovaný sankční režim důvodová zpráva.</w:t>
      </w:r>
    </w:p>
    <w:p w14:paraId="46AC55CA" w14:textId="21C4E94E" w:rsidR="004C725D" w:rsidRDefault="004C725D" w:rsidP="00BA05B6">
      <w:pPr>
        <w:jc w:val="both"/>
        <w:rPr>
          <w:rFonts w:ascii="Times New Roman" w:hAnsi="Times New Roman" w:cs="Times New Roman"/>
          <w:b/>
          <w:sz w:val="24"/>
          <w:szCs w:val="24"/>
        </w:rPr>
      </w:pPr>
      <w:r>
        <w:rPr>
          <w:rFonts w:ascii="Times New Roman" w:hAnsi="Times New Roman" w:cs="Times New Roman"/>
          <w:b/>
          <w:sz w:val="24"/>
          <w:szCs w:val="24"/>
        </w:rPr>
        <w:t xml:space="preserve">Závěr: Navrhuje se upravit sankce </w:t>
      </w:r>
      <w:r w:rsidR="0099208B">
        <w:rPr>
          <w:rFonts w:ascii="Times New Roman" w:hAnsi="Times New Roman" w:cs="Times New Roman"/>
          <w:b/>
          <w:sz w:val="24"/>
          <w:szCs w:val="24"/>
        </w:rPr>
        <w:t>AML zákona</w:t>
      </w:r>
      <w:r>
        <w:rPr>
          <w:rFonts w:ascii="Times New Roman" w:hAnsi="Times New Roman" w:cs="Times New Roman"/>
          <w:b/>
          <w:sz w:val="24"/>
          <w:szCs w:val="24"/>
        </w:rPr>
        <w:t xml:space="preserve"> v souladu se směrnicí.</w:t>
      </w:r>
    </w:p>
    <w:p w14:paraId="75D4AF93" w14:textId="77777777" w:rsidR="00BA05B6" w:rsidRDefault="00BA05B6" w:rsidP="00A763B0">
      <w:pPr>
        <w:pStyle w:val="Odstavecseseznamem"/>
        <w:numPr>
          <w:ilvl w:val="1"/>
          <w:numId w:val="1"/>
        </w:numPr>
        <w:ind w:left="432"/>
        <w:rPr>
          <w:rFonts w:ascii="Times New Roman" w:hAnsi="Times New Roman"/>
          <w:b/>
          <w:sz w:val="24"/>
          <w:szCs w:val="24"/>
        </w:rPr>
      </w:pPr>
      <w:r w:rsidRPr="00A763B0">
        <w:rPr>
          <w:rFonts w:ascii="Times New Roman" w:hAnsi="Times New Roman"/>
          <w:b/>
          <w:sz w:val="24"/>
          <w:szCs w:val="24"/>
        </w:rPr>
        <w:t>Změna</w:t>
      </w:r>
      <w:r w:rsidR="00D102B5" w:rsidRPr="00A763B0">
        <w:rPr>
          <w:rFonts w:ascii="Times New Roman" w:hAnsi="Times New Roman"/>
          <w:b/>
          <w:sz w:val="24"/>
          <w:szCs w:val="24"/>
        </w:rPr>
        <w:t xml:space="preserve"> úpravy</w:t>
      </w:r>
      <w:r w:rsidRPr="00A763B0">
        <w:rPr>
          <w:rFonts w:ascii="Times New Roman" w:hAnsi="Times New Roman"/>
          <w:b/>
          <w:sz w:val="24"/>
          <w:szCs w:val="24"/>
        </w:rPr>
        <w:t xml:space="preserve"> správního dozoru a navazujících správních řízení</w:t>
      </w:r>
    </w:p>
    <w:p w14:paraId="2CCD9458" w14:textId="77777777" w:rsidR="00AB5AF1" w:rsidRPr="00A763B0" w:rsidRDefault="00AB5AF1" w:rsidP="00A763B0">
      <w:pPr>
        <w:pStyle w:val="Odstavecseseznamem"/>
        <w:ind w:left="432" w:firstLine="0"/>
        <w:rPr>
          <w:rFonts w:ascii="Times New Roman" w:hAnsi="Times New Roman"/>
          <w:b/>
          <w:sz w:val="24"/>
          <w:szCs w:val="24"/>
        </w:rPr>
      </w:pPr>
    </w:p>
    <w:p w14:paraId="7B6086BF" w14:textId="77777777" w:rsidR="00155762" w:rsidRDefault="00354F2E" w:rsidP="00155762">
      <w:pPr>
        <w:jc w:val="both"/>
        <w:rPr>
          <w:rFonts w:ascii="Times New Roman" w:hAnsi="Times New Roman" w:cs="Times New Roman"/>
          <w:sz w:val="24"/>
          <w:szCs w:val="24"/>
        </w:rPr>
      </w:pPr>
      <w:r>
        <w:rPr>
          <w:rFonts w:ascii="Times New Roman" w:hAnsi="Times New Roman" w:cs="Times New Roman"/>
          <w:sz w:val="24"/>
          <w:szCs w:val="24"/>
        </w:rPr>
        <w:t xml:space="preserve">V důsledku navrhované změny by Česká národní banka mohla vést správní řízení se subjekty, u nichž v rámci kontroly ČNB zjistí nedostatky. Dle stávající úpravy v takových situacích ČNB provádí kontrolu, poté však zahajuje a vede správní řízení FAÚ. </w:t>
      </w:r>
    </w:p>
    <w:p w14:paraId="411E4067" w14:textId="34170F53" w:rsidR="00D21C5E" w:rsidRDefault="00D21C5E" w:rsidP="00155762">
      <w:pPr>
        <w:jc w:val="both"/>
        <w:rPr>
          <w:rFonts w:ascii="Times New Roman" w:hAnsi="Times New Roman" w:cs="Times New Roman"/>
          <w:sz w:val="24"/>
          <w:szCs w:val="24"/>
        </w:rPr>
      </w:pPr>
      <w:r>
        <w:rPr>
          <w:rFonts w:ascii="Times New Roman" w:hAnsi="Times New Roman" w:cs="Times New Roman"/>
          <w:sz w:val="24"/>
          <w:szCs w:val="24"/>
        </w:rPr>
        <w:t xml:space="preserve">Tato změna by měla dopad na povinné osoby, u nichž ČNB </w:t>
      </w:r>
      <w:r w:rsidR="00A763B0">
        <w:rPr>
          <w:rFonts w:ascii="Times New Roman" w:hAnsi="Times New Roman" w:cs="Times New Roman"/>
          <w:sz w:val="24"/>
          <w:szCs w:val="24"/>
        </w:rPr>
        <w:t>vykonává dohled (§ 44 zákona č. </w:t>
      </w:r>
      <w:r>
        <w:rPr>
          <w:rFonts w:ascii="Times New Roman" w:hAnsi="Times New Roman" w:cs="Times New Roman"/>
          <w:sz w:val="24"/>
          <w:szCs w:val="24"/>
        </w:rPr>
        <w:t>6/1993 Sb., o České národní bance, v platném znění), příkladmo jde o banky, obchodníky s CP, investiční společnosti, investiční fondy, pojišťovny aj. Z pohledu povinných osob by však tento dopad byl nekvantifikovatelný a do jisté míry formální (jiný orgán než dosud povede správní řízení, nicméně bude to týž orgán, který prováděl kontrolu). Z pohledu naplňování účelu zákona půjde o efektivnější řešení</w:t>
      </w:r>
      <w:r w:rsidR="00F83FCF">
        <w:rPr>
          <w:rFonts w:ascii="Times New Roman" w:hAnsi="Times New Roman" w:cs="Times New Roman"/>
          <w:sz w:val="24"/>
          <w:szCs w:val="24"/>
        </w:rPr>
        <w:t>. Vedení správního řízení tím orgánem, který má z další dohledové činnosti o subjektu podrobný</w:t>
      </w:r>
      <w:r w:rsidR="00A763B0">
        <w:rPr>
          <w:rFonts w:ascii="Times New Roman" w:hAnsi="Times New Roman" w:cs="Times New Roman"/>
          <w:sz w:val="24"/>
          <w:szCs w:val="24"/>
        </w:rPr>
        <w:t xml:space="preserve"> přehled, a zároveň i přehled o </w:t>
      </w:r>
      <w:r w:rsidR="00F83FCF">
        <w:rPr>
          <w:rFonts w:ascii="Times New Roman" w:hAnsi="Times New Roman" w:cs="Times New Roman"/>
          <w:sz w:val="24"/>
          <w:szCs w:val="24"/>
        </w:rPr>
        <w:t>činnosti srovnatelných subjektů, bude při správním řízení pozitivním prvkem.</w:t>
      </w:r>
    </w:p>
    <w:p w14:paraId="4099825D" w14:textId="77777777" w:rsidR="00F83FCF" w:rsidRDefault="00F83FCF" w:rsidP="00155762">
      <w:pPr>
        <w:jc w:val="both"/>
        <w:rPr>
          <w:rFonts w:ascii="Times New Roman" w:hAnsi="Times New Roman" w:cs="Times New Roman"/>
          <w:sz w:val="24"/>
          <w:szCs w:val="24"/>
        </w:rPr>
      </w:pPr>
      <w:r>
        <w:rPr>
          <w:rFonts w:ascii="Times New Roman" w:hAnsi="Times New Roman" w:cs="Times New Roman"/>
          <w:sz w:val="24"/>
          <w:szCs w:val="24"/>
        </w:rPr>
        <w:t xml:space="preserve">Náklady, které bude nově muset vynakládat ČNB na správní řízení, dosud vynakládal FAÚ na správní řízení. Z tohoto pohledu </w:t>
      </w:r>
      <w:r w:rsidR="00CA7DC6">
        <w:rPr>
          <w:rFonts w:ascii="Times New Roman" w:hAnsi="Times New Roman" w:cs="Times New Roman"/>
          <w:sz w:val="24"/>
          <w:szCs w:val="24"/>
        </w:rPr>
        <w:t xml:space="preserve">tedy </w:t>
      </w:r>
      <w:r>
        <w:rPr>
          <w:rFonts w:ascii="Times New Roman" w:hAnsi="Times New Roman" w:cs="Times New Roman"/>
          <w:sz w:val="24"/>
          <w:szCs w:val="24"/>
        </w:rPr>
        <w:t>nejde o zvýšení nákladů.</w:t>
      </w:r>
    </w:p>
    <w:p w14:paraId="5C2B068C" w14:textId="77777777" w:rsidR="00CA7DC6" w:rsidRDefault="00CA7DC6" w:rsidP="00155762">
      <w:pPr>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2351"/>
        <w:gridCol w:w="2202"/>
        <w:gridCol w:w="1503"/>
        <w:gridCol w:w="1503"/>
        <w:gridCol w:w="1503"/>
      </w:tblGrid>
      <w:tr w:rsidR="00F83FCF" w14:paraId="4141A8F8" w14:textId="77777777" w:rsidTr="00F83FCF">
        <w:tc>
          <w:tcPr>
            <w:tcW w:w="2351" w:type="dxa"/>
            <w:shd w:val="clear" w:color="auto" w:fill="DEEAF6" w:themeFill="accent1" w:themeFillTint="33"/>
          </w:tcPr>
          <w:p w14:paraId="79A6FDC0" w14:textId="77777777" w:rsidR="00F83FCF" w:rsidRPr="00093F8B" w:rsidRDefault="00F83FCF" w:rsidP="00851432">
            <w:pPr>
              <w:rPr>
                <w:rFonts w:ascii="Times New Roman" w:hAnsi="Times New Roman" w:cs="Times New Roman"/>
                <w:b/>
                <w:sz w:val="24"/>
                <w:szCs w:val="24"/>
              </w:rPr>
            </w:pPr>
            <w:r>
              <w:rPr>
                <w:rFonts w:ascii="Times New Roman" w:hAnsi="Times New Roman" w:cs="Times New Roman"/>
                <w:b/>
                <w:sz w:val="24"/>
                <w:szCs w:val="24"/>
              </w:rPr>
              <w:t>Téma</w:t>
            </w:r>
          </w:p>
        </w:tc>
        <w:tc>
          <w:tcPr>
            <w:tcW w:w="2202" w:type="dxa"/>
            <w:shd w:val="clear" w:color="auto" w:fill="DEEAF6" w:themeFill="accent1" w:themeFillTint="33"/>
          </w:tcPr>
          <w:p w14:paraId="1661A73D" w14:textId="77777777" w:rsidR="00F83FCF" w:rsidRPr="00093F8B" w:rsidRDefault="00F83FCF" w:rsidP="00851432">
            <w:pPr>
              <w:rPr>
                <w:rFonts w:ascii="Times New Roman" w:hAnsi="Times New Roman" w:cs="Times New Roman"/>
                <w:b/>
                <w:sz w:val="24"/>
                <w:szCs w:val="24"/>
              </w:rPr>
            </w:pPr>
            <w:r>
              <w:rPr>
                <w:rFonts w:ascii="Times New Roman" w:hAnsi="Times New Roman" w:cs="Times New Roman"/>
                <w:b/>
                <w:sz w:val="24"/>
                <w:szCs w:val="24"/>
              </w:rPr>
              <w:t>Varianty</w:t>
            </w:r>
          </w:p>
        </w:tc>
        <w:tc>
          <w:tcPr>
            <w:tcW w:w="1503" w:type="dxa"/>
            <w:shd w:val="clear" w:color="auto" w:fill="DEEAF6" w:themeFill="accent1" w:themeFillTint="33"/>
          </w:tcPr>
          <w:p w14:paraId="3B5985A2" w14:textId="77777777" w:rsidR="00F83FCF" w:rsidRDefault="00F83FCF" w:rsidP="00851432">
            <w:pPr>
              <w:rPr>
                <w:rFonts w:ascii="Times New Roman" w:hAnsi="Times New Roman" w:cs="Times New Roman"/>
                <w:b/>
                <w:sz w:val="24"/>
                <w:szCs w:val="24"/>
              </w:rPr>
            </w:pPr>
            <w:r>
              <w:rPr>
                <w:rFonts w:ascii="Times New Roman" w:hAnsi="Times New Roman" w:cs="Times New Roman"/>
                <w:b/>
                <w:sz w:val="24"/>
                <w:szCs w:val="24"/>
              </w:rPr>
              <w:t>Efektivita</w:t>
            </w:r>
          </w:p>
        </w:tc>
        <w:tc>
          <w:tcPr>
            <w:tcW w:w="1503" w:type="dxa"/>
            <w:shd w:val="clear" w:color="auto" w:fill="DEEAF6" w:themeFill="accent1" w:themeFillTint="33"/>
          </w:tcPr>
          <w:p w14:paraId="746873B6" w14:textId="77777777" w:rsidR="00F83FCF" w:rsidRDefault="00F83FCF" w:rsidP="00851432">
            <w:pPr>
              <w:rPr>
                <w:rFonts w:ascii="Times New Roman" w:hAnsi="Times New Roman" w:cs="Times New Roman"/>
                <w:b/>
                <w:sz w:val="24"/>
                <w:szCs w:val="24"/>
              </w:rPr>
            </w:pPr>
            <w:r>
              <w:rPr>
                <w:rFonts w:ascii="Times New Roman" w:hAnsi="Times New Roman" w:cs="Times New Roman"/>
                <w:b/>
                <w:sz w:val="24"/>
                <w:szCs w:val="24"/>
              </w:rPr>
              <w:t>Nákladnost</w:t>
            </w:r>
          </w:p>
        </w:tc>
        <w:tc>
          <w:tcPr>
            <w:tcW w:w="1503" w:type="dxa"/>
            <w:shd w:val="clear" w:color="auto" w:fill="DEEAF6" w:themeFill="accent1" w:themeFillTint="33"/>
          </w:tcPr>
          <w:p w14:paraId="662C017B" w14:textId="77777777" w:rsidR="00F83FCF" w:rsidRDefault="00F83FCF" w:rsidP="00851432">
            <w:pPr>
              <w:rPr>
                <w:rFonts w:ascii="Times New Roman" w:hAnsi="Times New Roman" w:cs="Times New Roman"/>
                <w:b/>
                <w:sz w:val="24"/>
                <w:szCs w:val="24"/>
              </w:rPr>
            </w:pPr>
            <w:r>
              <w:rPr>
                <w:rFonts w:ascii="Times New Roman" w:hAnsi="Times New Roman" w:cs="Times New Roman"/>
                <w:b/>
                <w:sz w:val="24"/>
                <w:szCs w:val="24"/>
              </w:rPr>
              <w:t>Koherence</w:t>
            </w:r>
          </w:p>
        </w:tc>
      </w:tr>
      <w:tr w:rsidR="00F83FCF" w14:paraId="0F85E724" w14:textId="77777777" w:rsidTr="00F83FCF">
        <w:tc>
          <w:tcPr>
            <w:tcW w:w="2351" w:type="dxa"/>
            <w:vMerge w:val="restart"/>
          </w:tcPr>
          <w:p w14:paraId="0EFC1168" w14:textId="77777777" w:rsidR="00F83FCF" w:rsidRPr="00EE3B92" w:rsidRDefault="00F83FCF" w:rsidP="00851432">
            <w:pPr>
              <w:jc w:val="both"/>
              <w:rPr>
                <w:rFonts w:ascii="Times New Roman" w:hAnsi="Times New Roman" w:cs="Times New Roman"/>
                <w:sz w:val="24"/>
                <w:szCs w:val="24"/>
              </w:rPr>
            </w:pPr>
            <w:r>
              <w:rPr>
                <w:rFonts w:ascii="Times New Roman" w:hAnsi="Times New Roman" w:cs="Times New Roman"/>
                <w:sz w:val="24"/>
                <w:szCs w:val="24"/>
              </w:rPr>
              <w:t>Změna úpravy správního dozoru a navazujících řízení</w:t>
            </w:r>
          </w:p>
          <w:p w14:paraId="7734780D" w14:textId="77777777" w:rsidR="00F83FCF" w:rsidRPr="00784F59" w:rsidRDefault="00F83FCF" w:rsidP="00851432">
            <w:pPr>
              <w:jc w:val="both"/>
              <w:rPr>
                <w:rFonts w:ascii="Times New Roman" w:hAnsi="Times New Roman"/>
                <w:sz w:val="24"/>
                <w:szCs w:val="24"/>
              </w:rPr>
            </w:pPr>
          </w:p>
        </w:tc>
        <w:tc>
          <w:tcPr>
            <w:tcW w:w="2202" w:type="dxa"/>
          </w:tcPr>
          <w:p w14:paraId="32EE908C" w14:textId="77777777" w:rsidR="00F83FCF" w:rsidRDefault="00F83FCF" w:rsidP="00851432">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052C0E39" w14:textId="77777777" w:rsidR="00F83FCF" w:rsidRDefault="00F83FCF" w:rsidP="00851432">
            <w:pPr>
              <w:rPr>
                <w:rFonts w:ascii="Times New Roman" w:hAnsi="Times New Roman" w:cs="Times New Roman"/>
                <w:sz w:val="24"/>
                <w:szCs w:val="24"/>
              </w:rPr>
            </w:pPr>
          </w:p>
        </w:tc>
        <w:tc>
          <w:tcPr>
            <w:tcW w:w="1503" w:type="dxa"/>
          </w:tcPr>
          <w:p w14:paraId="062A5F80" w14:textId="77777777" w:rsidR="00F83FCF" w:rsidRDefault="009577D5" w:rsidP="00851432">
            <w:pPr>
              <w:rPr>
                <w:rFonts w:ascii="Times New Roman" w:hAnsi="Times New Roman" w:cs="Times New Roman"/>
                <w:sz w:val="24"/>
                <w:szCs w:val="24"/>
              </w:rPr>
            </w:pPr>
            <w:r>
              <w:rPr>
                <w:rFonts w:ascii="Times New Roman" w:hAnsi="Times New Roman" w:cs="Times New Roman"/>
                <w:sz w:val="24"/>
                <w:szCs w:val="24"/>
              </w:rPr>
              <w:t>-</w:t>
            </w:r>
          </w:p>
        </w:tc>
        <w:tc>
          <w:tcPr>
            <w:tcW w:w="1503" w:type="dxa"/>
          </w:tcPr>
          <w:p w14:paraId="229E6D38" w14:textId="77777777" w:rsidR="00F83FCF" w:rsidRDefault="009577D5" w:rsidP="00851432">
            <w:pPr>
              <w:rPr>
                <w:rFonts w:ascii="Times New Roman" w:hAnsi="Times New Roman" w:cs="Times New Roman"/>
                <w:sz w:val="24"/>
                <w:szCs w:val="24"/>
              </w:rPr>
            </w:pPr>
            <w:r>
              <w:rPr>
                <w:rFonts w:ascii="Times New Roman" w:hAnsi="Times New Roman" w:cs="Times New Roman"/>
                <w:sz w:val="24"/>
                <w:szCs w:val="24"/>
              </w:rPr>
              <w:t>0</w:t>
            </w:r>
          </w:p>
        </w:tc>
        <w:tc>
          <w:tcPr>
            <w:tcW w:w="1503" w:type="dxa"/>
          </w:tcPr>
          <w:p w14:paraId="32D0CE44" w14:textId="77777777" w:rsidR="00F83FCF" w:rsidRDefault="009577D5" w:rsidP="00851432">
            <w:pPr>
              <w:rPr>
                <w:rFonts w:ascii="Times New Roman" w:hAnsi="Times New Roman" w:cs="Times New Roman"/>
                <w:sz w:val="24"/>
                <w:szCs w:val="24"/>
              </w:rPr>
            </w:pPr>
            <w:r>
              <w:rPr>
                <w:rFonts w:ascii="Times New Roman" w:hAnsi="Times New Roman" w:cs="Times New Roman"/>
                <w:sz w:val="24"/>
                <w:szCs w:val="24"/>
              </w:rPr>
              <w:t>n/a</w:t>
            </w:r>
          </w:p>
        </w:tc>
      </w:tr>
      <w:tr w:rsidR="00F83FCF" w14:paraId="6F409240" w14:textId="77777777" w:rsidTr="00F83FCF">
        <w:tc>
          <w:tcPr>
            <w:tcW w:w="2351" w:type="dxa"/>
            <w:vMerge/>
          </w:tcPr>
          <w:p w14:paraId="1F00FACA" w14:textId="77777777" w:rsidR="00F83FCF" w:rsidRDefault="00F83FCF" w:rsidP="00851432">
            <w:pPr>
              <w:jc w:val="both"/>
              <w:rPr>
                <w:rFonts w:ascii="Times New Roman" w:hAnsi="Times New Roman" w:cs="Times New Roman"/>
                <w:sz w:val="24"/>
                <w:szCs w:val="24"/>
              </w:rPr>
            </w:pPr>
          </w:p>
        </w:tc>
        <w:tc>
          <w:tcPr>
            <w:tcW w:w="2202" w:type="dxa"/>
          </w:tcPr>
          <w:p w14:paraId="03A1DF65" w14:textId="77777777" w:rsidR="00F83FCF" w:rsidRDefault="00F83FCF" w:rsidP="00851432">
            <w:pPr>
              <w:rPr>
                <w:rFonts w:ascii="Times New Roman" w:hAnsi="Times New Roman" w:cs="Times New Roman"/>
                <w:sz w:val="24"/>
                <w:szCs w:val="24"/>
              </w:rPr>
            </w:pPr>
            <w:r>
              <w:rPr>
                <w:rFonts w:ascii="Times New Roman" w:hAnsi="Times New Roman" w:cs="Times New Roman"/>
                <w:sz w:val="24"/>
                <w:szCs w:val="24"/>
              </w:rPr>
              <w:t>Zavést možnost vedení správního řízení týmž orgánem, který vykonával dohled</w:t>
            </w:r>
          </w:p>
        </w:tc>
        <w:tc>
          <w:tcPr>
            <w:tcW w:w="1503" w:type="dxa"/>
          </w:tcPr>
          <w:p w14:paraId="7403C828" w14:textId="77777777" w:rsidR="00F83FCF" w:rsidRPr="009577D5" w:rsidRDefault="009577D5" w:rsidP="00851432">
            <w:pPr>
              <w:rPr>
                <w:rFonts w:ascii="Times New Roman" w:hAnsi="Times New Roman" w:cs="Times New Roman"/>
                <w:sz w:val="20"/>
                <w:szCs w:val="20"/>
              </w:rPr>
            </w:pPr>
            <w:r w:rsidRPr="009577D5">
              <w:rPr>
                <w:rFonts w:ascii="Times New Roman" w:hAnsi="Times New Roman" w:cs="Times New Roman"/>
                <w:sz w:val="20"/>
                <w:szCs w:val="20"/>
              </w:rPr>
              <w:t>+</w:t>
            </w:r>
          </w:p>
          <w:p w14:paraId="502295A6" w14:textId="77777777" w:rsidR="009577D5" w:rsidRDefault="009577D5" w:rsidP="00851432">
            <w:pPr>
              <w:rPr>
                <w:rFonts w:ascii="Times New Roman" w:hAnsi="Times New Roman" w:cs="Times New Roman"/>
                <w:sz w:val="24"/>
                <w:szCs w:val="24"/>
              </w:rPr>
            </w:pPr>
            <w:r w:rsidRPr="009577D5">
              <w:rPr>
                <w:rFonts w:ascii="Times New Roman" w:hAnsi="Times New Roman" w:cs="Times New Roman"/>
                <w:sz w:val="20"/>
                <w:szCs w:val="20"/>
              </w:rPr>
              <w:t>Je efektivnější, aby týž orgán vykonával dohled a vedl následně správní řízení.</w:t>
            </w:r>
          </w:p>
        </w:tc>
        <w:tc>
          <w:tcPr>
            <w:tcW w:w="1503" w:type="dxa"/>
          </w:tcPr>
          <w:p w14:paraId="4C9FB678" w14:textId="3EE21279" w:rsidR="006A7100" w:rsidRDefault="006A7100" w:rsidP="00851432">
            <w:pPr>
              <w:rPr>
                <w:rFonts w:ascii="Times New Roman" w:hAnsi="Times New Roman" w:cs="Times New Roman"/>
                <w:sz w:val="20"/>
                <w:szCs w:val="20"/>
              </w:rPr>
            </w:pPr>
            <w:r>
              <w:rPr>
                <w:rFonts w:ascii="Times New Roman" w:hAnsi="Times New Roman" w:cs="Times New Roman"/>
                <w:sz w:val="20"/>
                <w:szCs w:val="20"/>
              </w:rPr>
              <w:t xml:space="preserve">úbytek nákladů v MF, resp. </w:t>
            </w:r>
            <w:proofErr w:type="spellStart"/>
            <w:r>
              <w:rPr>
                <w:rFonts w:ascii="Times New Roman" w:hAnsi="Times New Roman" w:cs="Times New Roman"/>
                <w:sz w:val="20"/>
                <w:szCs w:val="20"/>
              </w:rPr>
              <w:t>Úradu</w:t>
            </w:r>
            <w:proofErr w:type="spellEnd"/>
            <w:r>
              <w:rPr>
                <w:rFonts w:ascii="Times New Roman" w:hAnsi="Times New Roman" w:cs="Times New Roman"/>
                <w:sz w:val="20"/>
                <w:szCs w:val="20"/>
              </w:rPr>
              <w:t>, stejný nárůst v ČNB.</w:t>
            </w:r>
          </w:p>
          <w:p w14:paraId="31B2D349" w14:textId="2E7F56DB" w:rsidR="009577D5" w:rsidRDefault="006A7100" w:rsidP="00851432">
            <w:pPr>
              <w:rPr>
                <w:rFonts w:ascii="Times New Roman" w:hAnsi="Times New Roman" w:cs="Times New Roman"/>
                <w:sz w:val="24"/>
                <w:szCs w:val="24"/>
              </w:rPr>
            </w:pPr>
            <w:r>
              <w:rPr>
                <w:rFonts w:ascii="Times New Roman" w:hAnsi="Times New Roman" w:cs="Times New Roman"/>
                <w:sz w:val="20"/>
                <w:szCs w:val="20"/>
              </w:rPr>
              <w:t>p</w:t>
            </w:r>
            <w:r w:rsidR="009973E5">
              <w:rPr>
                <w:rFonts w:ascii="Times New Roman" w:hAnsi="Times New Roman" w:cs="Times New Roman"/>
                <w:sz w:val="20"/>
                <w:szCs w:val="20"/>
              </w:rPr>
              <w:t>ři počtu správních sankčních řízení řádově v</w:t>
            </w:r>
            <w:r>
              <w:rPr>
                <w:rFonts w:ascii="Times New Roman" w:hAnsi="Times New Roman" w:cs="Times New Roman"/>
                <w:sz w:val="20"/>
                <w:szCs w:val="20"/>
              </w:rPr>
              <w:t> </w:t>
            </w:r>
            <w:r w:rsidR="009973E5">
              <w:rPr>
                <w:rFonts w:ascii="Times New Roman" w:hAnsi="Times New Roman" w:cs="Times New Roman"/>
                <w:sz w:val="20"/>
                <w:szCs w:val="20"/>
              </w:rPr>
              <w:t>jednotkách</w:t>
            </w:r>
            <w:r>
              <w:rPr>
                <w:rFonts w:ascii="Times New Roman" w:hAnsi="Times New Roman" w:cs="Times New Roman"/>
                <w:sz w:val="20"/>
                <w:szCs w:val="20"/>
              </w:rPr>
              <w:t xml:space="preserve"> náklady zanedbatelné</w:t>
            </w:r>
          </w:p>
        </w:tc>
        <w:tc>
          <w:tcPr>
            <w:tcW w:w="1503" w:type="dxa"/>
          </w:tcPr>
          <w:p w14:paraId="346058EF" w14:textId="77777777" w:rsidR="009577D5" w:rsidRDefault="009577D5" w:rsidP="00851432">
            <w:pPr>
              <w:rPr>
                <w:rFonts w:ascii="Times New Roman" w:hAnsi="Times New Roman" w:cs="Times New Roman"/>
                <w:sz w:val="24"/>
                <w:szCs w:val="24"/>
              </w:rPr>
            </w:pPr>
            <w:r>
              <w:rPr>
                <w:rFonts w:ascii="Times New Roman" w:hAnsi="Times New Roman" w:cs="Times New Roman"/>
                <w:sz w:val="24"/>
                <w:szCs w:val="24"/>
              </w:rPr>
              <w:t>n/a</w:t>
            </w:r>
          </w:p>
        </w:tc>
      </w:tr>
    </w:tbl>
    <w:p w14:paraId="1B37A1C1" w14:textId="77777777" w:rsidR="00BA05B6" w:rsidRDefault="00BA05B6" w:rsidP="00BA05B6">
      <w:pPr>
        <w:jc w:val="both"/>
        <w:rPr>
          <w:rFonts w:ascii="Times New Roman" w:hAnsi="Times New Roman" w:cs="Times New Roman"/>
          <w:sz w:val="24"/>
          <w:szCs w:val="24"/>
        </w:rPr>
      </w:pPr>
    </w:p>
    <w:p w14:paraId="4045305F" w14:textId="77777777" w:rsidR="0051205F" w:rsidRDefault="004B4662">
      <w:pPr>
        <w:rPr>
          <w:rFonts w:ascii="Times New Roman" w:hAnsi="Times New Roman" w:cs="Times New Roman"/>
          <w:b/>
          <w:sz w:val="24"/>
          <w:szCs w:val="24"/>
        </w:rPr>
      </w:pPr>
      <w:r>
        <w:rPr>
          <w:rFonts w:ascii="Times New Roman" w:hAnsi="Times New Roman" w:cs="Times New Roman"/>
          <w:b/>
          <w:sz w:val="24"/>
          <w:szCs w:val="24"/>
        </w:rPr>
        <w:t xml:space="preserve">Závěr: Navrhuje se, aby </w:t>
      </w:r>
      <w:r w:rsidRPr="004B4662">
        <w:rPr>
          <w:rFonts w:ascii="Times New Roman" w:hAnsi="Times New Roman" w:cs="Times New Roman"/>
          <w:b/>
          <w:sz w:val="24"/>
          <w:szCs w:val="24"/>
        </w:rPr>
        <w:t xml:space="preserve">Česká národní banka </w:t>
      </w:r>
      <w:r>
        <w:rPr>
          <w:rFonts w:ascii="Times New Roman" w:hAnsi="Times New Roman" w:cs="Times New Roman"/>
          <w:b/>
          <w:sz w:val="24"/>
          <w:szCs w:val="24"/>
        </w:rPr>
        <w:t>vedla</w:t>
      </w:r>
      <w:r w:rsidRPr="004B4662">
        <w:rPr>
          <w:rFonts w:ascii="Times New Roman" w:hAnsi="Times New Roman" w:cs="Times New Roman"/>
          <w:b/>
          <w:sz w:val="24"/>
          <w:szCs w:val="24"/>
        </w:rPr>
        <w:t xml:space="preserve"> správní řízení se subjekty, u nichž v rámci kontroly ČNB zjistí nedostatky.</w:t>
      </w:r>
    </w:p>
    <w:p w14:paraId="0054F1D9" w14:textId="77777777" w:rsidR="00411DCC" w:rsidRPr="004B4662" w:rsidRDefault="00411DCC">
      <w:pPr>
        <w:rPr>
          <w:rFonts w:ascii="Times New Roman" w:hAnsi="Times New Roman" w:cs="Times New Roman"/>
          <w:b/>
          <w:sz w:val="24"/>
          <w:szCs w:val="24"/>
        </w:rPr>
      </w:pPr>
    </w:p>
    <w:p w14:paraId="395D7C63" w14:textId="78BAC237" w:rsidR="00B3050B" w:rsidRDefault="00B3050B" w:rsidP="00A763B0">
      <w:pPr>
        <w:pStyle w:val="Odstavecseseznamem"/>
        <w:numPr>
          <w:ilvl w:val="1"/>
          <w:numId w:val="1"/>
        </w:numPr>
        <w:ind w:left="432"/>
        <w:rPr>
          <w:rFonts w:ascii="Times New Roman" w:hAnsi="Times New Roman"/>
          <w:b/>
          <w:sz w:val="24"/>
          <w:szCs w:val="24"/>
        </w:rPr>
      </w:pPr>
      <w:r w:rsidRPr="00A763B0">
        <w:rPr>
          <w:rFonts w:ascii="Times New Roman" w:hAnsi="Times New Roman"/>
          <w:b/>
          <w:sz w:val="24"/>
          <w:szCs w:val="24"/>
        </w:rPr>
        <w:t xml:space="preserve">Změna lhůt </w:t>
      </w:r>
      <w:r w:rsidR="00C348A7" w:rsidRPr="00A763B0">
        <w:rPr>
          <w:rFonts w:ascii="Times New Roman" w:hAnsi="Times New Roman"/>
          <w:b/>
          <w:sz w:val="24"/>
          <w:szCs w:val="24"/>
        </w:rPr>
        <w:t>pro odklad splnění příkazu klienta</w:t>
      </w:r>
    </w:p>
    <w:p w14:paraId="2418D8F4" w14:textId="77777777" w:rsidR="00AB5AF1" w:rsidRPr="00A763B0" w:rsidRDefault="00AB5AF1" w:rsidP="00A763B0">
      <w:pPr>
        <w:pStyle w:val="Odstavecseseznamem"/>
        <w:ind w:left="432" w:firstLine="0"/>
        <w:rPr>
          <w:rFonts w:ascii="Times New Roman" w:hAnsi="Times New Roman"/>
          <w:b/>
          <w:sz w:val="24"/>
          <w:szCs w:val="24"/>
        </w:rPr>
      </w:pPr>
    </w:p>
    <w:p w14:paraId="5279AD91" w14:textId="77777777" w:rsidR="005C3C03" w:rsidRDefault="005C3C03" w:rsidP="005C3C03">
      <w:pPr>
        <w:jc w:val="both"/>
        <w:rPr>
          <w:rFonts w:ascii="Times New Roman" w:hAnsi="Times New Roman" w:cs="Times New Roman"/>
          <w:sz w:val="24"/>
          <w:szCs w:val="24"/>
        </w:rPr>
      </w:pPr>
      <w:r>
        <w:rPr>
          <w:rFonts w:ascii="Times New Roman" w:hAnsi="Times New Roman" w:cs="Times New Roman"/>
          <w:sz w:val="24"/>
          <w:szCs w:val="24"/>
        </w:rPr>
        <w:t xml:space="preserve">Stávající znění AML zákona uvádí lhůty pro odklad splnění příkazu klienta v hodinách (§ 20 odst. 3). </w:t>
      </w:r>
      <w:r w:rsidR="003C1535">
        <w:rPr>
          <w:rFonts w:ascii="Times New Roman" w:hAnsi="Times New Roman" w:cs="Times New Roman"/>
          <w:sz w:val="24"/>
          <w:szCs w:val="24"/>
        </w:rPr>
        <w:t xml:space="preserve">Lhůta je pak počítána od okamžiku k okamžiku a často tak končí v den pracovního klidu; </w:t>
      </w:r>
      <w:r w:rsidR="006F58B5">
        <w:rPr>
          <w:rFonts w:ascii="Times New Roman" w:hAnsi="Times New Roman" w:cs="Times New Roman"/>
          <w:sz w:val="24"/>
          <w:szCs w:val="24"/>
        </w:rPr>
        <w:t>u takové</w:t>
      </w:r>
      <w:r w:rsidR="003C1535">
        <w:rPr>
          <w:rFonts w:ascii="Times New Roman" w:hAnsi="Times New Roman" w:cs="Times New Roman"/>
          <w:sz w:val="24"/>
          <w:szCs w:val="24"/>
        </w:rPr>
        <w:t xml:space="preserve"> </w:t>
      </w:r>
      <w:r w:rsidR="006F58B5">
        <w:rPr>
          <w:rFonts w:ascii="Times New Roman" w:hAnsi="Times New Roman" w:cs="Times New Roman"/>
          <w:sz w:val="24"/>
          <w:szCs w:val="24"/>
        </w:rPr>
        <w:t>lhůty</w:t>
      </w:r>
      <w:r w:rsidR="003C1535">
        <w:rPr>
          <w:rFonts w:ascii="Times New Roman" w:hAnsi="Times New Roman" w:cs="Times New Roman"/>
          <w:sz w:val="24"/>
          <w:szCs w:val="24"/>
        </w:rPr>
        <w:t xml:space="preserve"> </w:t>
      </w:r>
      <w:r w:rsidR="006F58B5">
        <w:rPr>
          <w:rFonts w:ascii="Times New Roman" w:hAnsi="Times New Roman" w:cs="Times New Roman"/>
          <w:sz w:val="24"/>
          <w:szCs w:val="24"/>
        </w:rPr>
        <w:t xml:space="preserve">nelze stanovit zastavení jejího běhu po dobu dne pracovního klidu. </w:t>
      </w:r>
      <w:r>
        <w:rPr>
          <w:rFonts w:ascii="Times New Roman" w:hAnsi="Times New Roman" w:cs="Times New Roman"/>
          <w:sz w:val="24"/>
          <w:szCs w:val="24"/>
        </w:rPr>
        <w:t xml:space="preserve">Na základě praxe se ukazuje, že takto formulované lhůty způsobují aplikační problémy, zvláště v situaci, kdy ministerstvo obdrží oznámení před </w:t>
      </w:r>
      <w:r w:rsidR="0039395A">
        <w:rPr>
          <w:rFonts w:ascii="Times New Roman" w:hAnsi="Times New Roman" w:cs="Times New Roman"/>
          <w:sz w:val="24"/>
          <w:szCs w:val="24"/>
        </w:rPr>
        <w:t>víkendem či před státním svát</w:t>
      </w:r>
      <w:r>
        <w:rPr>
          <w:rFonts w:ascii="Times New Roman" w:hAnsi="Times New Roman" w:cs="Times New Roman"/>
          <w:sz w:val="24"/>
          <w:szCs w:val="24"/>
        </w:rPr>
        <w:t>kem. V takové situaci ministerstvo často nemá dostatek prostoru pro šetření podezřelého obchodu.</w:t>
      </w:r>
    </w:p>
    <w:tbl>
      <w:tblPr>
        <w:tblStyle w:val="Mkatabulky"/>
        <w:tblW w:w="0" w:type="auto"/>
        <w:tblLook w:val="04A0" w:firstRow="1" w:lastRow="0" w:firstColumn="1" w:lastColumn="0" w:noHBand="0" w:noVBand="1"/>
      </w:tblPr>
      <w:tblGrid>
        <w:gridCol w:w="4531"/>
        <w:gridCol w:w="4531"/>
      </w:tblGrid>
      <w:tr w:rsidR="00B3050B" w14:paraId="0D6D501A" w14:textId="77777777" w:rsidTr="00C867F2">
        <w:tc>
          <w:tcPr>
            <w:tcW w:w="4531" w:type="dxa"/>
            <w:shd w:val="clear" w:color="auto" w:fill="DEEAF6" w:themeFill="accent1" w:themeFillTint="33"/>
          </w:tcPr>
          <w:p w14:paraId="21047815" w14:textId="77777777" w:rsidR="00B3050B" w:rsidRPr="00093F8B" w:rsidRDefault="00B3050B" w:rsidP="00C867F2">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437F8064" w14:textId="77777777" w:rsidR="00B3050B" w:rsidRPr="00093F8B" w:rsidRDefault="00B3050B" w:rsidP="00C867F2">
            <w:pPr>
              <w:rPr>
                <w:rFonts w:ascii="Times New Roman" w:hAnsi="Times New Roman" w:cs="Times New Roman"/>
                <w:b/>
                <w:sz w:val="24"/>
                <w:szCs w:val="24"/>
              </w:rPr>
            </w:pPr>
            <w:r>
              <w:rPr>
                <w:rFonts w:ascii="Times New Roman" w:hAnsi="Times New Roman" w:cs="Times New Roman"/>
                <w:b/>
                <w:sz w:val="24"/>
                <w:szCs w:val="24"/>
              </w:rPr>
              <w:t>Varianty</w:t>
            </w:r>
          </w:p>
        </w:tc>
      </w:tr>
      <w:tr w:rsidR="00B3050B" w14:paraId="2ABB2365" w14:textId="77777777" w:rsidTr="00C867F2">
        <w:tc>
          <w:tcPr>
            <w:tcW w:w="4531" w:type="dxa"/>
            <w:vMerge w:val="restart"/>
          </w:tcPr>
          <w:p w14:paraId="35A6ABC5" w14:textId="77777777" w:rsidR="00B3050B" w:rsidRPr="00EE3B92" w:rsidRDefault="00B3050B" w:rsidP="00C867F2">
            <w:pPr>
              <w:jc w:val="both"/>
              <w:rPr>
                <w:rFonts w:ascii="Times New Roman" w:hAnsi="Times New Roman" w:cs="Times New Roman"/>
                <w:sz w:val="24"/>
                <w:szCs w:val="24"/>
              </w:rPr>
            </w:pPr>
            <w:r>
              <w:rPr>
                <w:rFonts w:ascii="Times New Roman" w:hAnsi="Times New Roman" w:cs="Times New Roman"/>
                <w:sz w:val="24"/>
                <w:szCs w:val="24"/>
              </w:rPr>
              <w:t>Změna lhůt u postupu při podezřelém obchodu</w:t>
            </w:r>
          </w:p>
          <w:p w14:paraId="5618727E" w14:textId="77777777" w:rsidR="00B3050B" w:rsidRPr="00784F59" w:rsidRDefault="00B3050B" w:rsidP="00C867F2">
            <w:pPr>
              <w:jc w:val="both"/>
              <w:rPr>
                <w:rFonts w:ascii="Times New Roman" w:hAnsi="Times New Roman"/>
                <w:sz w:val="24"/>
                <w:szCs w:val="24"/>
              </w:rPr>
            </w:pPr>
          </w:p>
        </w:tc>
        <w:tc>
          <w:tcPr>
            <w:tcW w:w="4531" w:type="dxa"/>
          </w:tcPr>
          <w:p w14:paraId="02ED2205" w14:textId="77777777" w:rsidR="00B3050B" w:rsidRDefault="00B3050B" w:rsidP="00C867F2">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5E3ECFEA" w14:textId="77777777" w:rsidR="00B3050B" w:rsidRDefault="00B3050B" w:rsidP="00C867F2">
            <w:pPr>
              <w:rPr>
                <w:rFonts w:ascii="Times New Roman" w:hAnsi="Times New Roman" w:cs="Times New Roman"/>
                <w:sz w:val="24"/>
                <w:szCs w:val="24"/>
              </w:rPr>
            </w:pPr>
          </w:p>
        </w:tc>
      </w:tr>
      <w:tr w:rsidR="00B3050B" w14:paraId="53818447" w14:textId="77777777" w:rsidTr="00C867F2">
        <w:tc>
          <w:tcPr>
            <w:tcW w:w="4531" w:type="dxa"/>
            <w:vMerge/>
          </w:tcPr>
          <w:p w14:paraId="6849ACEF" w14:textId="77777777" w:rsidR="00B3050B" w:rsidRDefault="00B3050B" w:rsidP="00C867F2">
            <w:pPr>
              <w:jc w:val="both"/>
              <w:rPr>
                <w:rFonts w:ascii="Times New Roman" w:hAnsi="Times New Roman" w:cs="Times New Roman"/>
                <w:sz w:val="24"/>
                <w:szCs w:val="24"/>
              </w:rPr>
            </w:pPr>
          </w:p>
        </w:tc>
        <w:tc>
          <w:tcPr>
            <w:tcW w:w="4531" w:type="dxa"/>
          </w:tcPr>
          <w:p w14:paraId="6D7C4575" w14:textId="77777777" w:rsidR="00B3050B" w:rsidRDefault="005C3C03" w:rsidP="00C867F2">
            <w:pPr>
              <w:rPr>
                <w:rFonts w:ascii="Times New Roman" w:hAnsi="Times New Roman" w:cs="Times New Roman"/>
                <w:sz w:val="24"/>
                <w:szCs w:val="24"/>
              </w:rPr>
            </w:pPr>
            <w:r>
              <w:rPr>
                <w:rFonts w:ascii="Times New Roman" w:hAnsi="Times New Roman" w:cs="Times New Roman"/>
                <w:sz w:val="24"/>
                <w:szCs w:val="24"/>
              </w:rPr>
              <w:t>Upravit lhůty tak, aby ministerstvu reálně umožňovaly šetření podezřelého obchodu</w:t>
            </w:r>
          </w:p>
        </w:tc>
      </w:tr>
    </w:tbl>
    <w:p w14:paraId="2ABC6B7D" w14:textId="77777777" w:rsidR="005C3C03" w:rsidRDefault="005C3C03">
      <w:pPr>
        <w:rPr>
          <w:rFonts w:ascii="Times New Roman" w:eastAsia="Calibri" w:hAnsi="Times New Roman" w:cs="Times New Roman"/>
          <w:b/>
          <w:sz w:val="24"/>
          <w:szCs w:val="24"/>
        </w:rPr>
      </w:pPr>
    </w:p>
    <w:p w14:paraId="19747021" w14:textId="77777777" w:rsidR="005C3C03" w:rsidRDefault="005C3C03" w:rsidP="00D102B5">
      <w:pPr>
        <w:jc w:val="both"/>
        <w:rPr>
          <w:rFonts w:ascii="Times New Roman" w:eastAsia="Calibri" w:hAnsi="Times New Roman" w:cs="Times New Roman"/>
          <w:sz w:val="24"/>
          <w:szCs w:val="24"/>
        </w:rPr>
      </w:pPr>
      <w:r>
        <w:rPr>
          <w:rFonts w:ascii="Times New Roman" w:eastAsia="Calibri" w:hAnsi="Times New Roman" w:cs="Times New Roman"/>
          <w:sz w:val="24"/>
          <w:szCs w:val="24"/>
        </w:rPr>
        <w:t>Věcně jde především o řešení oznámení</w:t>
      </w:r>
      <w:r w:rsidR="00E87D25">
        <w:rPr>
          <w:rFonts w:ascii="Times New Roman" w:eastAsia="Calibri" w:hAnsi="Times New Roman" w:cs="Times New Roman"/>
          <w:sz w:val="24"/>
          <w:szCs w:val="24"/>
        </w:rPr>
        <w:t xml:space="preserve"> obdržených</w:t>
      </w:r>
      <w:r>
        <w:rPr>
          <w:rFonts w:ascii="Times New Roman" w:eastAsia="Calibri" w:hAnsi="Times New Roman" w:cs="Times New Roman"/>
          <w:sz w:val="24"/>
          <w:szCs w:val="24"/>
        </w:rPr>
        <w:t xml:space="preserve"> v</w:t>
      </w:r>
      <w:r w:rsidR="004B6953">
        <w:rPr>
          <w:rFonts w:ascii="Times New Roman" w:eastAsia="Calibri" w:hAnsi="Times New Roman" w:cs="Times New Roman"/>
          <w:sz w:val="24"/>
          <w:szCs w:val="24"/>
        </w:rPr>
        <w:t> </w:t>
      </w:r>
      <w:r w:rsidR="00E87D25">
        <w:rPr>
          <w:rFonts w:ascii="Times New Roman" w:eastAsia="Calibri" w:hAnsi="Times New Roman" w:cs="Times New Roman"/>
          <w:sz w:val="24"/>
          <w:szCs w:val="24"/>
        </w:rPr>
        <w:t>pátek</w:t>
      </w:r>
      <w:r w:rsidR="004B6953">
        <w:rPr>
          <w:rFonts w:ascii="Times New Roman" w:eastAsia="Calibri" w:hAnsi="Times New Roman" w:cs="Times New Roman"/>
          <w:sz w:val="24"/>
          <w:szCs w:val="24"/>
        </w:rPr>
        <w:t>, případně před víkendem prodlouženým o státní svátek či svátky</w:t>
      </w:r>
      <w:r>
        <w:rPr>
          <w:rFonts w:ascii="Times New Roman" w:eastAsia="Calibri" w:hAnsi="Times New Roman" w:cs="Times New Roman"/>
          <w:sz w:val="24"/>
          <w:szCs w:val="24"/>
        </w:rPr>
        <w:t xml:space="preserve">. </w:t>
      </w:r>
    </w:p>
    <w:p w14:paraId="22FE7409" w14:textId="77777777" w:rsidR="004B6953" w:rsidRDefault="004B6953" w:rsidP="00D102B5">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Předkladatel navrhuje ponechat v hodinách pouze lhůtu podle § 20 odst. 1, tedy </w:t>
      </w:r>
      <w:r w:rsidR="008C6D43">
        <w:rPr>
          <w:rFonts w:ascii="Times New Roman" w:eastAsia="Calibri" w:hAnsi="Times New Roman" w:cs="Times New Roman"/>
          <w:sz w:val="24"/>
          <w:szCs w:val="24"/>
        </w:rPr>
        <w:t xml:space="preserve">odložení splnění příkazu klienta povinnou osobou. Lhůty podle </w:t>
      </w:r>
      <w:r w:rsidR="009F6537">
        <w:rPr>
          <w:rFonts w:ascii="Times New Roman" w:eastAsia="Calibri" w:hAnsi="Times New Roman" w:cs="Times New Roman"/>
          <w:sz w:val="24"/>
          <w:szCs w:val="24"/>
        </w:rPr>
        <w:t xml:space="preserve">§ 20 odst. 3 a odst. 7 navrhuje stanovit v pracovních dnech, aby se tak do běžící lhůty (jak pro šetření, vedené FAÚ, tak i pro rozhodování OČTŘ o převzetí zajištění </w:t>
      </w:r>
      <w:r w:rsidR="005617FE">
        <w:rPr>
          <w:rFonts w:ascii="Times New Roman" w:eastAsia="Calibri" w:hAnsi="Times New Roman" w:cs="Times New Roman"/>
          <w:sz w:val="24"/>
          <w:szCs w:val="24"/>
        </w:rPr>
        <w:t>podle trestního řádu)</w:t>
      </w:r>
      <w:r w:rsidR="009F6537">
        <w:rPr>
          <w:rFonts w:ascii="Times New Roman" w:eastAsia="Calibri" w:hAnsi="Times New Roman" w:cs="Times New Roman"/>
          <w:sz w:val="24"/>
          <w:szCs w:val="24"/>
        </w:rPr>
        <w:t xml:space="preserve"> nezapočítávala </w:t>
      </w:r>
      <w:r w:rsidR="005617FE">
        <w:rPr>
          <w:rFonts w:ascii="Times New Roman" w:eastAsia="Calibri" w:hAnsi="Times New Roman" w:cs="Times New Roman"/>
          <w:sz w:val="24"/>
          <w:szCs w:val="24"/>
        </w:rPr>
        <w:t>doba, po kterou reálně nelze vést šetření u úvěrových a finančních institucí či dalších povinných osob.</w:t>
      </w:r>
    </w:p>
    <w:p w14:paraId="16B65324" w14:textId="77777777" w:rsidR="00F359F8" w:rsidRPr="00F359F8" w:rsidRDefault="00F359F8" w:rsidP="00D102B5">
      <w:pPr>
        <w:jc w:val="both"/>
        <w:rPr>
          <w:rFonts w:ascii="Times New Roman" w:eastAsia="Calibri" w:hAnsi="Times New Roman" w:cs="Times New Roman"/>
          <w:b/>
          <w:sz w:val="24"/>
          <w:szCs w:val="24"/>
        </w:rPr>
      </w:pPr>
      <w:r>
        <w:rPr>
          <w:rFonts w:ascii="Times New Roman" w:eastAsia="Calibri" w:hAnsi="Times New Roman" w:cs="Times New Roman"/>
          <w:b/>
          <w:sz w:val="24"/>
          <w:szCs w:val="24"/>
        </w:rPr>
        <w:t>Závěr: Navrhuje se upravit běh lhůt</w:t>
      </w:r>
      <w:r w:rsidR="00D33220">
        <w:rPr>
          <w:rFonts w:ascii="Times New Roman" w:eastAsia="Calibri" w:hAnsi="Times New Roman" w:cs="Times New Roman"/>
          <w:b/>
          <w:sz w:val="24"/>
          <w:szCs w:val="24"/>
        </w:rPr>
        <w:t>, o nichž rozhoduje FAÚ,</w:t>
      </w:r>
      <w:r>
        <w:rPr>
          <w:rFonts w:ascii="Times New Roman" w:eastAsia="Calibri" w:hAnsi="Times New Roman" w:cs="Times New Roman"/>
          <w:b/>
          <w:sz w:val="24"/>
          <w:szCs w:val="24"/>
        </w:rPr>
        <w:t xml:space="preserve"> v § 20 AML zákona tak, aby se do běhu lhůt nezapočítávaly soboty, neděle a dny pracovního klidu.</w:t>
      </w:r>
    </w:p>
    <w:p w14:paraId="74826475" w14:textId="77777777" w:rsidR="00B87FA2" w:rsidRDefault="00B87FA2" w:rsidP="00B87FA2">
      <w:pPr>
        <w:pStyle w:val="Odstavecseseznamem"/>
        <w:numPr>
          <w:ilvl w:val="1"/>
          <w:numId w:val="1"/>
        </w:numPr>
        <w:ind w:left="432"/>
        <w:rPr>
          <w:rFonts w:ascii="Times New Roman" w:hAnsi="Times New Roman"/>
          <w:b/>
          <w:sz w:val="24"/>
          <w:szCs w:val="24"/>
        </w:rPr>
      </w:pPr>
      <w:r>
        <w:rPr>
          <w:rFonts w:ascii="Times New Roman" w:hAnsi="Times New Roman"/>
          <w:b/>
          <w:sz w:val="24"/>
          <w:szCs w:val="24"/>
        </w:rPr>
        <w:t>Změna statusu finanční zpravodajské jednotky</w:t>
      </w:r>
    </w:p>
    <w:p w14:paraId="4954DF41" w14:textId="77777777" w:rsidR="00B87FA2" w:rsidRPr="00613744" w:rsidRDefault="00B87FA2" w:rsidP="00B87FA2">
      <w:pPr>
        <w:pStyle w:val="Odstavecseseznamem"/>
        <w:ind w:left="432" w:firstLine="0"/>
        <w:rPr>
          <w:rFonts w:ascii="Times New Roman" w:hAnsi="Times New Roman"/>
          <w:b/>
          <w:sz w:val="24"/>
          <w:szCs w:val="24"/>
        </w:rPr>
      </w:pPr>
    </w:p>
    <w:p w14:paraId="69CF6823" w14:textId="77777777" w:rsidR="00B87FA2" w:rsidRPr="008415E8" w:rsidRDefault="00B87FA2" w:rsidP="00B87FA2">
      <w:pPr>
        <w:widowControl w:val="0"/>
        <w:spacing w:before="120"/>
        <w:jc w:val="both"/>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B87FA2" w14:paraId="2F3CEEC3" w14:textId="77777777" w:rsidTr="008415E8">
        <w:tc>
          <w:tcPr>
            <w:tcW w:w="4531" w:type="dxa"/>
            <w:shd w:val="clear" w:color="auto" w:fill="DEEAF6" w:themeFill="accent1" w:themeFillTint="33"/>
          </w:tcPr>
          <w:p w14:paraId="54DB03EB" w14:textId="77777777" w:rsidR="00B87FA2" w:rsidRPr="00093F8B" w:rsidRDefault="00B87FA2" w:rsidP="008415E8">
            <w:pPr>
              <w:rPr>
                <w:rFonts w:ascii="Times New Roman" w:hAnsi="Times New Roman" w:cs="Times New Roman"/>
                <w:b/>
                <w:sz w:val="24"/>
                <w:szCs w:val="24"/>
              </w:rPr>
            </w:pPr>
            <w:r>
              <w:rPr>
                <w:rFonts w:ascii="Times New Roman" w:hAnsi="Times New Roman" w:cs="Times New Roman"/>
                <w:b/>
                <w:sz w:val="24"/>
                <w:szCs w:val="24"/>
              </w:rPr>
              <w:t>Téma</w:t>
            </w:r>
          </w:p>
        </w:tc>
        <w:tc>
          <w:tcPr>
            <w:tcW w:w="4531" w:type="dxa"/>
            <w:shd w:val="clear" w:color="auto" w:fill="DEEAF6" w:themeFill="accent1" w:themeFillTint="33"/>
          </w:tcPr>
          <w:p w14:paraId="71323C37" w14:textId="77777777" w:rsidR="00B87FA2" w:rsidRPr="00093F8B" w:rsidRDefault="00B87FA2" w:rsidP="008415E8">
            <w:pPr>
              <w:rPr>
                <w:rFonts w:ascii="Times New Roman" w:hAnsi="Times New Roman" w:cs="Times New Roman"/>
                <w:b/>
                <w:sz w:val="24"/>
                <w:szCs w:val="24"/>
              </w:rPr>
            </w:pPr>
            <w:r>
              <w:rPr>
                <w:rFonts w:ascii="Times New Roman" w:hAnsi="Times New Roman" w:cs="Times New Roman"/>
                <w:b/>
                <w:sz w:val="24"/>
                <w:szCs w:val="24"/>
              </w:rPr>
              <w:t>Varianty</w:t>
            </w:r>
          </w:p>
        </w:tc>
      </w:tr>
      <w:tr w:rsidR="00B87FA2" w14:paraId="4BB81621" w14:textId="77777777" w:rsidTr="008415E8">
        <w:tc>
          <w:tcPr>
            <w:tcW w:w="4531" w:type="dxa"/>
            <w:vMerge w:val="restart"/>
          </w:tcPr>
          <w:p w14:paraId="4FA06E27" w14:textId="77777777" w:rsidR="00B87FA2" w:rsidRPr="00EE3B92" w:rsidRDefault="00B87FA2" w:rsidP="008415E8">
            <w:pPr>
              <w:jc w:val="both"/>
              <w:rPr>
                <w:rFonts w:ascii="Times New Roman" w:hAnsi="Times New Roman" w:cs="Times New Roman"/>
                <w:sz w:val="24"/>
                <w:szCs w:val="24"/>
              </w:rPr>
            </w:pPr>
            <w:r>
              <w:rPr>
                <w:rFonts w:ascii="Times New Roman" w:hAnsi="Times New Roman" w:cs="Times New Roman"/>
                <w:sz w:val="24"/>
                <w:szCs w:val="24"/>
              </w:rPr>
              <w:t>Změna statusu finanční zpravodajské jednotky</w:t>
            </w:r>
          </w:p>
          <w:p w14:paraId="58AEBAAA" w14:textId="77777777" w:rsidR="00B87FA2" w:rsidRPr="00784F59" w:rsidRDefault="00B87FA2" w:rsidP="008415E8">
            <w:pPr>
              <w:jc w:val="both"/>
              <w:rPr>
                <w:rFonts w:ascii="Times New Roman" w:hAnsi="Times New Roman"/>
                <w:sz w:val="24"/>
                <w:szCs w:val="24"/>
              </w:rPr>
            </w:pPr>
          </w:p>
        </w:tc>
        <w:tc>
          <w:tcPr>
            <w:tcW w:w="4531" w:type="dxa"/>
          </w:tcPr>
          <w:p w14:paraId="423BE632" w14:textId="77777777" w:rsidR="00B87FA2" w:rsidRDefault="00B87FA2" w:rsidP="008415E8">
            <w:pPr>
              <w:rPr>
                <w:rFonts w:ascii="Times New Roman" w:hAnsi="Times New Roman" w:cs="Times New Roman"/>
                <w:sz w:val="24"/>
                <w:szCs w:val="24"/>
              </w:rPr>
            </w:pPr>
            <w:r>
              <w:rPr>
                <w:rFonts w:ascii="Times New Roman" w:hAnsi="Times New Roman" w:cs="Times New Roman"/>
                <w:sz w:val="24"/>
                <w:szCs w:val="24"/>
              </w:rPr>
              <w:t xml:space="preserve">Nulová varianta </w:t>
            </w:r>
          </w:p>
          <w:p w14:paraId="0EFAEF39" w14:textId="77777777" w:rsidR="00B87FA2" w:rsidRDefault="00B87FA2" w:rsidP="008415E8">
            <w:pPr>
              <w:rPr>
                <w:rFonts w:ascii="Times New Roman" w:hAnsi="Times New Roman" w:cs="Times New Roman"/>
                <w:sz w:val="24"/>
                <w:szCs w:val="24"/>
              </w:rPr>
            </w:pPr>
          </w:p>
        </w:tc>
      </w:tr>
      <w:tr w:rsidR="00B87FA2" w14:paraId="559BF6FA" w14:textId="77777777" w:rsidTr="008415E8">
        <w:tc>
          <w:tcPr>
            <w:tcW w:w="4531" w:type="dxa"/>
            <w:vMerge/>
          </w:tcPr>
          <w:p w14:paraId="7035C135" w14:textId="77777777" w:rsidR="00B87FA2" w:rsidRDefault="00B87FA2" w:rsidP="008415E8">
            <w:pPr>
              <w:jc w:val="both"/>
              <w:rPr>
                <w:rFonts w:ascii="Times New Roman" w:hAnsi="Times New Roman" w:cs="Times New Roman"/>
                <w:sz w:val="24"/>
                <w:szCs w:val="24"/>
              </w:rPr>
            </w:pPr>
          </w:p>
        </w:tc>
        <w:tc>
          <w:tcPr>
            <w:tcW w:w="4531" w:type="dxa"/>
          </w:tcPr>
          <w:p w14:paraId="59420A8F" w14:textId="77777777" w:rsidR="00B87FA2" w:rsidRDefault="00B87FA2" w:rsidP="008415E8">
            <w:pPr>
              <w:rPr>
                <w:rFonts w:ascii="Times New Roman" w:hAnsi="Times New Roman" w:cs="Times New Roman"/>
                <w:sz w:val="24"/>
                <w:szCs w:val="24"/>
              </w:rPr>
            </w:pPr>
            <w:r>
              <w:rPr>
                <w:rFonts w:ascii="Times New Roman" w:hAnsi="Times New Roman" w:cs="Times New Roman"/>
                <w:sz w:val="24"/>
                <w:szCs w:val="24"/>
              </w:rPr>
              <w:t>Upravit status v souladu s mezinárodními doporučeními</w:t>
            </w:r>
          </w:p>
        </w:tc>
      </w:tr>
    </w:tbl>
    <w:p w14:paraId="6BA045B2" w14:textId="77777777" w:rsidR="00BD190B" w:rsidRDefault="00BD190B" w:rsidP="00BD190B">
      <w:pPr>
        <w:pStyle w:val="Odstavecseseznamem"/>
        <w:ind w:left="0" w:firstLine="0"/>
        <w:rPr>
          <w:rFonts w:ascii="Times New Roman" w:hAnsi="Times New Roman"/>
          <w:b/>
          <w:sz w:val="24"/>
          <w:szCs w:val="24"/>
        </w:rPr>
      </w:pPr>
    </w:p>
    <w:p w14:paraId="66D5EABD" w14:textId="77777777" w:rsidR="00017612" w:rsidRPr="0099491A" w:rsidRDefault="00017612" w:rsidP="00017612">
      <w:pPr>
        <w:keepNext/>
        <w:widowControl w:val="0"/>
        <w:spacing w:before="120"/>
        <w:jc w:val="both"/>
        <w:rPr>
          <w:rFonts w:ascii="Times New Roman" w:hAnsi="Times New Roman" w:cs="Times New Roman"/>
          <w:sz w:val="24"/>
          <w:szCs w:val="24"/>
        </w:rPr>
      </w:pPr>
      <w:r w:rsidRPr="0099491A">
        <w:rPr>
          <w:rFonts w:ascii="Times New Roman" w:hAnsi="Times New Roman" w:cs="Times New Roman"/>
          <w:sz w:val="24"/>
          <w:szCs w:val="24"/>
        </w:rPr>
        <w:t xml:space="preserve">Zpráva ze čtvrté hodnotitelské návštěvy výboru Moneyval RE v České republice mimo jiné při hodnocení naplňování FATF doporučení č. 26 týkající se Finančních zpravodajských jednotek (nynější doporučení 29) shledala i nedostatečné záruky nezávislosti a právního ukotvení české Finanční zpravodajské jednotky, včetně jejího ředitele. Zpráva výboru Moneyval RE mimo jiné konstatuje (kapitola 2.5): „Nyní platný zákon „proti praní peněz“ hovoří o FAÚ jako o „ministerstvu“ a neexistuje žádné ustanovení o nezávislosti a samostatnosti FAÚ. Finanční rozpočet FAÚ není oddělen od obecného rozpočtu Ministerstva financí. V zákoně je stanovena pouze technická samostatnost FAÚ od Ministerstva financí a omezený přístup personálu ministerstva na pracoviště FAÚ. Žádný právní předpis neupravuje pozici ředitele FAÚ, komu odpovídá a důvody, proč může být odvolán.“.   </w:t>
      </w:r>
    </w:p>
    <w:p w14:paraId="379B35FE" w14:textId="77777777" w:rsidR="00017612" w:rsidRPr="0099491A" w:rsidRDefault="00017612" w:rsidP="00017612">
      <w:pPr>
        <w:keepNext/>
        <w:widowControl w:val="0"/>
        <w:spacing w:before="120"/>
        <w:jc w:val="both"/>
        <w:rPr>
          <w:rFonts w:ascii="Times New Roman" w:hAnsi="Times New Roman" w:cs="Times New Roman"/>
          <w:sz w:val="24"/>
          <w:szCs w:val="24"/>
        </w:rPr>
      </w:pPr>
      <w:r w:rsidRPr="0099491A">
        <w:rPr>
          <w:rFonts w:ascii="Times New Roman" w:hAnsi="Times New Roman" w:cs="Times New Roman"/>
          <w:sz w:val="24"/>
          <w:szCs w:val="24"/>
        </w:rPr>
        <w:t>Ve své zprávě hodnotitelé mimo jiné doporučují:</w:t>
      </w:r>
    </w:p>
    <w:p w14:paraId="5873293D" w14:textId="77777777" w:rsidR="00017612" w:rsidRPr="0099491A" w:rsidRDefault="00017612" w:rsidP="00017612">
      <w:pPr>
        <w:keepNext/>
        <w:widowControl w:val="0"/>
        <w:spacing w:before="120"/>
        <w:ind w:left="426" w:hanging="426"/>
        <w:jc w:val="both"/>
        <w:rPr>
          <w:rFonts w:ascii="Times New Roman" w:hAnsi="Times New Roman" w:cs="Times New Roman"/>
          <w:sz w:val="24"/>
          <w:szCs w:val="24"/>
        </w:rPr>
      </w:pPr>
      <w:r w:rsidRPr="0099491A">
        <w:rPr>
          <w:rFonts w:ascii="Times New Roman" w:hAnsi="Times New Roman" w:cs="Times New Roman"/>
          <w:sz w:val="24"/>
          <w:szCs w:val="24"/>
        </w:rPr>
        <w:t>1.</w:t>
      </w:r>
      <w:r w:rsidRPr="0099491A">
        <w:rPr>
          <w:rFonts w:ascii="Times New Roman" w:hAnsi="Times New Roman" w:cs="Times New Roman"/>
          <w:sz w:val="24"/>
          <w:szCs w:val="24"/>
        </w:rPr>
        <w:tab/>
        <w:t>Zvážit zavedení výslovného odkazu na FAÚ do legislativy proti praní peněz a financování terorismu („AML/CFT“).</w:t>
      </w:r>
    </w:p>
    <w:p w14:paraId="5501EC70" w14:textId="77777777" w:rsidR="00017612" w:rsidRPr="0099491A" w:rsidRDefault="00017612" w:rsidP="00017612">
      <w:pPr>
        <w:keepNext/>
        <w:widowControl w:val="0"/>
        <w:spacing w:before="120"/>
        <w:ind w:left="426" w:hanging="426"/>
        <w:jc w:val="both"/>
        <w:rPr>
          <w:rFonts w:ascii="Times New Roman" w:hAnsi="Times New Roman" w:cs="Times New Roman"/>
          <w:sz w:val="24"/>
          <w:szCs w:val="24"/>
        </w:rPr>
      </w:pPr>
      <w:r w:rsidRPr="0099491A">
        <w:rPr>
          <w:rFonts w:ascii="Times New Roman" w:hAnsi="Times New Roman" w:cs="Times New Roman"/>
          <w:sz w:val="24"/>
          <w:szCs w:val="24"/>
        </w:rPr>
        <w:t>2.</w:t>
      </w:r>
      <w:r w:rsidRPr="0099491A">
        <w:rPr>
          <w:rFonts w:ascii="Times New Roman" w:hAnsi="Times New Roman" w:cs="Times New Roman"/>
          <w:sz w:val="24"/>
          <w:szCs w:val="24"/>
        </w:rPr>
        <w:tab/>
        <w:t>Posílit nezávislost a samostatnost FAÚ novelizací zákona č. 253/2008 Sb. nebo vydáním vyhlášky, která by upravovala hlavní aspekty činnosti FAÚ (jmenování ředitele a důvody jeho odvolání, zaměstnávání a řízení pracovníků, rozpočet, organizace a bezpečnost).</w:t>
      </w:r>
    </w:p>
    <w:p w14:paraId="45D87860" w14:textId="77777777" w:rsidR="00017612" w:rsidRPr="0099491A" w:rsidRDefault="00017612" w:rsidP="00017612">
      <w:pPr>
        <w:keepNext/>
        <w:widowControl w:val="0"/>
        <w:spacing w:before="120"/>
        <w:jc w:val="both"/>
        <w:rPr>
          <w:rFonts w:ascii="Times New Roman" w:hAnsi="Times New Roman" w:cs="Times New Roman"/>
          <w:sz w:val="24"/>
          <w:szCs w:val="24"/>
        </w:rPr>
      </w:pPr>
      <w:r w:rsidRPr="0099491A">
        <w:rPr>
          <w:rFonts w:ascii="Times New Roman" w:hAnsi="Times New Roman" w:cs="Times New Roman"/>
          <w:sz w:val="24"/>
          <w:szCs w:val="24"/>
        </w:rPr>
        <w:t>V nedávné době přijatý zákon č. 166/2015 Sb. ze dne 18. června 2015, kterým se mění zákon č. 253/2008 Sb., o některých opatřeních proti legalizaci výnosů z trestné činnosti a financování terorismu, ve znění pozdějších předpisů, měl v původně navrženém znění řešit kromě nastavení parlamentní kontroly činnosti FAÚ také postavení ředitele FAÚ. Z důvodu přijetí zákona č. 234/2014 Sb., o státní službě, byla tato novela před schválením pozměněna a v současné době obsahuje jen nastavení parlamentní kontroly činnosti FAÚ.</w:t>
      </w:r>
    </w:p>
    <w:p w14:paraId="1C8EE61A" w14:textId="77777777" w:rsidR="00017612" w:rsidRPr="0099491A" w:rsidRDefault="00017612" w:rsidP="00017612">
      <w:pPr>
        <w:keepNext/>
        <w:widowControl w:val="0"/>
        <w:spacing w:before="120"/>
        <w:jc w:val="both"/>
        <w:rPr>
          <w:rFonts w:ascii="Times New Roman" w:hAnsi="Times New Roman" w:cs="Times New Roman"/>
          <w:sz w:val="24"/>
          <w:szCs w:val="24"/>
        </w:rPr>
      </w:pPr>
      <w:r w:rsidRPr="0099491A">
        <w:rPr>
          <w:rFonts w:ascii="Times New Roman" w:hAnsi="Times New Roman" w:cs="Times New Roman"/>
          <w:sz w:val="24"/>
          <w:szCs w:val="24"/>
        </w:rPr>
        <w:t>Na základě uvedeného se proto navrhuje zřídit samostatný Finanční analytický úřad jako správní úřad v podřízenosti Ministerstva financí. Úpravou v zákoně a souvisejících právních předpisech a faktickým vyčleněním činností tohoto úřadu od Ministerstva financí budou odstraněny konstatované nedostatky a naplněna uvedená doporučení.</w:t>
      </w:r>
    </w:p>
    <w:p w14:paraId="311E2426" w14:textId="77777777" w:rsidR="00017612" w:rsidRPr="0099491A" w:rsidRDefault="00017612" w:rsidP="00017612">
      <w:pPr>
        <w:keepNext/>
        <w:widowControl w:val="0"/>
        <w:spacing w:before="120"/>
        <w:jc w:val="both"/>
        <w:rPr>
          <w:rFonts w:ascii="Times New Roman" w:hAnsi="Times New Roman" w:cs="Times New Roman"/>
          <w:sz w:val="24"/>
          <w:szCs w:val="24"/>
        </w:rPr>
      </w:pPr>
      <w:r w:rsidRPr="0099491A">
        <w:rPr>
          <w:rFonts w:ascii="Times New Roman" w:hAnsi="Times New Roman" w:cs="Times New Roman"/>
          <w:sz w:val="24"/>
          <w:szCs w:val="24"/>
        </w:rPr>
        <w:t xml:space="preserve">Takovýto postup by splňoval i transpozici IV. AML směrnice, kde jsou definovány požadavky na členské státy ke zřízení finanční zpravodajské jednotky, a to v článku 32. Zde je mimo jiné v odstavci 3 vymezeno následující: „Finanční zpravodajská jednotka musí být provozně nezávislá a samostatná, to znamená, že musí mít pravomoc a schopnost vykonávat své funkce volně, včetně schopnosti samostatně rozhodovat o tom, zda konkrétní informace analyzovat, žádat o ně a šířit je. Jakožto ústřední jednotka odpovídá finanční zpravodajská jednotka za příjem a analýzu oznámení podezřelých transakcí a dalších informací týkajících se praní peněz, souvisejících predikativních trestných činů nebo financování terorismu. … Členské státy poskytnou svým finančním zpravodajským jednotkám náležité finanční, lidské a </w:t>
      </w:r>
      <w:r w:rsidRPr="0099491A">
        <w:rPr>
          <w:rFonts w:ascii="Times New Roman" w:hAnsi="Times New Roman" w:cs="Times New Roman"/>
          <w:sz w:val="24"/>
          <w:szCs w:val="24"/>
        </w:rPr>
        <w:lastRenderedPageBreak/>
        <w:t>technické zdroje, aby mohly plnit své úkoly“.</w:t>
      </w:r>
    </w:p>
    <w:p w14:paraId="6C5DA230" w14:textId="77777777" w:rsidR="00017612" w:rsidRPr="0099491A" w:rsidRDefault="00017612" w:rsidP="00017612">
      <w:pPr>
        <w:keepNext/>
        <w:widowControl w:val="0"/>
        <w:spacing w:before="120"/>
        <w:jc w:val="both"/>
        <w:rPr>
          <w:rFonts w:ascii="Times New Roman" w:hAnsi="Times New Roman" w:cs="Times New Roman"/>
          <w:sz w:val="24"/>
          <w:szCs w:val="24"/>
        </w:rPr>
      </w:pPr>
      <w:r w:rsidRPr="0099491A">
        <w:rPr>
          <w:rFonts w:ascii="Times New Roman" w:hAnsi="Times New Roman" w:cs="Times New Roman"/>
          <w:sz w:val="24"/>
          <w:szCs w:val="24"/>
        </w:rPr>
        <w:t>Ve výše uvedeném zákoně č. 166/2015 Sb. se upravuje kontrola činnosti FAÚ jako odboru Ministerstva financí, a to tak, že „Kontrolu činnosti Finančního analytického útvaru vykonává Poslanecká sněmovna, která k tomuto účelu zřizuje stálou komisi dle zákona upravujícího jednací řád Poslanecké sněmovny (dále jen „stálá komise“), a vláda.“. Činnost odboru ministerstva by tak s účinností k 1. říjnu 2015 měla být kontrolována stálou komisí poslanecké sněmovny a vládou. Z toho vyplývá i dokladování činnosti těmto institucím. Za současného stavu by tak ředitel odboru ministerstva měl činit prostřednictvím svých přímých nadřízených a takovýto proces by byl z pohledu fungování ministerstev obecně naprosto nestandardní. Naproti tomu navrhované řešení s vytvořením samostatného úřadu by korespondovalo s navrhovanou kontrolou orgánu zákonodárné moci, kdy by byla kontrolována činnost úřadu a ne jednoho odboru ze struktury ministerstva. Rovněž jmenování ředitele vládou na návrh ministra, jak bylo navrhováno i v původním návrhu zákona č. 166/2015 Sb., bylo v rozporu se služebním zákonem, pokud ředitel FAÚ je „jen“ ředitelem odboru ministerstva. Jmenování ředitele navrhovaného Finančního analytického úřadu jako samostatného „správního úřadu“ podle zvláštního zákona však již je plně v souladu se služebním zákonem. Předpokládá se přitom, že ředitel i většina zaměstnanců úřadu (mimo „provozních“ pracovníků) by byli státními zaměstnanci a podléhali tak zákonu o státní službě.</w:t>
      </w:r>
    </w:p>
    <w:p w14:paraId="5F240A37" w14:textId="77777777" w:rsidR="00017612" w:rsidRPr="00017612" w:rsidRDefault="00017612" w:rsidP="00017612">
      <w:pPr>
        <w:pStyle w:val="Text"/>
        <w:keepNext/>
        <w:spacing w:before="360" w:line="240" w:lineRule="auto"/>
        <w:jc w:val="both"/>
        <w:rPr>
          <w:rFonts w:ascii="Times New Roman" w:eastAsia="Helvetica" w:hAnsi="Times New Roman" w:cs="Times New Roman"/>
          <w:b/>
          <w:color w:val="auto"/>
          <w:lang w:eastAsia="en-US"/>
        </w:rPr>
      </w:pPr>
      <w:r w:rsidRPr="00017612">
        <w:rPr>
          <w:rFonts w:ascii="Times New Roman" w:eastAsia="Helvetica" w:hAnsi="Times New Roman" w:cs="Times New Roman"/>
          <w:b/>
          <w:color w:val="auto"/>
          <w:lang w:eastAsia="en-US"/>
        </w:rPr>
        <w:t>Zhodnocení dopadů zřízení Finančního analytického úřadu</w:t>
      </w:r>
    </w:p>
    <w:p w14:paraId="04A8C6B6" w14:textId="77777777" w:rsidR="00017612" w:rsidRPr="00017612" w:rsidRDefault="00017612" w:rsidP="00017612">
      <w:pPr>
        <w:pStyle w:val="Text"/>
        <w:keepNext/>
        <w:spacing w:before="240" w:line="240" w:lineRule="auto"/>
        <w:jc w:val="both"/>
        <w:rPr>
          <w:rFonts w:ascii="Times New Roman" w:eastAsia="Helvetica" w:hAnsi="Times New Roman" w:cs="Times New Roman"/>
          <w:color w:val="auto"/>
          <w:u w:val="single"/>
          <w:lang w:eastAsia="en-US"/>
        </w:rPr>
      </w:pPr>
      <w:r w:rsidRPr="00017612">
        <w:rPr>
          <w:rFonts w:ascii="Times New Roman" w:eastAsia="Helvetica" w:hAnsi="Times New Roman" w:cs="Times New Roman"/>
          <w:color w:val="auto"/>
          <w:u w:val="single"/>
          <w:lang w:eastAsia="en-US"/>
        </w:rPr>
        <w:t xml:space="preserve">Personální dopad </w:t>
      </w:r>
    </w:p>
    <w:p w14:paraId="59DBE8B7" w14:textId="77777777" w:rsidR="00017612" w:rsidRPr="00017612" w:rsidRDefault="00017612" w:rsidP="00017612">
      <w:pPr>
        <w:pStyle w:val="Text"/>
        <w:spacing w:before="120" w:line="240" w:lineRule="auto"/>
        <w:jc w:val="both"/>
        <w:rPr>
          <w:rFonts w:ascii="Times New Roman" w:eastAsia="Helvetica" w:hAnsi="Times New Roman" w:cs="Times New Roman"/>
          <w:color w:val="auto"/>
          <w:lang w:eastAsia="en-US"/>
        </w:rPr>
      </w:pPr>
      <w:r w:rsidRPr="00017612">
        <w:rPr>
          <w:rFonts w:ascii="Times New Roman" w:eastAsia="Helvetica" w:hAnsi="Times New Roman" w:cs="Times New Roman"/>
          <w:color w:val="auto"/>
          <w:lang w:eastAsia="en-US"/>
        </w:rPr>
        <w:t>Pro nově zřízený útvar je zvažována tato varianta:</w:t>
      </w:r>
    </w:p>
    <w:p w14:paraId="647BA1F3" w14:textId="77777777" w:rsidR="00017612" w:rsidRPr="00017612" w:rsidRDefault="00017612" w:rsidP="00017612">
      <w:pPr>
        <w:pStyle w:val="Text"/>
        <w:spacing w:before="120" w:line="240" w:lineRule="auto"/>
        <w:jc w:val="both"/>
        <w:rPr>
          <w:rFonts w:ascii="Times New Roman" w:eastAsia="Helvetica" w:hAnsi="Times New Roman" w:cs="Times New Roman"/>
          <w:color w:val="auto"/>
          <w:lang w:eastAsia="en-US"/>
        </w:rPr>
      </w:pPr>
      <w:r w:rsidRPr="00017612">
        <w:rPr>
          <w:rFonts w:ascii="Times New Roman" w:eastAsia="Helvetica" w:hAnsi="Times New Roman" w:cs="Times New Roman"/>
          <w:color w:val="auto"/>
          <w:lang w:eastAsia="en-US"/>
        </w:rPr>
        <w:t xml:space="preserve">V současné době je na FAÚ systemizováno 42 tabulkových míst z toho je jedno systemizováno dočasně z projektu norských fondů CZ10. </w:t>
      </w:r>
    </w:p>
    <w:p w14:paraId="7600CF93" w14:textId="77777777" w:rsidR="00017612" w:rsidRPr="00017612" w:rsidRDefault="00017612" w:rsidP="00017612">
      <w:pPr>
        <w:pStyle w:val="Text"/>
        <w:spacing w:before="120" w:line="240" w:lineRule="auto"/>
        <w:jc w:val="both"/>
        <w:rPr>
          <w:rFonts w:ascii="Times New Roman" w:eastAsia="Helvetica" w:hAnsi="Times New Roman" w:cs="Times New Roman"/>
          <w:color w:val="auto"/>
          <w:lang w:eastAsia="en-US"/>
        </w:rPr>
      </w:pPr>
      <w:r w:rsidRPr="00017612">
        <w:rPr>
          <w:rFonts w:ascii="Times New Roman" w:eastAsia="Helvetica" w:hAnsi="Times New Roman" w:cs="Times New Roman"/>
          <w:color w:val="auto"/>
          <w:lang w:eastAsia="en-US"/>
        </w:rPr>
        <w:t xml:space="preserve">Pro nově zřízený útvar je zvažována varianta, že by byl úřad posílen o skutečnou optimální potřebu, která představuje nových 20 zaměstnanců, tedy posílení o cca 50 %. Z tohoto počtu je třeba počítat min. 2 administrativní pracovníky pro „týlové“ zabezpečení, zejména však nyní z provozních důvodů nutné posílení analytického oddělení, kontroly a mezinárodně-právního oddělení. Požadavek na posílení útvaru vychází z výrazného zvýšení požadavků na činnost útvaru za poslední období. V rámci analytické činnosti jde o dlouhodobý každoroční nárůst počtu zpracovávaných oznámení podezřelých obchodů. V souvislosti s vývojem v oblasti mezinárodních sankcí výrazně přibylo správních řízení a dalších činností, v poslední době zejména v rámci opatření vůči Íránu a v souvislosti s vývojem na Ukrajině. Útvar jako koordinátor uplatňování mezinárodních sankcí plní řadu úkolů vůči jiným institucím ČR, EU a dalším nadnárodním institucím a ve značné míře poskytuje i poradenskou činnost soukromým subjektům. Další činnost začal útvar vykonávat v souvislosti se sdílením majetku v rámci mezinárodní justiční spolupráce. Toto je však činnost příslušející podle kompetenčního zákona Ministerstvu financí, byť je převážně stavěna na aktech mezinárodního práva pro oblast boje proti legalizaci výnosů z trestné činnosti; není proto v tomto návrhu řešena a bude záležitostí následného rozdělení kompetencí v rámci MF vnitřními předpisy. Vedle toho je FAÚ (i v hodnocení Moneyvalu RE z r. 2011 a v následných hodnoceních odstranění nedostatků) stále vytýkána nedostatečná kontrola celého spektra povinných osob (kterých jsou řádově desetitisíce). Uvedené posílení by proto bylo nutné i v případě zachování současného zařazení na úrovni odboru ministerstva. Zároveň tato varianta přináší zejména možnosti hlubší analýzy zpracovávaných oznámení podezřelého </w:t>
      </w:r>
      <w:r w:rsidRPr="00017612">
        <w:rPr>
          <w:rFonts w:ascii="Times New Roman" w:eastAsia="Helvetica" w:hAnsi="Times New Roman" w:cs="Times New Roman"/>
          <w:color w:val="auto"/>
          <w:lang w:eastAsia="en-US"/>
        </w:rPr>
        <w:lastRenderedPageBreak/>
        <w:t>obchodu, ale i širší metodickou činnost vůči povinným osobám. Výrazněji by bylo možno rozvíjet i spolupráci s daňovými orgány a orgány činnými v trestním řízení. Samozřejmě by byla výrazněji posílena kontrola a rozšířeno i prohloubeno její působení.</w:t>
      </w:r>
    </w:p>
    <w:p w14:paraId="1828349D" w14:textId="77777777" w:rsidR="00017612" w:rsidRPr="00017612" w:rsidRDefault="00017612" w:rsidP="00017612">
      <w:pPr>
        <w:pStyle w:val="Text"/>
        <w:keepNext/>
        <w:spacing w:before="240" w:line="240" w:lineRule="auto"/>
        <w:jc w:val="both"/>
        <w:rPr>
          <w:rFonts w:ascii="Times New Roman" w:eastAsia="Helvetica" w:hAnsi="Times New Roman" w:cs="Times New Roman"/>
          <w:color w:val="auto"/>
          <w:u w:val="single"/>
          <w:lang w:eastAsia="en-US"/>
        </w:rPr>
      </w:pPr>
      <w:r w:rsidRPr="00017612">
        <w:rPr>
          <w:rFonts w:ascii="Times New Roman" w:eastAsia="Helvetica" w:hAnsi="Times New Roman" w:cs="Times New Roman"/>
          <w:color w:val="auto"/>
          <w:u w:val="single"/>
          <w:lang w:eastAsia="en-US"/>
        </w:rPr>
        <w:t xml:space="preserve">Finanční dopad </w:t>
      </w:r>
    </w:p>
    <w:p w14:paraId="59772866" w14:textId="77777777" w:rsidR="00017612" w:rsidRPr="00017612" w:rsidRDefault="00017612" w:rsidP="00017612">
      <w:pPr>
        <w:pStyle w:val="Text"/>
        <w:spacing w:before="120" w:line="240" w:lineRule="auto"/>
        <w:jc w:val="both"/>
        <w:rPr>
          <w:rFonts w:ascii="Times New Roman" w:eastAsia="Helvetica" w:hAnsi="Times New Roman" w:cs="Times New Roman"/>
          <w:color w:val="auto"/>
          <w:lang w:eastAsia="en-US"/>
        </w:rPr>
      </w:pPr>
      <w:r w:rsidRPr="00017612">
        <w:rPr>
          <w:rFonts w:ascii="Times New Roman" w:eastAsia="Helvetica" w:hAnsi="Times New Roman" w:cs="Times New Roman"/>
          <w:color w:val="auto"/>
          <w:lang w:eastAsia="en-US"/>
        </w:rPr>
        <w:t>Náklady spojené s vytvořením samostatného úřadu v rámci kapitoly Ministerstva financí by byly spojené především s vytvořením dalších tabulkových míst v jednotlivých odděleních dle výše uvedeného a s náklady na zajištění materiálního a technického vybavení těchto pracovníků. Tyto náklady by však byly dostatečně adekvátní zvýšené efektivitě činnosti FAÚ, a to jak v oblasti zajišťování výnosů z trestné činnosti, spolupráce s daňovými a celními orgány v oblasti boje s daňovou kriminalitou, tak i v kontrolní činnosti. Není počítáno s případnými náklady na vybudování nových prostor či přestěhování úřadu, zvažována je pouze varianta rozšíření prostor v rámci stávající budovy po dohodě s jejím vlastníkem, kterým je Celní správa.</w:t>
      </w:r>
    </w:p>
    <w:p w14:paraId="4B55C831" w14:textId="77777777" w:rsidR="00017612" w:rsidRPr="00017612" w:rsidRDefault="00017612" w:rsidP="00017612">
      <w:pPr>
        <w:pStyle w:val="Text"/>
        <w:spacing w:before="120" w:line="240" w:lineRule="auto"/>
        <w:jc w:val="both"/>
        <w:rPr>
          <w:rFonts w:ascii="Times New Roman" w:eastAsia="Helvetica" w:hAnsi="Times New Roman" w:cs="Times New Roman"/>
          <w:color w:val="auto"/>
          <w:lang w:eastAsia="en-US"/>
        </w:rPr>
      </w:pPr>
      <w:r w:rsidRPr="00017612">
        <w:rPr>
          <w:rFonts w:ascii="Times New Roman" w:eastAsia="Helvetica" w:hAnsi="Times New Roman" w:cs="Times New Roman"/>
          <w:color w:val="auto"/>
          <w:lang w:eastAsia="en-US"/>
        </w:rPr>
        <w:t xml:space="preserve">Výdaje spojené se vznikem a činností samostatného úřadu každoročně zohlednit ve výdajové části rozpočtu kapitoly 312 - MF při přípravě návrhu státního rozpočtu na příslušný rok a SDV. Taktéž bude třeba zvýšit i počet funkčních míst v kapitole 312 – MF o funkční místa pro </w:t>
      </w:r>
      <w:proofErr w:type="gramStart"/>
      <w:r w:rsidRPr="00017612">
        <w:rPr>
          <w:rFonts w:ascii="Times New Roman" w:eastAsia="Helvetica" w:hAnsi="Times New Roman" w:cs="Times New Roman"/>
          <w:color w:val="auto"/>
          <w:lang w:eastAsia="en-US"/>
        </w:rPr>
        <w:t>novou</w:t>
      </w:r>
      <w:proofErr w:type="gramEnd"/>
      <w:r w:rsidRPr="00017612">
        <w:rPr>
          <w:rFonts w:ascii="Times New Roman" w:eastAsia="Helvetica" w:hAnsi="Times New Roman" w:cs="Times New Roman"/>
          <w:color w:val="auto"/>
          <w:lang w:eastAsia="en-US"/>
        </w:rPr>
        <w:t xml:space="preserve"> resortní OSS.</w:t>
      </w:r>
    </w:p>
    <w:p w14:paraId="43A49E30" w14:textId="77777777" w:rsidR="00B87FA2" w:rsidRDefault="00B87FA2" w:rsidP="00BD190B">
      <w:pPr>
        <w:pStyle w:val="Odstavecseseznamem"/>
        <w:ind w:left="0" w:firstLine="0"/>
        <w:rPr>
          <w:rFonts w:ascii="Times New Roman" w:hAnsi="Times New Roman"/>
          <w:b/>
          <w:sz w:val="24"/>
          <w:szCs w:val="24"/>
        </w:rPr>
      </w:pPr>
    </w:p>
    <w:p w14:paraId="0B2220DE" w14:textId="0DB7AD5C" w:rsidR="00017612" w:rsidRPr="00F359F8" w:rsidRDefault="00017612" w:rsidP="00017612">
      <w:pPr>
        <w:jc w:val="both"/>
        <w:rPr>
          <w:rFonts w:ascii="Times New Roman" w:eastAsia="Calibri" w:hAnsi="Times New Roman" w:cs="Times New Roman"/>
          <w:b/>
          <w:sz w:val="24"/>
          <w:szCs w:val="24"/>
        </w:rPr>
      </w:pPr>
      <w:r>
        <w:rPr>
          <w:rFonts w:ascii="Times New Roman" w:eastAsia="Calibri" w:hAnsi="Times New Roman" w:cs="Times New Roman"/>
          <w:b/>
          <w:sz w:val="24"/>
          <w:szCs w:val="24"/>
        </w:rPr>
        <w:t>Závěr: Navrhuje se upravit status finanční zpravodajské jednotky na samostatný úřad.</w:t>
      </w:r>
    </w:p>
    <w:p w14:paraId="59A0DBEE" w14:textId="77777777" w:rsidR="00017612" w:rsidRDefault="00017612" w:rsidP="00BD190B">
      <w:pPr>
        <w:pStyle w:val="Odstavecseseznamem"/>
        <w:ind w:left="0" w:firstLine="0"/>
        <w:rPr>
          <w:rFonts w:ascii="Times New Roman" w:hAnsi="Times New Roman"/>
          <w:b/>
          <w:sz w:val="24"/>
          <w:szCs w:val="24"/>
        </w:rPr>
      </w:pPr>
    </w:p>
    <w:p w14:paraId="1D5582AA" w14:textId="77777777" w:rsidR="00B87FA2" w:rsidRPr="00BD190B" w:rsidRDefault="00B87FA2" w:rsidP="00BD190B">
      <w:pPr>
        <w:pStyle w:val="Odstavecseseznamem"/>
        <w:ind w:left="0" w:firstLine="0"/>
        <w:rPr>
          <w:rFonts w:ascii="Times New Roman" w:hAnsi="Times New Roman"/>
          <w:b/>
          <w:sz w:val="24"/>
          <w:szCs w:val="24"/>
        </w:rPr>
      </w:pPr>
    </w:p>
    <w:p w14:paraId="7E9EB1A6" w14:textId="77777777" w:rsidR="0051205F" w:rsidRDefault="0051205F" w:rsidP="00A763B0">
      <w:pPr>
        <w:pStyle w:val="Odstavecseseznamem"/>
        <w:numPr>
          <w:ilvl w:val="0"/>
          <w:numId w:val="1"/>
        </w:numPr>
        <w:ind w:left="0"/>
        <w:rPr>
          <w:rFonts w:ascii="Times New Roman" w:hAnsi="Times New Roman"/>
          <w:b/>
          <w:sz w:val="24"/>
          <w:szCs w:val="24"/>
        </w:rPr>
      </w:pPr>
      <w:r>
        <w:rPr>
          <w:rFonts w:ascii="Times New Roman" w:hAnsi="Times New Roman"/>
          <w:b/>
          <w:sz w:val="24"/>
          <w:szCs w:val="24"/>
        </w:rPr>
        <w:t>NÁVRH ŘEŠENÍ</w:t>
      </w:r>
    </w:p>
    <w:p w14:paraId="29123467" w14:textId="77777777" w:rsidR="00CF4B7E" w:rsidRPr="00A763B0" w:rsidRDefault="00CF4B7E" w:rsidP="00CF4B7E">
      <w:pPr>
        <w:pStyle w:val="Odstavecseseznamem"/>
        <w:ind w:left="0" w:firstLine="0"/>
        <w:rPr>
          <w:rFonts w:ascii="Times New Roman" w:hAnsi="Times New Roman"/>
          <w:sz w:val="24"/>
          <w:szCs w:val="24"/>
        </w:rPr>
      </w:pPr>
    </w:p>
    <w:p w14:paraId="3A711A13" w14:textId="77777777" w:rsidR="00CF4B7E" w:rsidRDefault="00CF4B7E" w:rsidP="00CF4B7E">
      <w:pPr>
        <w:pStyle w:val="Odstavecseseznamem"/>
        <w:ind w:left="0" w:firstLine="0"/>
        <w:rPr>
          <w:rFonts w:ascii="Times New Roman" w:hAnsi="Times New Roman"/>
          <w:sz w:val="24"/>
          <w:szCs w:val="24"/>
        </w:rPr>
      </w:pPr>
      <w:r>
        <w:rPr>
          <w:rFonts w:ascii="Times New Roman" w:hAnsi="Times New Roman"/>
          <w:sz w:val="24"/>
          <w:szCs w:val="24"/>
        </w:rPr>
        <w:t>Na základě hodnocení variant zpracovatel RIA navrhuje tato řešení:</w:t>
      </w:r>
    </w:p>
    <w:p w14:paraId="20022FC2" w14:textId="77777777" w:rsidR="00CF4B7E" w:rsidRDefault="00CF4B7E" w:rsidP="00CF4B7E">
      <w:pPr>
        <w:pStyle w:val="Odstavecseseznamem"/>
        <w:ind w:left="0" w:firstLine="0"/>
        <w:rPr>
          <w:rFonts w:ascii="Times New Roman" w:hAnsi="Times New Roman"/>
          <w:sz w:val="24"/>
          <w:szCs w:val="24"/>
        </w:rPr>
      </w:pPr>
    </w:p>
    <w:tbl>
      <w:tblPr>
        <w:tblStyle w:val="Mkatabulky"/>
        <w:tblW w:w="0" w:type="auto"/>
        <w:tblLook w:val="04A0" w:firstRow="1" w:lastRow="0" w:firstColumn="1" w:lastColumn="0" w:noHBand="0" w:noVBand="1"/>
      </w:tblPr>
      <w:tblGrid>
        <w:gridCol w:w="3510"/>
        <w:gridCol w:w="5702"/>
      </w:tblGrid>
      <w:tr w:rsidR="00CF4B7E" w14:paraId="3858711E" w14:textId="77777777" w:rsidTr="00CF4B7E">
        <w:tc>
          <w:tcPr>
            <w:tcW w:w="3510" w:type="dxa"/>
            <w:shd w:val="clear" w:color="auto" w:fill="DEEAF6" w:themeFill="accent1" w:themeFillTint="33"/>
          </w:tcPr>
          <w:p w14:paraId="0EEEEBB0" w14:textId="77777777" w:rsidR="00CF4B7E" w:rsidRPr="00CF4B7E" w:rsidRDefault="00CF4B7E" w:rsidP="00CF4B7E">
            <w:pPr>
              <w:pStyle w:val="Odstavecseseznamem"/>
              <w:ind w:left="0" w:firstLine="0"/>
              <w:rPr>
                <w:rFonts w:ascii="Times New Roman" w:hAnsi="Times New Roman"/>
                <w:b/>
                <w:sz w:val="24"/>
                <w:szCs w:val="24"/>
              </w:rPr>
            </w:pPr>
            <w:r>
              <w:rPr>
                <w:rFonts w:ascii="Times New Roman" w:hAnsi="Times New Roman"/>
                <w:b/>
                <w:sz w:val="24"/>
                <w:szCs w:val="24"/>
              </w:rPr>
              <w:t>Téma</w:t>
            </w:r>
          </w:p>
        </w:tc>
        <w:tc>
          <w:tcPr>
            <w:tcW w:w="5702" w:type="dxa"/>
            <w:shd w:val="clear" w:color="auto" w:fill="DEEAF6" w:themeFill="accent1" w:themeFillTint="33"/>
          </w:tcPr>
          <w:p w14:paraId="7ED479FA" w14:textId="77777777" w:rsidR="00CF4B7E" w:rsidRPr="00CF4B7E" w:rsidRDefault="00CF4B7E" w:rsidP="00CF4B7E">
            <w:pPr>
              <w:pStyle w:val="Odstavecseseznamem"/>
              <w:ind w:left="0" w:firstLine="0"/>
              <w:rPr>
                <w:rFonts w:ascii="Times New Roman" w:hAnsi="Times New Roman"/>
                <w:b/>
                <w:sz w:val="24"/>
                <w:szCs w:val="24"/>
              </w:rPr>
            </w:pPr>
            <w:r>
              <w:rPr>
                <w:rFonts w:ascii="Times New Roman" w:hAnsi="Times New Roman"/>
                <w:b/>
                <w:sz w:val="24"/>
                <w:szCs w:val="24"/>
              </w:rPr>
              <w:t>Navrhovaná varianta řešení</w:t>
            </w:r>
          </w:p>
        </w:tc>
      </w:tr>
      <w:tr w:rsidR="00CF4B7E" w14:paraId="23C9BF66" w14:textId="77777777" w:rsidTr="00CF4B7E">
        <w:tc>
          <w:tcPr>
            <w:tcW w:w="3510" w:type="dxa"/>
          </w:tcPr>
          <w:p w14:paraId="33F86B22" w14:textId="77777777" w:rsidR="00CF4B7E" w:rsidRDefault="00CF4B7E" w:rsidP="00CF4B7E">
            <w:pPr>
              <w:pStyle w:val="Odstavecseseznamem"/>
              <w:ind w:left="0" w:firstLine="0"/>
              <w:rPr>
                <w:rFonts w:ascii="Times New Roman" w:hAnsi="Times New Roman"/>
                <w:sz w:val="24"/>
                <w:szCs w:val="24"/>
              </w:rPr>
            </w:pPr>
            <w:r>
              <w:rPr>
                <w:rFonts w:ascii="Times New Roman" w:hAnsi="Times New Roman"/>
                <w:sz w:val="24"/>
                <w:szCs w:val="24"/>
              </w:rPr>
              <w:t>Zahrnutí provozovatelů hazardních her mezi povinné osoby</w:t>
            </w:r>
          </w:p>
        </w:tc>
        <w:tc>
          <w:tcPr>
            <w:tcW w:w="5702" w:type="dxa"/>
          </w:tcPr>
          <w:p w14:paraId="5C32CC05" w14:textId="77777777" w:rsidR="00CF4B7E" w:rsidRPr="0061746B" w:rsidRDefault="0061746B" w:rsidP="00CF4B7E">
            <w:pPr>
              <w:pStyle w:val="Odstavecseseznamem"/>
              <w:ind w:left="0" w:firstLine="0"/>
              <w:rPr>
                <w:rFonts w:ascii="Times New Roman" w:hAnsi="Times New Roman"/>
                <w:sz w:val="24"/>
                <w:szCs w:val="24"/>
              </w:rPr>
            </w:pPr>
            <w:r w:rsidRPr="0061746B">
              <w:rPr>
                <w:rFonts w:ascii="Times New Roman" w:hAnsi="Times New Roman"/>
                <w:sz w:val="24"/>
                <w:szCs w:val="24"/>
              </w:rPr>
              <w:t>Navrhuje se, aby pro provozovatele her, které představují nízké AML riziko, existovala zákonná výjimka, a tyto osoby byly vyňaty z režimu povinných osob.</w:t>
            </w:r>
          </w:p>
        </w:tc>
      </w:tr>
      <w:tr w:rsidR="00CF4B7E" w14:paraId="6541C23D" w14:textId="77777777" w:rsidTr="00CF4B7E">
        <w:tc>
          <w:tcPr>
            <w:tcW w:w="3510" w:type="dxa"/>
          </w:tcPr>
          <w:p w14:paraId="0DC06EE5" w14:textId="77777777" w:rsidR="00CF4B7E" w:rsidRDefault="00CF4B7E" w:rsidP="00CF4B7E">
            <w:pPr>
              <w:pStyle w:val="Odstavecseseznamem"/>
              <w:ind w:left="0" w:firstLine="0"/>
              <w:rPr>
                <w:rFonts w:ascii="Times New Roman" w:hAnsi="Times New Roman"/>
                <w:sz w:val="24"/>
                <w:szCs w:val="24"/>
              </w:rPr>
            </w:pPr>
            <w:r>
              <w:rPr>
                <w:rFonts w:ascii="Times New Roman" w:hAnsi="Times New Roman"/>
                <w:sz w:val="24"/>
                <w:szCs w:val="24"/>
              </w:rPr>
              <w:t xml:space="preserve">Definice povinných osob </w:t>
            </w:r>
            <w:r w:rsidR="001F1D75">
              <w:rPr>
                <w:rFonts w:ascii="Times New Roman" w:hAnsi="Times New Roman"/>
                <w:sz w:val="24"/>
                <w:szCs w:val="24"/>
              </w:rPr>
              <w:t>– výše hotovostních plateb</w:t>
            </w:r>
          </w:p>
        </w:tc>
        <w:tc>
          <w:tcPr>
            <w:tcW w:w="5702" w:type="dxa"/>
          </w:tcPr>
          <w:p w14:paraId="2A6AFB91" w14:textId="77777777" w:rsidR="00CF4B7E" w:rsidRPr="0061746B" w:rsidRDefault="0061746B" w:rsidP="0061746B">
            <w:pPr>
              <w:rPr>
                <w:rFonts w:ascii="Times New Roman" w:hAnsi="Times New Roman" w:cs="Times New Roman"/>
                <w:sz w:val="24"/>
                <w:szCs w:val="24"/>
              </w:rPr>
            </w:pPr>
            <w:r w:rsidRPr="0061746B">
              <w:rPr>
                <w:rFonts w:ascii="Times New Roman" w:hAnsi="Times New Roman" w:cs="Times New Roman"/>
                <w:sz w:val="24"/>
                <w:szCs w:val="24"/>
              </w:rPr>
              <w:t>Navrhuje se změnit limity výše hotovostních plateb u obchodníků se zbožím v souladu se směrnicí.</w:t>
            </w:r>
          </w:p>
        </w:tc>
      </w:tr>
      <w:tr w:rsidR="00CF4B7E" w14:paraId="154D9D83" w14:textId="77777777" w:rsidTr="00CF4B7E">
        <w:tc>
          <w:tcPr>
            <w:tcW w:w="3510" w:type="dxa"/>
          </w:tcPr>
          <w:p w14:paraId="6280BC30" w14:textId="77777777" w:rsidR="00CF4B7E" w:rsidRDefault="00F54F8E" w:rsidP="00CF4B7E">
            <w:pPr>
              <w:pStyle w:val="Odstavecseseznamem"/>
              <w:ind w:left="0" w:firstLine="0"/>
              <w:rPr>
                <w:rFonts w:ascii="Times New Roman" w:hAnsi="Times New Roman"/>
                <w:sz w:val="24"/>
                <w:szCs w:val="24"/>
              </w:rPr>
            </w:pPr>
            <w:r>
              <w:rPr>
                <w:rFonts w:ascii="Times New Roman" w:hAnsi="Times New Roman"/>
                <w:sz w:val="24"/>
                <w:szCs w:val="24"/>
              </w:rPr>
              <w:t>Změna definice PEP</w:t>
            </w:r>
          </w:p>
        </w:tc>
        <w:tc>
          <w:tcPr>
            <w:tcW w:w="5702" w:type="dxa"/>
          </w:tcPr>
          <w:p w14:paraId="7FC074CB" w14:textId="77777777" w:rsidR="00CF4B7E" w:rsidRPr="0061746B" w:rsidRDefault="0061746B" w:rsidP="0061746B">
            <w:pPr>
              <w:rPr>
                <w:rFonts w:ascii="Times New Roman" w:hAnsi="Times New Roman" w:cs="Times New Roman"/>
                <w:sz w:val="24"/>
                <w:szCs w:val="24"/>
              </w:rPr>
            </w:pPr>
            <w:r w:rsidRPr="0061746B">
              <w:rPr>
                <w:rFonts w:ascii="Times New Roman" w:hAnsi="Times New Roman" w:cs="Times New Roman"/>
                <w:sz w:val="24"/>
                <w:szCs w:val="24"/>
              </w:rPr>
              <w:t>Navrhuje se upravit zákonnou definici PEP (§ 4 odst. 5) tak, aby dopadala i na české politicky exponované osoby.</w:t>
            </w:r>
          </w:p>
        </w:tc>
      </w:tr>
      <w:tr w:rsidR="00CF4B7E" w14:paraId="3764980C" w14:textId="77777777" w:rsidTr="00CF4B7E">
        <w:tc>
          <w:tcPr>
            <w:tcW w:w="3510" w:type="dxa"/>
          </w:tcPr>
          <w:p w14:paraId="5DA0778A" w14:textId="77777777" w:rsidR="00CF4B7E" w:rsidRDefault="00F54F8E" w:rsidP="00CF4B7E">
            <w:pPr>
              <w:pStyle w:val="Odstavecseseznamem"/>
              <w:ind w:left="0" w:firstLine="0"/>
              <w:rPr>
                <w:rFonts w:ascii="Times New Roman" w:hAnsi="Times New Roman"/>
                <w:sz w:val="24"/>
                <w:szCs w:val="24"/>
              </w:rPr>
            </w:pPr>
            <w:r>
              <w:rPr>
                <w:rFonts w:ascii="Times New Roman" w:hAnsi="Times New Roman"/>
                <w:sz w:val="24"/>
                <w:szCs w:val="24"/>
              </w:rPr>
              <w:t>Zahrnutí virtuálních měn do rozsahu zákona</w:t>
            </w:r>
          </w:p>
        </w:tc>
        <w:tc>
          <w:tcPr>
            <w:tcW w:w="5702" w:type="dxa"/>
          </w:tcPr>
          <w:p w14:paraId="7016D7E0" w14:textId="77777777" w:rsidR="00CF4B7E" w:rsidRPr="0061746B" w:rsidRDefault="0061746B" w:rsidP="0061746B">
            <w:pPr>
              <w:rPr>
                <w:rFonts w:ascii="Times New Roman" w:hAnsi="Times New Roman" w:cs="Times New Roman"/>
                <w:sz w:val="24"/>
                <w:szCs w:val="24"/>
              </w:rPr>
            </w:pPr>
            <w:r w:rsidRPr="0061746B">
              <w:rPr>
                <w:rFonts w:ascii="Times New Roman" w:hAnsi="Times New Roman" w:cs="Times New Roman"/>
                <w:sz w:val="24"/>
                <w:szCs w:val="24"/>
              </w:rPr>
              <w:t>Navrhuje se zahrnout poskytovatele služeb spojených s virtuálními měnami („směnárníky s virtuálními měnami“) mezi povinné osoby.</w:t>
            </w:r>
          </w:p>
        </w:tc>
      </w:tr>
      <w:tr w:rsidR="00F54F8E" w14:paraId="268CCCD3" w14:textId="77777777" w:rsidTr="00CF4B7E">
        <w:tc>
          <w:tcPr>
            <w:tcW w:w="3510" w:type="dxa"/>
          </w:tcPr>
          <w:p w14:paraId="2929DEF3" w14:textId="77777777" w:rsidR="00F54F8E" w:rsidRDefault="00F54F8E" w:rsidP="00CF4B7E">
            <w:pPr>
              <w:pStyle w:val="Odstavecseseznamem"/>
              <w:ind w:left="0" w:firstLine="0"/>
              <w:rPr>
                <w:rFonts w:ascii="Times New Roman" w:hAnsi="Times New Roman"/>
                <w:sz w:val="24"/>
                <w:szCs w:val="24"/>
              </w:rPr>
            </w:pPr>
            <w:r>
              <w:rPr>
                <w:rFonts w:ascii="Times New Roman" w:hAnsi="Times New Roman"/>
                <w:sz w:val="24"/>
                <w:szCs w:val="24"/>
              </w:rPr>
              <w:t>Hodnocení rizik povinnými osobami</w:t>
            </w:r>
          </w:p>
        </w:tc>
        <w:tc>
          <w:tcPr>
            <w:tcW w:w="5702" w:type="dxa"/>
          </w:tcPr>
          <w:p w14:paraId="465ADAE8" w14:textId="77777777" w:rsidR="00F54F8E" w:rsidRPr="0061746B" w:rsidRDefault="0061746B" w:rsidP="0061746B">
            <w:pPr>
              <w:rPr>
                <w:rFonts w:ascii="Times New Roman" w:hAnsi="Times New Roman" w:cs="Times New Roman"/>
                <w:sz w:val="24"/>
                <w:szCs w:val="24"/>
              </w:rPr>
            </w:pPr>
            <w:r w:rsidRPr="0061746B">
              <w:rPr>
                <w:rFonts w:ascii="Times New Roman" w:hAnsi="Times New Roman" w:cs="Times New Roman"/>
                <w:sz w:val="24"/>
                <w:szCs w:val="24"/>
              </w:rPr>
              <w:t>Navrhuje se uložit povinným osobám, aby prováděly hodnocení rizik.</w:t>
            </w:r>
          </w:p>
        </w:tc>
      </w:tr>
      <w:tr w:rsidR="00F54F8E" w14:paraId="05F4BB4A" w14:textId="77777777" w:rsidTr="00CF4B7E">
        <w:tc>
          <w:tcPr>
            <w:tcW w:w="3510" w:type="dxa"/>
          </w:tcPr>
          <w:p w14:paraId="029A8CA1" w14:textId="77777777" w:rsidR="00F54F8E" w:rsidRDefault="00EA5005" w:rsidP="00CF4B7E">
            <w:pPr>
              <w:pStyle w:val="Odstavecseseznamem"/>
              <w:ind w:left="0" w:firstLine="0"/>
              <w:rPr>
                <w:rFonts w:ascii="Times New Roman" w:hAnsi="Times New Roman"/>
                <w:sz w:val="24"/>
                <w:szCs w:val="24"/>
              </w:rPr>
            </w:pPr>
            <w:r>
              <w:rPr>
                <w:rFonts w:ascii="Times New Roman" w:hAnsi="Times New Roman"/>
                <w:sz w:val="24"/>
                <w:szCs w:val="24"/>
              </w:rPr>
              <w:t>Informace o skutečných vlastnících právnických osob</w:t>
            </w:r>
          </w:p>
        </w:tc>
        <w:tc>
          <w:tcPr>
            <w:tcW w:w="5702" w:type="dxa"/>
          </w:tcPr>
          <w:p w14:paraId="7E11A505" w14:textId="2F92036C" w:rsidR="00F54F8E" w:rsidRDefault="003F176A">
            <w:pPr>
              <w:pStyle w:val="Odstavecseseznamem"/>
              <w:ind w:left="0" w:firstLine="0"/>
              <w:rPr>
                <w:rFonts w:ascii="Times New Roman" w:hAnsi="Times New Roman"/>
                <w:sz w:val="24"/>
                <w:szCs w:val="24"/>
              </w:rPr>
            </w:pPr>
            <w:r>
              <w:rPr>
                <w:rFonts w:ascii="Times New Roman" w:hAnsi="Times New Roman"/>
                <w:sz w:val="24"/>
                <w:szCs w:val="24"/>
              </w:rPr>
              <w:t xml:space="preserve">Viz samostatná </w:t>
            </w:r>
            <w:r w:rsidR="00A763B0">
              <w:rPr>
                <w:rFonts w:ascii="Times New Roman" w:hAnsi="Times New Roman"/>
                <w:sz w:val="24"/>
                <w:szCs w:val="24"/>
              </w:rPr>
              <w:t>zpráva.</w:t>
            </w:r>
          </w:p>
        </w:tc>
      </w:tr>
      <w:tr w:rsidR="00EA5005" w14:paraId="31EDEACD" w14:textId="77777777" w:rsidTr="00CF4B7E">
        <w:tc>
          <w:tcPr>
            <w:tcW w:w="3510" w:type="dxa"/>
          </w:tcPr>
          <w:p w14:paraId="18C1C3DA" w14:textId="221EA081" w:rsidR="00EA5005" w:rsidRDefault="00B94CF3" w:rsidP="00CF4B7E">
            <w:pPr>
              <w:pStyle w:val="Odstavecseseznamem"/>
              <w:ind w:left="0" w:firstLine="0"/>
              <w:rPr>
                <w:rFonts w:ascii="Times New Roman" w:hAnsi="Times New Roman"/>
                <w:sz w:val="24"/>
                <w:szCs w:val="24"/>
              </w:rPr>
            </w:pPr>
            <w:r>
              <w:rPr>
                <w:rFonts w:ascii="Times New Roman" w:hAnsi="Times New Roman"/>
                <w:sz w:val="24"/>
                <w:szCs w:val="24"/>
              </w:rPr>
              <w:t>Úprava zjednodušené identifikace</w:t>
            </w:r>
            <w:r w:rsidR="00EA5005">
              <w:rPr>
                <w:rFonts w:ascii="Times New Roman" w:hAnsi="Times New Roman"/>
                <w:sz w:val="24"/>
                <w:szCs w:val="24"/>
              </w:rPr>
              <w:t xml:space="preserve"> klienta</w:t>
            </w:r>
          </w:p>
        </w:tc>
        <w:tc>
          <w:tcPr>
            <w:tcW w:w="5702" w:type="dxa"/>
          </w:tcPr>
          <w:p w14:paraId="5C833DFD" w14:textId="0C004664" w:rsidR="00EA5005" w:rsidRPr="00343C82" w:rsidRDefault="00B94CF3" w:rsidP="00CF4B7E">
            <w:pPr>
              <w:pStyle w:val="Odstavecseseznamem"/>
              <w:ind w:left="0" w:firstLine="0"/>
              <w:rPr>
                <w:rFonts w:ascii="Times New Roman" w:hAnsi="Times New Roman"/>
                <w:sz w:val="24"/>
                <w:szCs w:val="24"/>
              </w:rPr>
            </w:pPr>
            <w:r w:rsidRPr="00A763B0">
              <w:rPr>
                <w:rFonts w:ascii="Times New Roman" w:hAnsi="Times New Roman"/>
                <w:sz w:val="24"/>
                <w:szCs w:val="24"/>
              </w:rPr>
              <w:t>Navrhuje se umožnit zjednodušenou identifikaci klienta prostředky elektronické komunikace.</w:t>
            </w:r>
          </w:p>
        </w:tc>
      </w:tr>
      <w:tr w:rsidR="00EA5005" w14:paraId="7D48B613" w14:textId="77777777" w:rsidTr="00CF4B7E">
        <w:tc>
          <w:tcPr>
            <w:tcW w:w="3510" w:type="dxa"/>
          </w:tcPr>
          <w:p w14:paraId="0F5596CA" w14:textId="77777777" w:rsidR="00EA5005" w:rsidRDefault="00EA5005" w:rsidP="00CF4B7E">
            <w:pPr>
              <w:pStyle w:val="Odstavecseseznamem"/>
              <w:ind w:left="0" w:firstLine="0"/>
              <w:rPr>
                <w:rFonts w:ascii="Times New Roman" w:hAnsi="Times New Roman"/>
                <w:sz w:val="24"/>
                <w:szCs w:val="24"/>
              </w:rPr>
            </w:pPr>
            <w:r>
              <w:rPr>
                <w:rFonts w:ascii="Times New Roman" w:hAnsi="Times New Roman"/>
                <w:sz w:val="24"/>
                <w:szCs w:val="24"/>
              </w:rPr>
              <w:t xml:space="preserve">Rozšíření možností zprostředkované identifikace </w:t>
            </w:r>
            <w:r>
              <w:rPr>
                <w:rFonts w:ascii="Times New Roman" w:hAnsi="Times New Roman"/>
                <w:sz w:val="24"/>
                <w:szCs w:val="24"/>
              </w:rPr>
              <w:lastRenderedPageBreak/>
              <w:t>klienta</w:t>
            </w:r>
          </w:p>
        </w:tc>
        <w:tc>
          <w:tcPr>
            <w:tcW w:w="5702" w:type="dxa"/>
          </w:tcPr>
          <w:p w14:paraId="61866E77" w14:textId="77777777" w:rsidR="00EA5005" w:rsidRDefault="00747B2E" w:rsidP="00CF4B7E">
            <w:pPr>
              <w:pStyle w:val="Odstavecseseznamem"/>
              <w:ind w:left="0" w:firstLine="0"/>
              <w:rPr>
                <w:rFonts w:ascii="Times New Roman" w:hAnsi="Times New Roman"/>
                <w:sz w:val="24"/>
                <w:szCs w:val="24"/>
              </w:rPr>
            </w:pPr>
            <w:r>
              <w:rPr>
                <w:rFonts w:ascii="Times New Roman" w:hAnsi="Times New Roman"/>
                <w:sz w:val="24"/>
                <w:szCs w:val="24"/>
              </w:rPr>
              <w:lastRenderedPageBreak/>
              <w:t xml:space="preserve">Navrhuje se rozšíření na kontaktní místa veřejné správy, čímž bude pokryto rozšíření i na řadu zastupitelských </w:t>
            </w:r>
            <w:r>
              <w:rPr>
                <w:rFonts w:ascii="Times New Roman" w:hAnsi="Times New Roman"/>
                <w:sz w:val="24"/>
                <w:szCs w:val="24"/>
              </w:rPr>
              <w:lastRenderedPageBreak/>
              <w:t>úřadů v zahraničí</w:t>
            </w:r>
          </w:p>
        </w:tc>
      </w:tr>
      <w:tr w:rsidR="00EA5005" w14:paraId="5C1282D9" w14:textId="77777777" w:rsidTr="00CF4B7E">
        <w:tc>
          <w:tcPr>
            <w:tcW w:w="3510" w:type="dxa"/>
          </w:tcPr>
          <w:p w14:paraId="697DF7DA" w14:textId="77777777" w:rsidR="00EA5005" w:rsidRDefault="00EA5005" w:rsidP="00CF4B7E">
            <w:pPr>
              <w:pStyle w:val="Odstavecseseznamem"/>
              <w:ind w:left="0" w:firstLine="0"/>
              <w:rPr>
                <w:rFonts w:ascii="Times New Roman" w:hAnsi="Times New Roman"/>
                <w:sz w:val="24"/>
                <w:szCs w:val="24"/>
              </w:rPr>
            </w:pPr>
            <w:r>
              <w:rPr>
                <w:rFonts w:ascii="Times New Roman" w:hAnsi="Times New Roman"/>
                <w:sz w:val="24"/>
                <w:szCs w:val="24"/>
              </w:rPr>
              <w:lastRenderedPageBreak/>
              <w:t>Změna úpravy sankcí</w:t>
            </w:r>
          </w:p>
        </w:tc>
        <w:tc>
          <w:tcPr>
            <w:tcW w:w="5702" w:type="dxa"/>
          </w:tcPr>
          <w:p w14:paraId="209A5744" w14:textId="01990F6C" w:rsidR="00EA5005" w:rsidRPr="00461DBF" w:rsidRDefault="00461DBF" w:rsidP="00461DBF">
            <w:pPr>
              <w:pStyle w:val="Odstavecseseznamem"/>
              <w:ind w:left="0" w:firstLine="0"/>
              <w:rPr>
                <w:rFonts w:ascii="Times New Roman" w:hAnsi="Times New Roman"/>
                <w:i/>
                <w:sz w:val="24"/>
                <w:szCs w:val="24"/>
              </w:rPr>
            </w:pPr>
            <w:r w:rsidRPr="00A763B0">
              <w:rPr>
                <w:rFonts w:ascii="Times New Roman" w:hAnsi="Times New Roman"/>
                <w:sz w:val="24"/>
                <w:szCs w:val="24"/>
              </w:rPr>
              <w:t>Navrhuje se upravit sankce v souladu se směrnicí.</w:t>
            </w:r>
          </w:p>
        </w:tc>
      </w:tr>
      <w:tr w:rsidR="00EA5005" w14:paraId="326B016F" w14:textId="77777777" w:rsidTr="00CF4B7E">
        <w:tc>
          <w:tcPr>
            <w:tcW w:w="3510" w:type="dxa"/>
          </w:tcPr>
          <w:p w14:paraId="4D32B30C" w14:textId="77777777" w:rsidR="00EA5005" w:rsidRDefault="00EA5005" w:rsidP="00CF4B7E">
            <w:pPr>
              <w:pStyle w:val="Odstavecseseznamem"/>
              <w:ind w:left="0" w:firstLine="0"/>
              <w:rPr>
                <w:rFonts w:ascii="Times New Roman" w:hAnsi="Times New Roman"/>
                <w:sz w:val="24"/>
                <w:szCs w:val="24"/>
              </w:rPr>
            </w:pPr>
            <w:r>
              <w:rPr>
                <w:rFonts w:ascii="Times New Roman" w:hAnsi="Times New Roman"/>
                <w:sz w:val="24"/>
                <w:szCs w:val="24"/>
              </w:rPr>
              <w:t>Změna správního dozoru a navazujících správních řízení</w:t>
            </w:r>
          </w:p>
        </w:tc>
        <w:tc>
          <w:tcPr>
            <w:tcW w:w="5702" w:type="dxa"/>
          </w:tcPr>
          <w:p w14:paraId="2D0BA2A3" w14:textId="77777777" w:rsidR="00EA5005" w:rsidRDefault="0061746B" w:rsidP="0061746B">
            <w:pPr>
              <w:rPr>
                <w:rFonts w:ascii="Times New Roman" w:hAnsi="Times New Roman"/>
                <w:sz w:val="24"/>
                <w:szCs w:val="24"/>
              </w:rPr>
            </w:pPr>
            <w:r w:rsidRPr="0061746B">
              <w:rPr>
                <w:rFonts w:ascii="Times New Roman" w:hAnsi="Times New Roman" w:cs="Times New Roman"/>
                <w:sz w:val="24"/>
                <w:szCs w:val="24"/>
              </w:rPr>
              <w:t>Navrhuje se, aby Česká národní banka vedla správní řízení se subjekty, u nichž v rámci kontroly ČNB zjistí nedostatky.</w:t>
            </w:r>
          </w:p>
        </w:tc>
      </w:tr>
      <w:tr w:rsidR="00C348A7" w14:paraId="7AD59B4E" w14:textId="77777777" w:rsidTr="00CF4B7E">
        <w:tc>
          <w:tcPr>
            <w:tcW w:w="3510" w:type="dxa"/>
          </w:tcPr>
          <w:p w14:paraId="4E22DE55" w14:textId="77777777" w:rsidR="00C348A7" w:rsidRPr="00C348A7" w:rsidRDefault="00C348A7" w:rsidP="00CF4B7E">
            <w:pPr>
              <w:pStyle w:val="Odstavecseseznamem"/>
              <w:ind w:left="0" w:firstLine="0"/>
              <w:rPr>
                <w:rFonts w:ascii="Times New Roman" w:hAnsi="Times New Roman"/>
                <w:sz w:val="24"/>
                <w:szCs w:val="24"/>
              </w:rPr>
            </w:pPr>
            <w:r w:rsidRPr="00A763B0">
              <w:rPr>
                <w:rFonts w:ascii="Times New Roman" w:hAnsi="Times New Roman"/>
                <w:sz w:val="24"/>
                <w:szCs w:val="24"/>
              </w:rPr>
              <w:t>Změna lhůt pro odklad splnění příkazu klienta</w:t>
            </w:r>
          </w:p>
        </w:tc>
        <w:tc>
          <w:tcPr>
            <w:tcW w:w="5702" w:type="dxa"/>
          </w:tcPr>
          <w:p w14:paraId="2AB84902" w14:textId="77777777" w:rsidR="00C348A7" w:rsidRPr="00C348A7" w:rsidRDefault="00C348A7" w:rsidP="00C348A7">
            <w:pPr>
              <w:rPr>
                <w:rFonts w:ascii="Times New Roman" w:hAnsi="Times New Roman" w:cs="Times New Roman"/>
                <w:sz w:val="24"/>
                <w:szCs w:val="24"/>
              </w:rPr>
            </w:pPr>
            <w:r w:rsidRPr="00A763B0">
              <w:rPr>
                <w:rFonts w:ascii="Times New Roman" w:eastAsia="Calibri" w:hAnsi="Times New Roman" w:cs="Times New Roman"/>
                <w:sz w:val="24"/>
                <w:szCs w:val="24"/>
              </w:rPr>
              <w:t xml:space="preserve">Navrhuje se upravit běh lhůt tak, aby se do </w:t>
            </w:r>
            <w:r>
              <w:rPr>
                <w:rFonts w:ascii="Times New Roman" w:eastAsia="Calibri" w:hAnsi="Times New Roman" w:cs="Times New Roman"/>
                <w:sz w:val="24"/>
                <w:szCs w:val="24"/>
              </w:rPr>
              <w:t>něj</w:t>
            </w:r>
            <w:r w:rsidRPr="00A763B0">
              <w:rPr>
                <w:rFonts w:ascii="Times New Roman" w:eastAsia="Calibri" w:hAnsi="Times New Roman" w:cs="Times New Roman"/>
                <w:sz w:val="24"/>
                <w:szCs w:val="24"/>
              </w:rPr>
              <w:t xml:space="preserve"> nezapočítávaly soboty, neděle a dny pracovního klidu.</w:t>
            </w:r>
          </w:p>
        </w:tc>
      </w:tr>
      <w:tr w:rsidR="00017612" w14:paraId="7DF53A9A" w14:textId="77777777" w:rsidTr="00CF4B7E">
        <w:tc>
          <w:tcPr>
            <w:tcW w:w="3510" w:type="dxa"/>
          </w:tcPr>
          <w:p w14:paraId="71355941" w14:textId="43D622C7" w:rsidR="00017612" w:rsidRPr="00A763B0" w:rsidRDefault="00017612" w:rsidP="00CF4B7E">
            <w:pPr>
              <w:pStyle w:val="Odstavecseseznamem"/>
              <w:ind w:left="0" w:firstLine="0"/>
              <w:rPr>
                <w:rFonts w:ascii="Times New Roman" w:hAnsi="Times New Roman"/>
                <w:sz w:val="24"/>
                <w:szCs w:val="24"/>
              </w:rPr>
            </w:pPr>
            <w:r>
              <w:rPr>
                <w:rFonts w:ascii="Times New Roman" w:hAnsi="Times New Roman"/>
                <w:sz w:val="24"/>
                <w:szCs w:val="24"/>
              </w:rPr>
              <w:t>Změna statusu finanční zpravodajské jednotky</w:t>
            </w:r>
          </w:p>
        </w:tc>
        <w:tc>
          <w:tcPr>
            <w:tcW w:w="5702" w:type="dxa"/>
          </w:tcPr>
          <w:p w14:paraId="26AE0B53" w14:textId="0900F773" w:rsidR="00017612" w:rsidRPr="00A763B0" w:rsidRDefault="00017612" w:rsidP="00C348A7">
            <w:pPr>
              <w:rPr>
                <w:rFonts w:ascii="Times New Roman" w:eastAsia="Calibri" w:hAnsi="Times New Roman" w:cs="Times New Roman"/>
                <w:sz w:val="24"/>
                <w:szCs w:val="24"/>
              </w:rPr>
            </w:pPr>
            <w:r>
              <w:rPr>
                <w:rFonts w:ascii="Times New Roman" w:eastAsia="Calibri" w:hAnsi="Times New Roman" w:cs="Times New Roman"/>
                <w:sz w:val="24"/>
                <w:szCs w:val="24"/>
              </w:rPr>
              <w:t>Vytvořit samostatný úřad</w:t>
            </w:r>
          </w:p>
        </w:tc>
      </w:tr>
    </w:tbl>
    <w:p w14:paraId="6FB3E769" w14:textId="77777777" w:rsidR="00CF4B7E" w:rsidRPr="00CF4B7E" w:rsidRDefault="00CF4B7E" w:rsidP="00CF4B7E">
      <w:pPr>
        <w:pStyle w:val="Odstavecseseznamem"/>
        <w:ind w:left="0" w:firstLine="0"/>
        <w:rPr>
          <w:rFonts w:ascii="Times New Roman" w:hAnsi="Times New Roman"/>
          <w:sz w:val="24"/>
          <w:szCs w:val="24"/>
        </w:rPr>
      </w:pPr>
    </w:p>
    <w:p w14:paraId="63C18C85" w14:textId="77777777" w:rsidR="00CF4B7E" w:rsidRDefault="00CF4B7E" w:rsidP="00CF4B7E">
      <w:pPr>
        <w:pStyle w:val="Odstavecseseznamem"/>
        <w:ind w:left="0" w:firstLine="0"/>
        <w:rPr>
          <w:rFonts w:ascii="Times New Roman" w:hAnsi="Times New Roman"/>
          <w:b/>
          <w:sz w:val="24"/>
          <w:szCs w:val="24"/>
        </w:rPr>
      </w:pPr>
    </w:p>
    <w:p w14:paraId="1338C161" w14:textId="77777777" w:rsidR="00CF4B7E" w:rsidRDefault="00CF4B7E" w:rsidP="00CF4B7E">
      <w:pPr>
        <w:pStyle w:val="Odstavecseseznamem"/>
        <w:ind w:left="0" w:firstLine="0"/>
        <w:rPr>
          <w:rFonts w:ascii="Times New Roman" w:hAnsi="Times New Roman"/>
          <w:b/>
          <w:sz w:val="24"/>
          <w:szCs w:val="24"/>
        </w:rPr>
      </w:pPr>
    </w:p>
    <w:p w14:paraId="035F71C5" w14:textId="77777777" w:rsidR="0051205F" w:rsidRDefault="0051205F" w:rsidP="00A763B0">
      <w:pPr>
        <w:pStyle w:val="Odstavecseseznamem"/>
        <w:numPr>
          <w:ilvl w:val="0"/>
          <w:numId w:val="1"/>
        </w:numPr>
        <w:ind w:left="0"/>
        <w:rPr>
          <w:rFonts w:ascii="Times New Roman" w:hAnsi="Times New Roman"/>
          <w:b/>
          <w:sz w:val="24"/>
          <w:szCs w:val="24"/>
        </w:rPr>
      </w:pPr>
      <w:r>
        <w:rPr>
          <w:rFonts w:ascii="Times New Roman" w:hAnsi="Times New Roman"/>
          <w:b/>
          <w:sz w:val="24"/>
          <w:szCs w:val="24"/>
        </w:rPr>
        <w:t>IMPLEMENTACE DOPORUČENÉ VARIANTY A VYNUCOVÁNÍ</w:t>
      </w:r>
    </w:p>
    <w:p w14:paraId="7F9C49A3" w14:textId="77777777" w:rsidR="00552CF9" w:rsidRDefault="00552CF9" w:rsidP="009F017F">
      <w:pPr>
        <w:rPr>
          <w:rFonts w:ascii="Times New Roman" w:hAnsi="Times New Roman"/>
          <w:i/>
          <w:sz w:val="24"/>
          <w:szCs w:val="24"/>
        </w:rPr>
      </w:pPr>
    </w:p>
    <w:p w14:paraId="29C1DF76" w14:textId="77777777" w:rsidR="0051205F" w:rsidRDefault="00552CF9" w:rsidP="00552CF9">
      <w:pPr>
        <w:jc w:val="both"/>
        <w:rPr>
          <w:rFonts w:ascii="Times New Roman" w:hAnsi="Times New Roman"/>
          <w:i/>
          <w:sz w:val="24"/>
          <w:szCs w:val="24"/>
        </w:rPr>
      </w:pPr>
      <w:r>
        <w:rPr>
          <w:rFonts w:ascii="Times New Roman" w:hAnsi="Times New Roman"/>
          <w:sz w:val="24"/>
          <w:szCs w:val="24"/>
        </w:rPr>
        <w:t>Po novelizaci AML zákona bude zvolené varianty řešení vynucovat především FAU MF v rámci své činnosti. Implementovat povinnosti ze zákona budou obecně dotčené subjekty</w:t>
      </w:r>
      <w:r w:rsidR="00E02769">
        <w:rPr>
          <w:rFonts w:ascii="Times New Roman" w:hAnsi="Times New Roman"/>
          <w:sz w:val="24"/>
          <w:szCs w:val="24"/>
        </w:rPr>
        <w:t>, viz identifikace a rozbor v části 1.4.</w:t>
      </w:r>
      <w:r w:rsidR="002B51A8">
        <w:rPr>
          <w:rFonts w:ascii="Times New Roman" w:hAnsi="Times New Roman"/>
          <w:i/>
          <w:sz w:val="24"/>
          <w:szCs w:val="24"/>
        </w:rPr>
        <w:t xml:space="preserve"> </w:t>
      </w:r>
    </w:p>
    <w:p w14:paraId="0DA6856A" w14:textId="77777777" w:rsidR="00CF4B7E" w:rsidRPr="009F017F" w:rsidRDefault="00CF4B7E" w:rsidP="00552CF9">
      <w:pPr>
        <w:jc w:val="both"/>
        <w:rPr>
          <w:rFonts w:ascii="Times New Roman" w:hAnsi="Times New Roman"/>
          <w:i/>
          <w:sz w:val="24"/>
          <w:szCs w:val="24"/>
        </w:rPr>
      </w:pPr>
    </w:p>
    <w:p w14:paraId="4858FB4A" w14:textId="77777777" w:rsidR="009F017F" w:rsidRDefault="009F017F" w:rsidP="00A763B0">
      <w:pPr>
        <w:pStyle w:val="Odstavecseseznamem"/>
        <w:numPr>
          <w:ilvl w:val="0"/>
          <w:numId w:val="1"/>
        </w:numPr>
        <w:ind w:left="0"/>
        <w:rPr>
          <w:rFonts w:ascii="Times New Roman" w:hAnsi="Times New Roman"/>
          <w:b/>
          <w:sz w:val="24"/>
          <w:szCs w:val="24"/>
        </w:rPr>
      </w:pPr>
      <w:r>
        <w:rPr>
          <w:rFonts w:ascii="Times New Roman" w:hAnsi="Times New Roman"/>
          <w:b/>
          <w:sz w:val="24"/>
          <w:szCs w:val="24"/>
        </w:rPr>
        <w:t>PŘEZKUM ÚČINNOSTI REGULACE</w:t>
      </w:r>
    </w:p>
    <w:p w14:paraId="18AD202D" w14:textId="77777777" w:rsidR="00AC0884" w:rsidRDefault="00AC0884" w:rsidP="00AC0884">
      <w:pPr>
        <w:rPr>
          <w:rFonts w:ascii="Times New Roman" w:hAnsi="Times New Roman"/>
          <w:b/>
          <w:sz w:val="24"/>
          <w:szCs w:val="24"/>
        </w:rPr>
      </w:pPr>
    </w:p>
    <w:p w14:paraId="44B80D1A" w14:textId="77777777" w:rsidR="00AC0884" w:rsidRDefault="00AC0884" w:rsidP="00AC0884">
      <w:pPr>
        <w:rPr>
          <w:rFonts w:ascii="Times New Roman" w:hAnsi="Times New Roman"/>
          <w:sz w:val="24"/>
          <w:szCs w:val="24"/>
        </w:rPr>
      </w:pPr>
      <w:r>
        <w:rPr>
          <w:rFonts w:ascii="Times New Roman" w:hAnsi="Times New Roman"/>
          <w:sz w:val="24"/>
          <w:szCs w:val="24"/>
        </w:rPr>
        <w:t>Účinnost navrhované regulace bude přezkoumána několika mechanismy:</w:t>
      </w:r>
    </w:p>
    <w:p w14:paraId="63DB8578" w14:textId="77777777" w:rsidR="00552CF9" w:rsidRDefault="00552CF9" w:rsidP="00552CF9">
      <w:pPr>
        <w:pStyle w:val="Odstavecseseznamem"/>
        <w:numPr>
          <w:ilvl w:val="0"/>
          <w:numId w:val="3"/>
        </w:numPr>
        <w:ind w:left="360"/>
        <w:rPr>
          <w:rFonts w:ascii="Times New Roman" w:hAnsi="Times New Roman"/>
          <w:sz w:val="24"/>
          <w:szCs w:val="24"/>
        </w:rPr>
      </w:pPr>
      <w:r>
        <w:rPr>
          <w:rFonts w:ascii="Times New Roman" w:hAnsi="Times New Roman"/>
          <w:sz w:val="24"/>
          <w:szCs w:val="24"/>
        </w:rPr>
        <w:t>V rámci budoucí činnosti Finančního analytického útvaru MF,</w:t>
      </w:r>
    </w:p>
    <w:p w14:paraId="779C436D" w14:textId="77777777" w:rsidR="00552CF9" w:rsidRDefault="00552CF9" w:rsidP="00552CF9">
      <w:pPr>
        <w:pStyle w:val="Odstavecseseznamem"/>
        <w:numPr>
          <w:ilvl w:val="0"/>
          <w:numId w:val="3"/>
        </w:numPr>
        <w:ind w:left="360"/>
        <w:rPr>
          <w:rFonts w:ascii="Times New Roman" w:hAnsi="Times New Roman"/>
          <w:sz w:val="24"/>
          <w:szCs w:val="24"/>
        </w:rPr>
      </w:pPr>
      <w:r>
        <w:rPr>
          <w:rFonts w:ascii="Times New Roman" w:hAnsi="Times New Roman"/>
          <w:sz w:val="24"/>
          <w:szCs w:val="24"/>
        </w:rPr>
        <w:t>Při přezkumu vnitrostátní implementace směrnice Evropskou komisí,</w:t>
      </w:r>
    </w:p>
    <w:p w14:paraId="40D3AFF2" w14:textId="77777777" w:rsidR="00552CF9" w:rsidRDefault="00552CF9" w:rsidP="00552CF9">
      <w:pPr>
        <w:pStyle w:val="Odstavecseseznamem"/>
        <w:numPr>
          <w:ilvl w:val="0"/>
          <w:numId w:val="3"/>
        </w:numPr>
        <w:ind w:left="360"/>
        <w:rPr>
          <w:rFonts w:ascii="Times New Roman" w:hAnsi="Times New Roman"/>
          <w:sz w:val="24"/>
          <w:szCs w:val="24"/>
        </w:rPr>
      </w:pPr>
      <w:r>
        <w:rPr>
          <w:rFonts w:ascii="Times New Roman" w:hAnsi="Times New Roman"/>
          <w:sz w:val="24"/>
          <w:szCs w:val="24"/>
        </w:rPr>
        <w:t>Při pravidelném celostátním hodnocení rizik ve smyslu AMLD,</w:t>
      </w:r>
    </w:p>
    <w:p w14:paraId="1411C0CA" w14:textId="77777777" w:rsidR="00552CF9" w:rsidRDefault="00552CF9" w:rsidP="00552CF9">
      <w:pPr>
        <w:pStyle w:val="Odstavecseseznamem"/>
        <w:numPr>
          <w:ilvl w:val="0"/>
          <w:numId w:val="3"/>
        </w:numPr>
        <w:ind w:left="360"/>
        <w:rPr>
          <w:rFonts w:ascii="Times New Roman" w:hAnsi="Times New Roman"/>
          <w:sz w:val="24"/>
          <w:szCs w:val="24"/>
        </w:rPr>
      </w:pPr>
      <w:r>
        <w:rPr>
          <w:rFonts w:ascii="Times New Roman" w:hAnsi="Times New Roman"/>
          <w:sz w:val="24"/>
          <w:szCs w:val="24"/>
        </w:rPr>
        <w:t>Při hodnotících zprávách Moneyval, kdy se hodnotí úroveň naplnění FATF doporučení.</w:t>
      </w:r>
    </w:p>
    <w:p w14:paraId="081DD21D" w14:textId="77777777" w:rsidR="00552CF9" w:rsidRDefault="00552CF9" w:rsidP="00552CF9">
      <w:pPr>
        <w:pStyle w:val="Odstavecseseznamem"/>
        <w:ind w:left="360" w:firstLine="0"/>
        <w:rPr>
          <w:rFonts w:ascii="Times New Roman" w:hAnsi="Times New Roman"/>
          <w:sz w:val="24"/>
          <w:szCs w:val="24"/>
        </w:rPr>
      </w:pPr>
    </w:p>
    <w:p w14:paraId="7B125602" w14:textId="77777777" w:rsidR="00552CF9" w:rsidRPr="00552CF9" w:rsidRDefault="00552CF9" w:rsidP="00552CF9">
      <w:pPr>
        <w:pStyle w:val="Odstavecseseznamem"/>
        <w:ind w:left="360" w:firstLine="0"/>
        <w:rPr>
          <w:rFonts w:ascii="Times New Roman" w:hAnsi="Times New Roman"/>
          <w:sz w:val="24"/>
          <w:szCs w:val="24"/>
        </w:rPr>
      </w:pPr>
    </w:p>
    <w:p w14:paraId="097A82C4" w14:textId="77777777" w:rsidR="009F017F" w:rsidRDefault="009F017F" w:rsidP="00A763B0">
      <w:pPr>
        <w:pStyle w:val="Odstavecseseznamem"/>
        <w:numPr>
          <w:ilvl w:val="0"/>
          <w:numId w:val="1"/>
        </w:numPr>
        <w:ind w:left="0"/>
        <w:rPr>
          <w:rFonts w:ascii="Times New Roman" w:hAnsi="Times New Roman"/>
          <w:b/>
          <w:sz w:val="24"/>
          <w:szCs w:val="24"/>
        </w:rPr>
      </w:pPr>
      <w:r>
        <w:rPr>
          <w:rFonts w:ascii="Times New Roman" w:hAnsi="Times New Roman"/>
          <w:b/>
          <w:sz w:val="24"/>
          <w:szCs w:val="24"/>
        </w:rPr>
        <w:t>KONZULTACE A ZDROJE DAT</w:t>
      </w:r>
    </w:p>
    <w:p w14:paraId="3BF74C61" w14:textId="77777777" w:rsidR="00AE4525" w:rsidRDefault="00AE4525" w:rsidP="00AE4525">
      <w:pPr>
        <w:jc w:val="both"/>
        <w:rPr>
          <w:rFonts w:ascii="Times New Roman" w:hAnsi="Times New Roman"/>
          <w:sz w:val="24"/>
          <w:szCs w:val="24"/>
        </w:rPr>
      </w:pPr>
    </w:p>
    <w:p w14:paraId="193A0167" w14:textId="77777777" w:rsidR="00AE4525" w:rsidRDefault="00AE4525" w:rsidP="00AE4525">
      <w:pPr>
        <w:jc w:val="both"/>
        <w:rPr>
          <w:rFonts w:ascii="Times New Roman" w:hAnsi="Times New Roman"/>
          <w:sz w:val="24"/>
          <w:szCs w:val="24"/>
        </w:rPr>
      </w:pPr>
      <w:r>
        <w:rPr>
          <w:rFonts w:ascii="Times New Roman" w:hAnsi="Times New Roman"/>
          <w:sz w:val="24"/>
          <w:szCs w:val="24"/>
        </w:rPr>
        <w:t xml:space="preserve">Při přípravě novely AML zákona provedl navrhovatel rozsáhlé konzultace s dotčenými subjekty, především s povinnými osobami a s asociacemi činnými v daném sektoru. O vstup </w:t>
      </w:r>
      <w:r w:rsidR="008305F1">
        <w:rPr>
          <w:rFonts w:ascii="Times New Roman" w:hAnsi="Times New Roman"/>
          <w:sz w:val="24"/>
          <w:szCs w:val="24"/>
        </w:rPr>
        <w:t xml:space="preserve">k vybraným otázkám novelizace </w:t>
      </w:r>
      <w:r>
        <w:rPr>
          <w:rFonts w:ascii="Times New Roman" w:hAnsi="Times New Roman"/>
          <w:sz w:val="24"/>
          <w:szCs w:val="24"/>
        </w:rPr>
        <w:t>byly formou dotazníku požádány tyto subjekty:</w:t>
      </w:r>
    </w:p>
    <w:p w14:paraId="61548FED" w14:textId="77777777" w:rsidR="006602C7" w:rsidRDefault="006602C7" w:rsidP="006602C7">
      <w:pPr>
        <w:jc w:val="both"/>
        <w:rPr>
          <w:rFonts w:ascii="Times New Roman" w:hAnsi="Times New Roman"/>
          <w:sz w:val="24"/>
          <w:szCs w:val="24"/>
        </w:rPr>
      </w:pPr>
      <w:r>
        <w:rPr>
          <w:rFonts w:ascii="Times New Roman" w:hAnsi="Times New Roman"/>
          <w:sz w:val="24"/>
          <w:szCs w:val="24"/>
        </w:rPr>
        <w:t xml:space="preserve">AIR BANK, AKCENTA spořitelní a úvěrní družstvo, ANO spořitelní družstvo, </w:t>
      </w:r>
      <w:proofErr w:type="spellStart"/>
      <w:r>
        <w:rPr>
          <w:rFonts w:ascii="Times New Roman" w:hAnsi="Times New Roman"/>
          <w:sz w:val="24"/>
          <w:szCs w:val="24"/>
        </w:rPr>
        <w:t>Artesa</w:t>
      </w:r>
      <w:proofErr w:type="spellEnd"/>
      <w:r>
        <w:rPr>
          <w:rFonts w:ascii="Times New Roman" w:hAnsi="Times New Roman"/>
          <w:sz w:val="24"/>
          <w:szCs w:val="24"/>
        </w:rPr>
        <w:t xml:space="preserve">, Bank of </w:t>
      </w:r>
      <w:proofErr w:type="spellStart"/>
      <w:r>
        <w:rPr>
          <w:rFonts w:ascii="Times New Roman" w:hAnsi="Times New Roman"/>
          <w:sz w:val="24"/>
          <w:szCs w:val="24"/>
        </w:rPr>
        <w:t>Tokyo</w:t>
      </w:r>
      <w:proofErr w:type="spellEnd"/>
      <w:r>
        <w:rPr>
          <w:rFonts w:ascii="Times New Roman" w:hAnsi="Times New Roman"/>
          <w:sz w:val="24"/>
          <w:szCs w:val="24"/>
        </w:rPr>
        <w:t xml:space="preserve">, BNP, Česká exportní banka, Česká spořitelna, České spořitelní </w:t>
      </w:r>
      <w:r w:rsidR="004B50DA">
        <w:rPr>
          <w:rFonts w:ascii="Times New Roman" w:hAnsi="Times New Roman"/>
          <w:sz w:val="24"/>
          <w:szCs w:val="24"/>
        </w:rPr>
        <w:t xml:space="preserve">družstvo, Českomoravská záruční a rozvojová banka, </w:t>
      </w:r>
      <w:r w:rsidR="004B50DA" w:rsidRPr="00CF4B7E">
        <w:rPr>
          <w:rFonts w:ascii="Times New Roman" w:hAnsi="Times New Roman"/>
          <w:sz w:val="24"/>
          <w:szCs w:val="24"/>
        </w:rPr>
        <w:t>CITFIN</w:t>
      </w:r>
      <w:r w:rsidR="004B50DA">
        <w:rPr>
          <w:rFonts w:ascii="Times New Roman" w:hAnsi="Times New Roman"/>
          <w:sz w:val="24"/>
          <w:szCs w:val="24"/>
        </w:rPr>
        <w:t xml:space="preserve">, Českomoravská stavební spořitelna, Česká národní banka, Československá obchodní banka, Deutsche Bank, </w:t>
      </w:r>
      <w:r w:rsidR="00A066E8">
        <w:rPr>
          <w:rFonts w:ascii="Times New Roman" w:hAnsi="Times New Roman"/>
          <w:sz w:val="24"/>
          <w:szCs w:val="24"/>
        </w:rPr>
        <w:t xml:space="preserve">Družstevní záložna Kredit, Družstevní záložna PSD, </w:t>
      </w:r>
      <w:proofErr w:type="spellStart"/>
      <w:r w:rsidR="004B50DA">
        <w:rPr>
          <w:rFonts w:ascii="Times New Roman" w:hAnsi="Times New Roman"/>
          <w:sz w:val="24"/>
          <w:szCs w:val="24"/>
        </w:rPr>
        <w:t>Equa</w:t>
      </w:r>
      <w:proofErr w:type="spellEnd"/>
      <w:r w:rsidR="004B50DA">
        <w:rPr>
          <w:rFonts w:ascii="Times New Roman" w:hAnsi="Times New Roman"/>
          <w:sz w:val="24"/>
          <w:szCs w:val="24"/>
        </w:rPr>
        <w:t xml:space="preserve"> Bank,</w:t>
      </w:r>
      <w:r w:rsidR="00A066E8">
        <w:rPr>
          <w:rFonts w:ascii="Times New Roman" w:hAnsi="Times New Roman"/>
          <w:sz w:val="24"/>
          <w:szCs w:val="24"/>
        </w:rPr>
        <w:t xml:space="preserve"> </w:t>
      </w:r>
      <w:proofErr w:type="spellStart"/>
      <w:r w:rsidR="00A066E8">
        <w:rPr>
          <w:rFonts w:ascii="Times New Roman" w:hAnsi="Times New Roman"/>
          <w:sz w:val="24"/>
          <w:szCs w:val="24"/>
        </w:rPr>
        <w:t>Expobank</w:t>
      </w:r>
      <w:proofErr w:type="spellEnd"/>
      <w:r w:rsidR="00A066E8">
        <w:rPr>
          <w:rFonts w:ascii="Times New Roman" w:hAnsi="Times New Roman"/>
          <w:sz w:val="24"/>
          <w:szCs w:val="24"/>
        </w:rPr>
        <w:t xml:space="preserve"> CZ, </w:t>
      </w:r>
      <w:r w:rsidR="005B34E2">
        <w:rPr>
          <w:rFonts w:ascii="Times New Roman" w:hAnsi="Times New Roman"/>
          <w:sz w:val="24"/>
          <w:szCs w:val="24"/>
        </w:rPr>
        <w:t>FIO b</w:t>
      </w:r>
      <w:r w:rsidR="00A066E8">
        <w:rPr>
          <w:rFonts w:ascii="Times New Roman" w:hAnsi="Times New Roman"/>
          <w:sz w:val="24"/>
          <w:szCs w:val="24"/>
        </w:rPr>
        <w:t>ank</w:t>
      </w:r>
      <w:r w:rsidR="005B34E2">
        <w:rPr>
          <w:rFonts w:ascii="Times New Roman" w:hAnsi="Times New Roman"/>
          <w:sz w:val="24"/>
          <w:szCs w:val="24"/>
        </w:rPr>
        <w:t>a,</w:t>
      </w:r>
      <w:r w:rsidR="00A066E8">
        <w:rPr>
          <w:rFonts w:ascii="Times New Roman" w:hAnsi="Times New Roman"/>
          <w:sz w:val="24"/>
          <w:szCs w:val="24"/>
        </w:rPr>
        <w:t xml:space="preserve"> </w:t>
      </w:r>
      <w:r w:rsidR="004B50DA">
        <w:rPr>
          <w:rFonts w:ascii="Times New Roman" w:hAnsi="Times New Roman"/>
          <w:sz w:val="24"/>
          <w:szCs w:val="24"/>
        </w:rPr>
        <w:t>GE Money Bank, HSBC, Hypoteční banka, ING Bank, J</w:t>
      </w:r>
      <w:r w:rsidR="004B50DA" w:rsidRPr="00D102B5">
        <w:rPr>
          <w:rFonts w:ascii="Times New Roman" w:hAnsi="Times New Roman"/>
          <w:sz w:val="24"/>
          <w:szCs w:val="24"/>
        </w:rPr>
        <w:t>&amp;</w:t>
      </w:r>
      <w:r w:rsidR="004B50DA">
        <w:rPr>
          <w:rFonts w:ascii="Times New Roman" w:hAnsi="Times New Roman"/>
          <w:sz w:val="24"/>
          <w:szCs w:val="24"/>
        </w:rPr>
        <w:t xml:space="preserve">T BANKA, Komerční banka, </w:t>
      </w:r>
      <w:proofErr w:type="spellStart"/>
      <w:r w:rsidR="003F1A4F">
        <w:rPr>
          <w:rFonts w:ascii="Times New Roman" w:hAnsi="Times New Roman"/>
          <w:sz w:val="24"/>
          <w:szCs w:val="24"/>
        </w:rPr>
        <w:t>mBank</w:t>
      </w:r>
      <w:proofErr w:type="spellEnd"/>
      <w:r w:rsidR="003F1A4F">
        <w:rPr>
          <w:rFonts w:ascii="Times New Roman" w:hAnsi="Times New Roman"/>
          <w:sz w:val="24"/>
          <w:szCs w:val="24"/>
        </w:rPr>
        <w:t xml:space="preserve">, MEINL BANK, Moravský Peněžní Ústav spořitelní družstvo, </w:t>
      </w:r>
      <w:proofErr w:type="spellStart"/>
      <w:r w:rsidR="005B34E2">
        <w:rPr>
          <w:rFonts w:ascii="Times New Roman" w:hAnsi="Times New Roman"/>
          <w:sz w:val="24"/>
          <w:szCs w:val="24"/>
        </w:rPr>
        <w:t>Oberbank</w:t>
      </w:r>
      <w:proofErr w:type="spellEnd"/>
      <w:r w:rsidR="005B34E2">
        <w:rPr>
          <w:rFonts w:ascii="Times New Roman" w:hAnsi="Times New Roman"/>
          <w:sz w:val="24"/>
          <w:szCs w:val="24"/>
        </w:rPr>
        <w:t xml:space="preserve"> AG, </w:t>
      </w:r>
      <w:r w:rsidR="003F1A4F">
        <w:rPr>
          <w:rFonts w:ascii="Times New Roman" w:hAnsi="Times New Roman"/>
          <w:sz w:val="24"/>
          <w:szCs w:val="24"/>
        </w:rPr>
        <w:t xml:space="preserve">Peněžní dům spořitelní družstvo, Podnikatelská družstevní záložna, </w:t>
      </w:r>
      <w:r w:rsidR="005B34E2">
        <w:rPr>
          <w:rFonts w:ascii="Times New Roman" w:hAnsi="Times New Roman"/>
          <w:sz w:val="24"/>
          <w:szCs w:val="24"/>
        </w:rPr>
        <w:t xml:space="preserve">Poštová banka, </w:t>
      </w:r>
      <w:r w:rsidR="003F1A4F">
        <w:rPr>
          <w:rFonts w:ascii="Times New Roman" w:hAnsi="Times New Roman"/>
          <w:sz w:val="24"/>
          <w:szCs w:val="24"/>
        </w:rPr>
        <w:t xml:space="preserve">PPF Banka, </w:t>
      </w:r>
      <w:r w:rsidR="00A818C7">
        <w:rPr>
          <w:rFonts w:ascii="Times New Roman" w:hAnsi="Times New Roman"/>
          <w:sz w:val="24"/>
          <w:szCs w:val="24"/>
        </w:rPr>
        <w:t xml:space="preserve">Privat Bank AG, </w:t>
      </w:r>
      <w:proofErr w:type="spellStart"/>
      <w:r w:rsidR="00832DCE">
        <w:rPr>
          <w:rFonts w:ascii="Times New Roman" w:hAnsi="Times New Roman"/>
          <w:sz w:val="24"/>
          <w:szCs w:val="24"/>
        </w:rPr>
        <w:t>Raiffeisen</w:t>
      </w:r>
      <w:proofErr w:type="spellEnd"/>
      <w:r w:rsidR="00832DCE">
        <w:rPr>
          <w:rFonts w:ascii="Times New Roman" w:hAnsi="Times New Roman"/>
          <w:sz w:val="24"/>
          <w:szCs w:val="24"/>
        </w:rPr>
        <w:t xml:space="preserve"> stavební spořitelna, RB </w:t>
      </w:r>
      <w:proofErr w:type="spellStart"/>
      <w:r w:rsidR="00832DCE">
        <w:rPr>
          <w:rFonts w:ascii="Times New Roman" w:hAnsi="Times New Roman"/>
          <w:sz w:val="24"/>
          <w:szCs w:val="24"/>
        </w:rPr>
        <w:t>im</w:t>
      </w:r>
      <w:proofErr w:type="spellEnd"/>
      <w:r w:rsidR="00832DCE">
        <w:rPr>
          <w:rFonts w:ascii="Times New Roman" w:hAnsi="Times New Roman"/>
          <w:sz w:val="24"/>
          <w:szCs w:val="24"/>
        </w:rPr>
        <w:t xml:space="preserve"> </w:t>
      </w:r>
      <w:proofErr w:type="spellStart"/>
      <w:r w:rsidR="00832DCE">
        <w:rPr>
          <w:rFonts w:ascii="Times New Roman" w:hAnsi="Times New Roman"/>
          <w:sz w:val="24"/>
          <w:szCs w:val="24"/>
        </w:rPr>
        <w:t>Stiftland</w:t>
      </w:r>
      <w:proofErr w:type="spellEnd"/>
      <w:r w:rsidR="00832DCE">
        <w:rPr>
          <w:rFonts w:ascii="Times New Roman" w:hAnsi="Times New Roman"/>
          <w:sz w:val="24"/>
          <w:szCs w:val="24"/>
        </w:rPr>
        <w:t xml:space="preserve">, </w:t>
      </w:r>
      <w:r w:rsidR="003F1A4F">
        <w:rPr>
          <w:rFonts w:ascii="Times New Roman" w:hAnsi="Times New Roman"/>
          <w:sz w:val="24"/>
          <w:szCs w:val="24"/>
        </w:rPr>
        <w:t xml:space="preserve">The </w:t>
      </w:r>
      <w:proofErr w:type="spellStart"/>
      <w:r w:rsidR="003F1A4F">
        <w:rPr>
          <w:rFonts w:ascii="Times New Roman" w:hAnsi="Times New Roman"/>
          <w:sz w:val="24"/>
          <w:szCs w:val="24"/>
        </w:rPr>
        <w:t>Royal</w:t>
      </w:r>
      <w:proofErr w:type="spellEnd"/>
      <w:r w:rsidR="003F1A4F">
        <w:rPr>
          <w:rFonts w:ascii="Times New Roman" w:hAnsi="Times New Roman"/>
          <w:sz w:val="24"/>
          <w:szCs w:val="24"/>
        </w:rPr>
        <w:t xml:space="preserve"> Bank of Scotland, </w:t>
      </w:r>
      <w:proofErr w:type="spellStart"/>
      <w:r w:rsidR="00832DCE">
        <w:rPr>
          <w:rFonts w:ascii="Times New Roman" w:hAnsi="Times New Roman"/>
          <w:sz w:val="24"/>
          <w:szCs w:val="24"/>
        </w:rPr>
        <w:t>Saxo</w:t>
      </w:r>
      <w:proofErr w:type="spellEnd"/>
      <w:r w:rsidR="00832DCE">
        <w:rPr>
          <w:rFonts w:ascii="Times New Roman" w:hAnsi="Times New Roman"/>
          <w:sz w:val="24"/>
          <w:szCs w:val="24"/>
        </w:rPr>
        <w:t xml:space="preserve"> Bank, </w:t>
      </w:r>
      <w:proofErr w:type="spellStart"/>
      <w:r w:rsidR="00A818C7">
        <w:rPr>
          <w:rFonts w:ascii="Times New Roman" w:hAnsi="Times New Roman"/>
          <w:sz w:val="24"/>
          <w:szCs w:val="24"/>
        </w:rPr>
        <w:t>Sberbank</w:t>
      </w:r>
      <w:proofErr w:type="spellEnd"/>
      <w:r w:rsidR="00A818C7">
        <w:rPr>
          <w:rFonts w:ascii="Times New Roman" w:hAnsi="Times New Roman"/>
          <w:sz w:val="24"/>
          <w:szCs w:val="24"/>
        </w:rPr>
        <w:t xml:space="preserve">, Stavební spořitelna České spořitelny, </w:t>
      </w:r>
      <w:r w:rsidR="00A066E8">
        <w:rPr>
          <w:rFonts w:ascii="Times New Roman" w:hAnsi="Times New Roman"/>
          <w:sz w:val="24"/>
          <w:szCs w:val="24"/>
        </w:rPr>
        <w:t xml:space="preserve">UniCredit Bank, </w:t>
      </w:r>
      <w:r w:rsidR="00832DCE">
        <w:rPr>
          <w:rFonts w:ascii="Times New Roman" w:hAnsi="Times New Roman"/>
          <w:sz w:val="24"/>
          <w:szCs w:val="24"/>
        </w:rPr>
        <w:t>Všeobecná úvěrová banka,</w:t>
      </w:r>
      <w:r w:rsidR="00A818C7">
        <w:rPr>
          <w:rFonts w:ascii="Times New Roman" w:hAnsi="Times New Roman"/>
          <w:sz w:val="24"/>
          <w:szCs w:val="24"/>
        </w:rPr>
        <w:t xml:space="preserve"> </w:t>
      </w:r>
      <w:proofErr w:type="spellStart"/>
      <w:r w:rsidR="00A818C7">
        <w:rPr>
          <w:rFonts w:ascii="Times New Roman" w:hAnsi="Times New Roman"/>
          <w:sz w:val="24"/>
          <w:szCs w:val="24"/>
        </w:rPr>
        <w:lastRenderedPageBreak/>
        <w:t>Waldviertel</w:t>
      </w:r>
      <w:proofErr w:type="spellEnd"/>
      <w:r w:rsidR="00A818C7">
        <w:rPr>
          <w:rFonts w:ascii="Times New Roman" w:hAnsi="Times New Roman"/>
          <w:sz w:val="24"/>
          <w:szCs w:val="24"/>
        </w:rPr>
        <w:t xml:space="preserve"> </w:t>
      </w:r>
      <w:proofErr w:type="spellStart"/>
      <w:r w:rsidR="00A818C7">
        <w:rPr>
          <w:rFonts w:ascii="Times New Roman" w:hAnsi="Times New Roman"/>
          <w:sz w:val="24"/>
          <w:szCs w:val="24"/>
        </w:rPr>
        <w:t>Sparkasse</w:t>
      </w:r>
      <w:proofErr w:type="spellEnd"/>
      <w:r w:rsidR="00A818C7">
        <w:rPr>
          <w:rFonts w:ascii="Times New Roman" w:hAnsi="Times New Roman"/>
          <w:sz w:val="24"/>
          <w:szCs w:val="24"/>
        </w:rPr>
        <w:t>, Western Union,</w:t>
      </w:r>
      <w:r w:rsidR="00832DCE">
        <w:rPr>
          <w:rFonts w:ascii="Times New Roman" w:hAnsi="Times New Roman"/>
          <w:sz w:val="24"/>
          <w:szCs w:val="24"/>
        </w:rPr>
        <w:t xml:space="preserve"> </w:t>
      </w:r>
      <w:proofErr w:type="spellStart"/>
      <w:r w:rsidR="00832DCE">
        <w:rPr>
          <w:rFonts w:ascii="Times New Roman" w:hAnsi="Times New Roman"/>
          <w:sz w:val="24"/>
          <w:szCs w:val="24"/>
        </w:rPr>
        <w:t>Wustenrot</w:t>
      </w:r>
      <w:proofErr w:type="spellEnd"/>
      <w:r w:rsidR="00832DCE">
        <w:rPr>
          <w:rFonts w:ascii="Times New Roman" w:hAnsi="Times New Roman"/>
          <w:sz w:val="24"/>
          <w:szCs w:val="24"/>
        </w:rPr>
        <w:t xml:space="preserve"> hypoteční banka, </w:t>
      </w:r>
      <w:proofErr w:type="spellStart"/>
      <w:r w:rsidR="00832DCE">
        <w:rPr>
          <w:rFonts w:ascii="Times New Roman" w:hAnsi="Times New Roman"/>
          <w:sz w:val="24"/>
          <w:szCs w:val="24"/>
        </w:rPr>
        <w:t>Wustenrot</w:t>
      </w:r>
      <w:proofErr w:type="spellEnd"/>
      <w:r w:rsidR="00832DCE">
        <w:rPr>
          <w:rFonts w:ascii="Times New Roman" w:hAnsi="Times New Roman"/>
          <w:sz w:val="24"/>
          <w:szCs w:val="24"/>
        </w:rPr>
        <w:t xml:space="preserve"> stavební spořitelna, </w:t>
      </w:r>
      <w:r w:rsidR="00A066E8">
        <w:rPr>
          <w:rFonts w:ascii="Times New Roman" w:hAnsi="Times New Roman"/>
          <w:sz w:val="24"/>
          <w:szCs w:val="24"/>
        </w:rPr>
        <w:t xml:space="preserve">Zuno Bank, Záložna </w:t>
      </w:r>
      <w:proofErr w:type="spellStart"/>
      <w:r w:rsidR="00A066E8">
        <w:rPr>
          <w:rFonts w:ascii="Times New Roman" w:hAnsi="Times New Roman"/>
          <w:sz w:val="24"/>
          <w:szCs w:val="24"/>
        </w:rPr>
        <w:t>Creditas</w:t>
      </w:r>
      <w:proofErr w:type="spellEnd"/>
      <w:r w:rsidR="00A066E8">
        <w:rPr>
          <w:rFonts w:ascii="Times New Roman" w:hAnsi="Times New Roman"/>
          <w:sz w:val="24"/>
          <w:szCs w:val="24"/>
        </w:rPr>
        <w:t xml:space="preserve"> spořitelní d</w:t>
      </w:r>
      <w:r w:rsidR="00A818C7">
        <w:rPr>
          <w:rFonts w:ascii="Times New Roman" w:hAnsi="Times New Roman"/>
          <w:sz w:val="24"/>
          <w:szCs w:val="24"/>
        </w:rPr>
        <w:t>ružstvo.</w:t>
      </w:r>
    </w:p>
    <w:p w14:paraId="04226A31" w14:textId="77777777" w:rsidR="008305F1" w:rsidRDefault="008305F1" w:rsidP="006602C7">
      <w:pPr>
        <w:jc w:val="both"/>
        <w:rPr>
          <w:rFonts w:ascii="Times New Roman" w:hAnsi="Times New Roman"/>
          <w:sz w:val="24"/>
          <w:szCs w:val="24"/>
        </w:rPr>
      </w:pPr>
      <w:r>
        <w:rPr>
          <w:rFonts w:ascii="Times New Roman" w:hAnsi="Times New Roman"/>
          <w:sz w:val="24"/>
          <w:szCs w:val="24"/>
        </w:rPr>
        <w:t xml:space="preserve">Dále navrhovatel konzultoval vybrané otázky novelizace s právnickými a poradenskými profesemi, resp. jejich profesními komorami. O vstup </w:t>
      </w:r>
      <w:proofErr w:type="gramStart"/>
      <w:r>
        <w:rPr>
          <w:rFonts w:ascii="Times New Roman" w:hAnsi="Times New Roman"/>
          <w:sz w:val="24"/>
          <w:szCs w:val="24"/>
        </w:rPr>
        <w:t>byly</w:t>
      </w:r>
      <w:proofErr w:type="gramEnd"/>
      <w:r>
        <w:rPr>
          <w:rFonts w:ascii="Times New Roman" w:hAnsi="Times New Roman"/>
          <w:sz w:val="24"/>
          <w:szCs w:val="24"/>
        </w:rPr>
        <w:t xml:space="preserve"> formou dotazníku </w:t>
      </w:r>
      <w:proofErr w:type="gramStart"/>
      <w:r>
        <w:rPr>
          <w:rFonts w:ascii="Times New Roman" w:hAnsi="Times New Roman"/>
          <w:sz w:val="24"/>
          <w:szCs w:val="24"/>
        </w:rPr>
        <w:t>požádáni</w:t>
      </w:r>
      <w:proofErr w:type="gramEnd"/>
      <w:r>
        <w:rPr>
          <w:rFonts w:ascii="Times New Roman" w:hAnsi="Times New Roman"/>
          <w:sz w:val="24"/>
          <w:szCs w:val="24"/>
        </w:rPr>
        <w:t xml:space="preserve">: Česká advokátní komora, Notářská komora, </w:t>
      </w:r>
      <w:r w:rsidRPr="008305F1">
        <w:rPr>
          <w:rFonts w:ascii="Times New Roman" w:hAnsi="Times New Roman"/>
          <w:sz w:val="24"/>
          <w:szCs w:val="24"/>
        </w:rPr>
        <w:t>Exekutorská komora, Komora auditorů, Komora daňových poradců, Komora certifikovaných účetních, Komora certifikovaných účetních ČR, Svaz účetních a další vybraní účetní.</w:t>
      </w:r>
    </w:p>
    <w:p w14:paraId="37508D47" w14:textId="77777777" w:rsidR="008305F1" w:rsidRDefault="008305F1" w:rsidP="006602C7">
      <w:pPr>
        <w:jc w:val="both"/>
        <w:rPr>
          <w:rFonts w:ascii="Times New Roman" w:hAnsi="Times New Roman"/>
          <w:sz w:val="24"/>
          <w:szCs w:val="24"/>
        </w:rPr>
      </w:pPr>
      <w:r>
        <w:rPr>
          <w:rFonts w:ascii="Times New Roman" w:hAnsi="Times New Roman"/>
          <w:sz w:val="24"/>
          <w:szCs w:val="24"/>
        </w:rPr>
        <w:t>Další konzultace k vybraným tématům proběhly s ministerstvem vnitra (ohledně otázek souvisejících s Czech Point), ČNB (ohledně změny správního dozoru)</w:t>
      </w:r>
    </w:p>
    <w:p w14:paraId="2848AE77" w14:textId="77777777" w:rsidR="008305F1" w:rsidRDefault="008305F1" w:rsidP="006602C7">
      <w:pPr>
        <w:jc w:val="both"/>
        <w:rPr>
          <w:rFonts w:ascii="Times New Roman" w:hAnsi="Times New Roman"/>
          <w:sz w:val="24"/>
          <w:szCs w:val="24"/>
        </w:rPr>
      </w:pPr>
      <w:r>
        <w:rPr>
          <w:rFonts w:ascii="Times New Roman" w:hAnsi="Times New Roman"/>
          <w:sz w:val="24"/>
          <w:szCs w:val="24"/>
        </w:rPr>
        <w:t>Dalšími významnými zdroji dat a informací byly následující dokumenty:</w:t>
      </w:r>
    </w:p>
    <w:p w14:paraId="0759E4A0" w14:textId="77777777" w:rsidR="008305F1" w:rsidRDefault="008305F1"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Hodnocení dopadů čtvrté AML směrnice (</w:t>
      </w:r>
      <w:proofErr w:type="spellStart"/>
      <w:r>
        <w:rPr>
          <w:rFonts w:ascii="Times New Roman" w:hAnsi="Times New Roman"/>
          <w:sz w:val="24"/>
          <w:szCs w:val="24"/>
        </w:rPr>
        <w:t>Commission</w:t>
      </w:r>
      <w:proofErr w:type="spellEnd"/>
      <w:r>
        <w:rPr>
          <w:rFonts w:ascii="Times New Roman" w:hAnsi="Times New Roman"/>
          <w:sz w:val="24"/>
          <w:szCs w:val="24"/>
        </w:rPr>
        <w:t xml:space="preserve"> </w:t>
      </w:r>
      <w:proofErr w:type="spellStart"/>
      <w:r>
        <w:rPr>
          <w:rFonts w:ascii="Times New Roman" w:hAnsi="Times New Roman"/>
          <w:sz w:val="24"/>
          <w:szCs w:val="24"/>
        </w:rPr>
        <w:t>Staff</w:t>
      </w:r>
      <w:proofErr w:type="spellEnd"/>
      <w:r>
        <w:rPr>
          <w:rFonts w:ascii="Times New Roman" w:hAnsi="Times New Roman"/>
          <w:sz w:val="24"/>
          <w:szCs w:val="24"/>
        </w:rPr>
        <w:t xml:space="preserve"> Working Document – </w:t>
      </w:r>
      <w:proofErr w:type="spellStart"/>
      <w:r>
        <w:rPr>
          <w:rFonts w:ascii="Times New Roman" w:hAnsi="Times New Roman"/>
          <w:sz w:val="24"/>
          <w:szCs w:val="24"/>
        </w:rPr>
        <w:t>Impact</w:t>
      </w:r>
      <w:proofErr w:type="spellEnd"/>
      <w:r>
        <w:rPr>
          <w:rFonts w:ascii="Times New Roman" w:hAnsi="Times New Roman"/>
          <w:sz w:val="24"/>
          <w:szCs w:val="24"/>
        </w:rPr>
        <w:t xml:space="preserve"> </w:t>
      </w:r>
      <w:proofErr w:type="spellStart"/>
      <w:r>
        <w:rPr>
          <w:rFonts w:ascii="Times New Roman" w:hAnsi="Times New Roman"/>
          <w:sz w:val="24"/>
          <w:szCs w:val="24"/>
        </w:rPr>
        <w:t>Assessment</w:t>
      </w:r>
      <w:proofErr w:type="spellEnd"/>
      <w:r>
        <w:rPr>
          <w:rFonts w:ascii="Times New Roman" w:hAnsi="Times New Roman"/>
          <w:sz w:val="24"/>
          <w:szCs w:val="24"/>
        </w:rPr>
        <w:t>)</w:t>
      </w:r>
    </w:p>
    <w:p w14:paraId="1EA475FD" w14:textId="77777777" w:rsidR="004C5849" w:rsidRDefault="004C5849" w:rsidP="008305F1">
      <w:pPr>
        <w:pStyle w:val="Odstavecseseznamem"/>
        <w:numPr>
          <w:ilvl w:val="0"/>
          <w:numId w:val="3"/>
        </w:numPr>
        <w:ind w:left="360"/>
        <w:rPr>
          <w:rFonts w:ascii="Times New Roman" w:hAnsi="Times New Roman"/>
          <w:sz w:val="24"/>
          <w:szCs w:val="24"/>
        </w:rPr>
      </w:pPr>
      <w:proofErr w:type="spellStart"/>
      <w:r>
        <w:rPr>
          <w:rFonts w:ascii="Times New Roman" w:hAnsi="Times New Roman"/>
          <w:sz w:val="24"/>
          <w:szCs w:val="24"/>
        </w:rPr>
        <w:t>European</w:t>
      </w:r>
      <w:proofErr w:type="spellEnd"/>
      <w:r>
        <w:rPr>
          <w:rFonts w:ascii="Times New Roman" w:hAnsi="Times New Roman"/>
          <w:sz w:val="24"/>
          <w:szCs w:val="24"/>
        </w:rPr>
        <w:t xml:space="preserve"> </w:t>
      </w:r>
      <w:proofErr w:type="spellStart"/>
      <w:r>
        <w:rPr>
          <w:rFonts w:ascii="Times New Roman" w:hAnsi="Times New Roman"/>
          <w:sz w:val="24"/>
          <w:szCs w:val="24"/>
        </w:rPr>
        <w:t>Commission</w:t>
      </w:r>
      <w:proofErr w:type="spellEnd"/>
      <w:r>
        <w:rPr>
          <w:rFonts w:ascii="Times New Roman" w:hAnsi="Times New Roman"/>
          <w:sz w:val="24"/>
          <w:szCs w:val="24"/>
        </w:rPr>
        <w:t xml:space="preserve"> </w:t>
      </w:r>
      <w:proofErr w:type="spellStart"/>
      <w:r>
        <w:rPr>
          <w:rFonts w:ascii="Times New Roman" w:hAnsi="Times New Roman"/>
          <w:sz w:val="24"/>
          <w:szCs w:val="24"/>
        </w:rPr>
        <w:t>Final</w:t>
      </w:r>
      <w:proofErr w:type="spellEnd"/>
      <w:r>
        <w:rPr>
          <w:rFonts w:ascii="Times New Roman" w:hAnsi="Times New Roman"/>
          <w:sz w:val="24"/>
          <w:szCs w:val="24"/>
        </w:rPr>
        <w:t xml:space="preserve"> Study on </w:t>
      </w:r>
      <w:proofErr w:type="spellStart"/>
      <w:r>
        <w:rPr>
          <w:rFonts w:ascii="Times New Roman" w:hAnsi="Times New Roman"/>
          <w:sz w:val="24"/>
          <w:szCs w:val="24"/>
        </w:rPr>
        <w:t>the</w:t>
      </w:r>
      <w:proofErr w:type="spellEnd"/>
      <w:r>
        <w:rPr>
          <w:rFonts w:ascii="Times New Roman" w:hAnsi="Times New Roman"/>
          <w:sz w:val="24"/>
          <w:szCs w:val="24"/>
        </w:rPr>
        <w:t xml:space="preserve"> </w:t>
      </w:r>
      <w:proofErr w:type="spellStart"/>
      <w:r>
        <w:rPr>
          <w:rFonts w:ascii="Times New Roman" w:hAnsi="Times New Roman"/>
          <w:sz w:val="24"/>
          <w:szCs w:val="24"/>
        </w:rPr>
        <w:t>Applicationn</w:t>
      </w:r>
      <w:proofErr w:type="spellEnd"/>
      <w:r>
        <w:rPr>
          <w:rFonts w:ascii="Times New Roman" w:hAnsi="Times New Roman"/>
          <w:sz w:val="24"/>
          <w:szCs w:val="24"/>
        </w:rPr>
        <w:t xml:space="preserve"> of </w:t>
      </w:r>
      <w:proofErr w:type="spellStart"/>
      <w:r>
        <w:rPr>
          <w:rFonts w:ascii="Times New Roman" w:hAnsi="Times New Roman"/>
          <w:sz w:val="24"/>
          <w:szCs w:val="24"/>
        </w:rPr>
        <w:t>the</w:t>
      </w:r>
      <w:proofErr w:type="spellEnd"/>
      <w:r>
        <w:rPr>
          <w:rFonts w:ascii="Times New Roman" w:hAnsi="Times New Roman"/>
          <w:sz w:val="24"/>
          <w:szCs w:val="24"/>
        </w:rPr>
        <w:t xml:space="preserve"> Anti-Money Laundering </w:t>
      </w:r>
      <w:proofErr w:type="spellStart"/>
      <w:r>
        <w:rPr>
          <w:rFonts w:ascii="Times New Roman" w:hAnsi="Times New Roman"/>
          <w:sz w:val="24"/>
          <w:szCs w:val="24"/>
        </w:rPr>
        <w:t>Directive</w:t>
      </w:r>
      <w:proofErr w:type="spellEnd"/>
      <w:r>
        <w:rPr>
          <w:rFonts w:ascii="Times New Roman" w:hAnsi="Times New Roman"/>
          <w:sz w:val="24"/>
          <w:szCs w:val="24"/>
        </w:rPr>
        <w:t xml:space="preserve">, zpracováno </w:t>
      </w:r>
      <w:proofErr w:type="spellStart"/>
      <w:r>
        <w:rPr>
          <w:rFonts w:ascii="Times New Roman" w:hAnsi="Times New Roman"/>
          <w:sz w:val="24"/>
          <w:szCs w:val="24"/>
        </w:rPr>
        <w:t>Deloitte</w:t>
      </w:r>
      <w:proofErr w:type="spellEnd"/>
      <w:r>
        <w:rPr>
          <w:rFonts w:ascii="Times New Roman" w:hAnsi="Times New Roman"/>
          <w:sz w:val="24"/>
          <w:szCs w:val="24"/>
        </w:rPr>
        <w:t xml:space="preserve"> BE</w:t>
      </w:r>
    </w:p>
    <w:p w14:paraId="264F36AA" w14:textId="77777777" w:rsidR="008305F1" w:rsidRDefault="004C5849"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Doporučení FATF, Mezinárodní standardy v boji proti praní peněz, financování terorismu a šíření zbraní hromadného ničení</w:t>
      </w:r>
      <w:r w:rsidR="00F85284">
        <w:rPr>
          <w:rFonts w:ascii="Times New Roman" w:hAnsi="Times New Roman"/>
          <w:sz w:val="24"/>
          <w:szCs w:val="24"/>
        </w:rPr>
        <w:t>-</w:t>
      </w:r>
    </w:p>
    <w:p w14:paraId="47F0E3BC" w14:textId="77777777" w:rsidR="004C5849" w:rsidRDefault="00F85284"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Moneyval: </w:t>
      </w:r>
      <w:r w:rsidR="004C5849">
        <w:rPr>
          <w:rFonts w:ascii="Times New Roman" w:hAnsi="Times New Roman"/>
          <w:sz w:val="24"/>
          <w:szCs w:val="24"/>
        </w:rPr>
        <w:t xml:space="preserve">Report on </w:t>
      </w:r>
      <w:proofErr w:type="spellStart"/>
      <w:r w:rsidR="004C5849">
        <w:rPr>
          <w:rFonts w:ascii="Times New Roman" w:hAnsi="Times New Roman"/>
          <w:sz w:val="24"/>
          <w:szCs w:val="24"/>
        </w:rPr>
        <w:t>Fourth</w:t>
      </w:r>
      <w:proofErr w:type="spellEnd"/>
      <w:r w:rsidR="004C5849">
        <w:rPr>
          <w:rFonts w:ascii="Times New Roman" w:hAnsi="Times New Roman"/>
          <w:sz w:val="24"/>
          <w:szCs w:val="24"/>
        </w:rPr>
        <w:t xml:space="preserve"> </w:t>
      </w:r>
      <w:proofErr w:type="spellStart"/>
      <w:r w:rsidR="004C5849">
        <w:rPr>
          <w:rFonts w:ascii="Times New Roman" w:hAnsi="Times New Roman"/>
          <w:sz w:val="24"/>
          <w:szCs w:val="24"/>
        </w:rPr>
        <w:t>Assessment</w:t>
      </w:r>
      <w:proofErr w:type="spellEnd"/>
      <w:r w:rsidR="004C5849">
        <w:rPr>
          <w:rFonts w:ascii="Times New Roman" w:hAnsi="Times New Roman"/>
          <w:sz w:val="24"/>
          <w:szCs w:val="24"/>
        </w:rPr>
        <w:t xml:space="preserve"> Visit</w:t>
      </w:r>
      <w:r>
        <w:rPr>
          <w:rFonts w:ascii="Times New Roman" w:hAnsi="Times New Roman"/>
          <w:sz w:val="24"/>
          <w:szCs w:val="24"/>
        </w:rPr>
        <w:t xml:space="preserve">, Anti-Money Laundering and </w:t>
      </w:r>
      <w:proofErr w:type="spellStart"/>
      <w:r>
        <w:rPr>
          <w:rFonts w:ascii="Times New Roman" w:hAnsi="Times New Roman"/>
          <w:sz w:val="24"/>
          <w:szCs w:val="24"/>
        </w:rPr>
        <w:t>Combatting</w:t>
      </w:r>
      <w:proofErr w:type="spellEnd"/>
      <w:r>
        <w:rPr>
          <w:rFonts w:ascii="Times New Roman" w:hAnsi="Times New Roman"/>
          <w:sz w:val="24"/>
          <w:szCs w:val="24"/>
        </w:rPr>
        <w:t xml:space="preserve"> </w:t>
      </w:r>
      <w:proofErr w:type="spellStart"/>
      <w:r>
        <w:rPr>
          <w:rFonts w:ascii="Times New Roman" w:hAnsi="Times New Roman"/>
          <w:sz w:val="24"/>
          <w:szCs w:val="24"/>
        </w:rPr>
        <w:t>the</w:t>
      </w:r>
      <w:proofErr w:type="spellEnd"/>
      <w:r>
        <w:rPr>
          <w:rFonts w:ascii="Times New Roman" w:hAnsi="Times New Roman"/>
          <w:sz w:val="24"/>
          <w:szCs w:val="24"/>
        </w:rPr>
        <w:t xml:space="preserve"> </w:t>
      </w:r>
      <w:proofErr w:type="spellStart"/>
      <w:r>
        <w:rPr>
          <w:rFonts w:ascii="Times New Roman" w:hAnsi="Times New Roman"/>
          <w:sz w:val="24"/>
          <w:szCs w:val="24"/>
        </w:rPr>
        <w:t>Financing</w:t>
      </w:r>
      <w:proofErr w:type="spellEnd"/>
      <w:r>
        <w:rPr>
          <w:rFonts w:ascii="Times New Roman" w:hAnsi="Times New Roman"/>
          <w:sz w:val="24"/>
          <w:szCs w:val="24"/>
        </w:rPr>
        <w:t xml:space="preserve"> of </w:t>
      </w:r>
      <w:proofErr w:type="spellStart"/>
      <w:r>
        <w:rPr>
          <w:rFonts w:ascii="Times New Roman" w:hAnsi="Times New Roman"/>
          <w:sz w:val="24"/>
          <w:szCs w:val="24"/>
        </w:rPr>
        <w:t>Terrorism</w:t>
      </w:r>
      <w:proofErr w:type="spellEnd"/>
      <w:r>
        <w:rPr>
          <w:rFonts w:ascii="Times New Roman" w:hAnsi="Times New Roman"/>
          <w:sz w:val="24"/>
          <w:szCs w:val="24"/>
        </w:rPr>
        <w:t xml:space="preserve"> (2011); včetně doplňujících zpráv (2014)</w:t>
      </w:r>
    </w:p>
    <w:p w14:paraId="7F5D842D" w14:textId="77777777" w:rsidR="00F85284" w:rsidRDefault="00F85284"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FATF </w:t>
      </w:r>
      <w:proofErr w:type="spellStart"/>
      <w:r>
        <w:rPr>
          <w:rFonts w:ascii="Times New Roman" w:hAnsi="Times New Roman"/>
          <w:sz w:val="24"/>
          <w:szCs w:val="24"/>
        </w:rPr>
        <w:t>Policy</w:t>
      </w:r>
      <w:proofErr w:type="spellEnd"/>
      <w:r>
        <w:rPr>
          <w:rFonts w:ascii="Times New Roman" w:hAnsi="Times New Roman"/>
          <w:sz w:val="24"/>
          <w:szCs w:val="24"/>
        </w:rPr>
        <w:t xml:space="preserve"> Development Group: Draft </w:t>
      </w:r>
      <w:proofErr w:type="spellStart"/>
      <w:r>
        <w:rPr>
          <w:rFonts w:ascii="Times New Roman" w:hAnsi="Times New Roman"/>
          <w:sz w:val="24"/>
          <w:szCs w:val="24"/>
        </w:rPr>
        <w:t>Guidance</w:t>
      </w:r>
      <w:proofErr w:type="spellEnd"/>
      <w:r>
        <w:rPr>
          <w:rFonts w:ascii="Times New Roman" w:hAnsi="Times New Roman"/>
          <w:sz w:val="24"/>
          <w:szCs w:val="24"/>
        </w:rPr>
        <w:t xml:space="preserve"> on Transparency and </w:t>
      </w:r>
      <w:proofErr w:type="spellStart"/>
      <w:r>
        <w:rPr>
          <w:rFonts w:ascii="Times New Roman" w:hAnsi="Times New Roman"/>
          <w:sz w:val="24"/>
          <w:szCs w:val="24"/>
        </w:rPr>
        <w:t>Beneficial</w:t>
      </w:r>
      <w:proofErr w:type="spellEnd"/>
      <w:r>
        <w:rPr>
          <w:rFonts w:ascii="Times New Roman" w:hAnsi="Times New Roman"/>
          <w:sz w:val="24"/>
          <w:szCs w:val="24"/>
        </w:rPr>
        <w:t xml:space="preserve"> </w:t>
      </w:r>
      <w:proofErr w:type="spellStart"/>
      <w:r>
        <w:rPr>
          <w:rFonts w:ascii="Times New Roman" w:hAnsi="Times New Roman"/>
          <w:sz w:val="24"/>
          <w:szCs w:val="24"/>
        </w:rPr>
        <w:t>Ownership</w:t>
      </w:r>
      <w:proofErr w:type="spellEnd"/>
      <w:r>
        <w:rPr>
          <w:rFonts w:ascii="Times New Roman" w:hAnsi="Times New Roman"/>
          <w:sz w:val="24"/>
          <w:szCs w:val="24"/>
        </w:rPr>
        <w:t xml:space="preserve"> (2014)</w:t>
      </w:r>
    </w:p>
    <w:p w14:paraId="41A4AD3B" w14:textId="77777777" w:rsidR="00F85284" w:rsidRDefault="00F85284"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FATF </w:t>
      </w:r>
      <w:proofErr w:type="spellStart"/>
      <w:r>
        <w:rPr>
          <w:rFonts w:ascii="Times New Roman" w:hAnsi="Times New Roman"/>
          <w:sz w:val="24"/>
          <w:szCs w:val="24"/>
        </w:rPr>
        <w:t>Methodologyy</w:t>
      </w:r>
      <w:proofErr w:type="spellEnd"/>
      <w:r>
        <w:rPr>
          <w:rFonts w:ascii="Times New Roman" w:hAnsi="Times New Roman"/>
          <w:sz w:val="24"/>
          <w:szCs w:val="24"/>
        </w:rPr>
        <w:t xml:space="preserve"> </w:t>
      </w:r>
      <w:proofErr w:type="spellStart"/>
      <w:r>
        <w:rPr>
          <w:rFonts w:ascii="Times New Roman" w:hAnsi="Times New Roman"/>
          <w:sz w:val="24"/>
          <w:szCs w:val="24"/>
        </w:rPr>
        <w:t>for</w:t>
      </w:r>
      <w:proofErr w:type="spellEnd"/>
      <w:r>
        <w:rPr>
          <w:rFonts w:ascii="Times New Roman" w:hAnsi="Times New Roman"/>
          <w:sz w:val="24"/>
          <w:szCs w:val="24"/>
        </w:rPr>
        <w:t xml:space="preserve"> </w:t>
      </w:r>
      <w:proofErr w:type="spellStart"/>
      <w:r>
        <w:rPr>
          <w:rFonts w:ascii="Times New Roman" w:hAnsi="Times New Roman"/>
          <w:sz w:val="24"/>
          <w:szCs w:val="24"/>
        </w:rPr>
        <w:t>Assessing</w:t>
      </w:r>
      <w:proofErr w:type="spellEnd"/>
      <w:r>
        <w:rPr>
          <w:rFonts w:ascii="Times New Roman" w:hAnsi="Times New Roman"/>
          <w:sz w:val="24"/>
          <w:szCs w:val="24"/>
        </w:rPr>
        <w:t xml:space="preserve"> </w:t>
      </w:r>
      <w:proofErr w:type="spellStart"/>
      <w:r>
        <w:rPr>
          <w:rFonts w:ascii="Times New Roman" w:hAnsi="Times New Roman"/>
          <w:sz w:val="24"/>
          <w:szCs w:val="24"/>
        </w:rPr>
        <w:t>Tehcnical</w:t>
      </w:r>
      <w:proofErr w:type="spellEnd"/>
      <w:r>
        <w:rPr>
          <w:rFonts w:ascii="Times New Roman" w:hAnsi="Times New Roman"/>
          <w:sz w:val="24"/>
          <w:szCs w:val="24"/>
        </w:rPr>
        <w:t xml:space="preserve"> Compliance </w:t>
      </w:r>
      <w:proofErr w:type="spellStart"/>
      <w:r>
        <w:rPr>
          <w:rFonts w:ascii="Times New Roman" w:hAnsi="Times New Roman"/>
          <w:sz w:val="24"/>
          <w:szCs w:val="24"/>
        </w:rPr>
        <w:t>with</w:t>
      </w:r>
      <w:proofErr w:type="spellEnd"/>
      <w:r>
        <w:rPr>
          <w:rFonts w:ascii="Times New Roman" w:hAnsi="Times New Roman"/>
          <w:sz w:val="24"/>
          <w:szCs w:val="24"/>
        </w:rPr>
        <w:t xml:space="preserve"> </w:t>
      </w:r>
      <w:proofErr w:type="spellStart"/>
      <w:r>
        <w:rPr>
          <w:rFonts w:ascii="Times New Roman" w:hAnsi="Times New Roman"/>
          <w:sz w:val="24"/>
          <w:szCs w:val="24"/>
        </w:rPr>
        <w:t>the</w:t>
      </w:r>
      <w:proofErr w:type="spellEnd"/>
      <w:r>
        <w:rPr>
          <w:rFonts w:ascii="Times New Roman" w:hAnsi="Times New Roman"/>
          <w:sz w:val="24"/>
          <w:szCs w:val="24"/>
        </w:rPr>
        <w:t xml:space="preserve"> FATF </w:t>
      </w:r>
      <w:proofErr w:type="spellStart"/>
      <w:r>
        <w:rPr>
          <w:rFonts w:ascii="Times New Roman" w:hAnsi="Times New Roman"/>
          <w:sz w:val="24"/>
          <w:szCs w:val="24"/>
        </w:rPr>
        <w:t>Recommendations</w:t>
      </w:r>
      <w:proofErr w:type="spellEnd"/>
      <w:r>
        <w:rPr>
          <w:rFonts w:ascii="Times New Roman" w:hAnsi="Times New Roman"/>
          <w:sz w:val="24"/>
          <w:szCs w:val="24"/>
        </w:rPr>
        <w:t xml:space="preserve"> and </w:t>
      </w:r>
      <w:proofErr w:type="spellStart"/>
      <w:r>
        <w:rPr>
          <w:rFonts w:ascii="Times New Roman" w:hAnsi="Times New Roman"/>
          <w:sz w:val="24"/>
          <w:szCs w:val="24"/>
        </w:rPr>
        <w:t>the</w:t>
      </w:r>
      <w:proofErr w:type="spellEnd"/>
      <w:r>
        <w:rPr>
          <w:rFonts w:ascii="Times New Roman" w:hAnsi="Times New Roman"/>
          <w:sz w:val="24"/>
          <w:szCs w:val="24"/>
        </w:rPr>
        <w:t xml:space="preserve"> </w:t>
      </w:r>
      <w:proofErr w:type="spellStart"/>
      <w:r>
        <w:rPr>
          <w:rFonts w:ascii="Times New Roman" w:hAnsi="Times New Roman"/>
          <w:sz w:val="24"/>
          <w:szCs w:val="24"/>
        </w:rPr>
        <w:t>Effectiveness</w:t>
      </w:r>
      <w:proofErr w:type="spellEnd"/>
      <w:r>
        <w:rPr>
          <w:rFonts w:ascii="Times New Roman" w:hAnsi="Times New Roman"/>
          <w:sz w:val="24"/>
          <w:szCs w:val="24"/>
        </w:rPr>
        <w:t xml:space="preserve"> of AML/CFT Systems (2013)</w:t>
      </w:r>
    </w:p>
    <w:p w14:paraId="65968613" w14:textId="77777777" w:rsidR="00F85284" w:rsidRDefault="00F85284"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FATF </w:t>
      </w:r>
      <w:proofErr w:type="spellStart"/>
      <w:r>
        <w:rPr>
          <w:rFonts w:ascii="Times New Roman" w:hAnsi="Times New Roman"/>
          <w:sz w:val="24"/>
          <w:szCs w:val="24"/>
        </w:rPr>
        <w:t>Guidance</w:t>
      </w:r>
      <w:proofErr w:type="spellEnd"/>
      <w:r>
        <w:rPr>
          <w:rFonts w:ascii="Times New Roman" w:hAnsi="Times New Roman"/>
          <w:sz w:val="24"/>
          <w:szCs w:val="24"/>
        </w:rPr>
        <w:t xml:space="preserve">: </w:t>
      </w:r>
      <w:proofErr w:type="spellStart"/>
      <w:r>
        <w:rPr>
          <w:rFonts w:ascii="Times New Roman" w:hAnsi="Times New Roman"/>
          <w:sz w:val="24"/>
          <w:szCs w:val="24"/>
        </w:rPr>
        <w:t>National</w:t>
      </w:r>
      <w:proofErr w:type="spellEnd"/>
      <w:r>
        <w:rPr>
          <w:rFonts w:ascii="Times New Roman" w:hAnsi="Times New Roman"/>
          <w:sz w:val="24"/>
          <w:szCs w:val="24"/>
        </w:rPr>
        <w:t xml:space="preserve"> Money Laundering and </w:t>
      </w:r>
      <w:proofErr w:type="spellStart"/>
      <w:r>
        <w:rPr>
          <w:rFonts w:ascii="Times New Roman" w:hAnsi="Times New Roman"/>
          <w:sz w:val="24"/>
          <w:szCs w:val="24"/>
        </w:rPr>
        <w:t>Terrorist</w:t>
      </w:r>
      <w:proofErr w:type="spellEnd"/>
      <w:r>
        <w:rPr>
          <w:rFonts w:ascii="Times New Roman" w:hAnsi="Times New Roman"/>
          <w:sz w:val="24"/>
          <w:szCs w:val="24"/>
        </w:rPr>
        <w:t xml:space="preserve"> </w:t>
      </w:r>
      <w:proofErr w:type="spellStart"/>
      <w:r>
        <w:rPr>
          <w:rFonts w:ascii="Times New Roman" w:hAnsi="Times New Roman"/>
          <w:sz w:val="24"/>
          <w:szCs w:val="24"/>
        </w:rPr>
        <w:t>Financing</w:t>
      </w:r>
      <w:proofErr w:type="spellEnd"/>
      <w:r>
        <w:rPr>
          <w:rFonts w:ascii="Times New Roman" w:hAnsi="Times New Roman"/>
          <w:sz w:val="24"/>
          <w:szCs w:val="24"/>
        </w:rPr>
        <w:t xml:space="preserve"> Risk </w:t>
      </w:r>
      <w:proofErr w:type="spellStart"/>
      <w:r>
        <w:rPr>
          <w:rFonts w:ascii="Times New Roman" w:hAnsi="Times New Roman"/>
          <w:sz w:val="24"/>
          <w:szCs w:val="24"/>
        </w:rPr>
        <w:t>Assessment</w:t>
      </w:r>
      <w:proofErr w:type="spellEnd"/>
      <w:r>
        <w:rPr>
          <w:rFonts w:ascii="Times New Roman" w:hAnsi="Times New Roman"/>
          <w:sz w:val="24"/>
          <w:szCs w:val="24"/>
        </w:rPr>
        <w:t xml:space="preserve"> (2013)</w:t>
      </w:r>
    </w:p>
    <w:p w14:paraId="5AA27858" w14:textId="77777777" w:rsidR="00F85284" w:rsidRDefault="00F85284"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FATF </w:t>
      </w:r>
      <w:proofErr w:type="spellStart"/>
      <w:r>
        <w:rPr>
          <w:rFonts w:ascii="Times New Roman" w:hAnsi="Times New Roman"/>
          <w:sz w:val="24"/>
          <w:szCs w:val="24"/>
        </w:rPr>
        <w:t>Policy</w:t>
      </w:r>
      <w:proofErr w:type="spellEnd"/>
      <w:r>
        <w:rPr>
          <w:rFonts w:ascii="Times New Roman" w:hAnsi="Times New Roman"/>
          <w:sz w:val="24"/>
          <w:szCs w:val="24"/>
        </w:rPr>
        <w:t xml:space="preserve"> Development Group: Draft </w:t>
      </w:r>
      <w:proofErr w:type="spellStart"/>
      <w:r>
        <w:rPr>
          <w:rFonts w:ascii="Times New Roman" w:hAnsi="Times New Roman"/>
          <w:sz w:val="24"/>
          <w:szCs w:val="24"/>
        </w:rPr>
        <w:t>Revised</w:t>
      </w:r>
      <w:proofErr w:type="spellEnd"/>
      <w:r>
        <w:rPr>
          <w:rFonts w:ascii="Times New Roman" w:hAnsi="Times New Roman"/>
          <w:sz w:val="24"/>
          <w:szCs w:val="24"/>
        </w:rPr>
        <w:t xml:space="preserve"> </w:t>
      </w:r>
      <w:proofErr w:type="spellStart"/>
      <w:r>
        <w:rPr>
          <w:rFonts w:ascii="Times New Roman" w:hAnsi="Times New Roman"/>
          <w:sz w:val="24"/>
          <w:szCs w:val="24"/>
        </w:rPr>
        <w:t>Guidance</w:t>
      </w:r>
      <w:proofErr w:type="spellEnd"/>
      <w:r>
        <w:rPr>
          <w:rFonts w:ascii="Times New Roman" w:hAnsi="Times New Roman"/>
          <w:sz w:val="24"/>
          <w:szCs w:val="24"/>
        </w:rPr>
        <w:t xml:space="preserve"> </w:t>
      </w:r>
      <w:proofErr w:type="spellStart"/>
      <w:r>
        <w:rPr>
          <w:rFonts w:ascii="Times New Roman" w:hAnsi="Times New Roman"/>
          <w:sz w:val="24"/>
          <w:szCs w:val="24"/>
        </w:rPr>
        <w:t>for</w:t>
      </w:r>
      <w:proofErr w:type="spellEnd"/>
      <w:r>
        <w:rPr>
          <w:rFonts w:ascii="Times New Roman" w:hAnsi="Times New Roman"/>
          <w:sz w:val="24"/>
          <w:szCs w:val="24"/>
        </w:rPr>
        <w:t xml:space="preserve"> a RBA </w:t>
      </w:r>
      <w:proofErr w:type="spellStart"/>
      <w:r>
        <w:rPr>
          <w:rFonts w:ascii="Times New Roman" w:hAnsi="Times New Roman"/>
          <w:sz w:val="24"/>
          <w:szCs w:val="24"/>
        </w:rPr>
        <w:t>for</w:t>
      </w:r>
      <w:proofErr w:type="spellEnd"/>
      <w:r>
        <w:rPr>
          <w:rFonts w:ascii="Times New Roman" w:hAnsi="Times New Roman"/>
          <w:sz w:val="24"/>
          <w:szCs w:val="24"/>
        </w:rPr>
        <w:t xml:space="preserve"> </w:t>
      </w:r>
      <w:proofErr w:type="spellStart"/>
      <w:r>
        <w:rPr>
          <w:rFonts w:ascii="Times New Roman" w:hAnsi="Times New Roman"/>
          <w:sz w:val="24"/>
          <w:szCs w:val="24"/>
        </w:rPr>
        <w:t>the</w:t>
      </w:r>
      <w:proofErr w:type="spellEnd"/>
      <w:r>
        <w:rPr>
          <w:rFonts w:ascii="Times New Roman" w:hAnsi="Times New Roman"/>
          <w:sz w:val="24"/>
          <w:szCs w:val="24"/>
        </w:rPr>
        <w:t xml:space="preserve"> </w:t>
      </w:r>
      <w:proofErr w:type="spellStart"/>
      <w:r>
        <w:rPr>
          <w:rFonts w:ascii="Times New Roman" w:hAnsi="Times New Roman"/>
          <w:sz w:val="24"/>
          <w:szCs w:val="24"/>
        </w:rPr>
        <w:t>Banking</w:t>
      </w:r>
      <w:proofErr w:type="spellEnd"/>
      <w:r>
        <w:rPr>
          <w:rFonts w:ascii="Times New Roman" w:hAnsi="Times New Roman"/>
          <w:sz w:val="24"/>
          <w:szCs w:val="24"/>
        </w:rPr>
        <w:t xml:space="preserve"> </w:t>
      </w:r>
      <w:proofErr w:type="spellStart"/>
      <w:r>
        <w:rPr>
          <w:rFonts w:ascii="Times New Roman" w:hAnsi="Times New Roman"/>
          <w:sz w:val="24"/>
          <w:szCs w:val="24"/>
        </w:rPr>
        <w:t>Sector</w:t>
      </w:r>
      <w:proofErr w:type="spellEnd"/>
    </w:p>
    <w:p w14:paraId="25EFA1F6" w14:textId="77777777" w:rsidR="00F85284" w:rsidRDefault="00F85284"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World</w:t>
      </w:r>
      <w:proofErr w:type="spellEnd"/>
      <w:r>
        <w:rPr>
          <w:rFonts w:ascii="Times New Roman" w:hAnsi="Times New Roman"/>
          <w:sz w:val="24"/>
          <w:szCs w:val="24"/>
        </w:rPr>
        <w:t xml:space="preserve"> Bank Risk </w:t>
      </w:r>
      <w:proofErr w:type="spellStart"/>
      <w:r>
        <w:rPr>
          <w:rFonts w:ascii="Times New Roman" w:hAnsi="Times New Roman"/>
          <w:sz w:val="24"/>
          <w:szCs w:val="24"/>
        </w:rPr>
        <w:t>Assessment</w:t>
      </w:r>
      <w:proofErr w:type="spellEnd"/>
      <w:r>
        <w:rPr>
          <w:rFonts w:ascii="Times New Roman" w:hAnsi="Times New Roman"/>
          <w:sz w:val="24"/>
          <w:szCs w:val="24"/>
        </w:rPr>
        <w:t xml:space="preserve"> </w:t>
      </w:r>
      <w:proofErr w:type="spellStart"/>
      <w:r>
        <w:rPr>
          <w:rFonts w:ascii="Times New Roman" w:hAnsi="Times New Roman"/>
          <w:sz w:val="24"/>
          <w:szCs w:val="24"/>
        </w:rPr>
        <w:t>Methodology</w:t>
      </w:r>
      <w:proofErr w:type="spellEnd"/>
    </w:p>
    <w:p w14:paraId="7525139C" w14:textId="77777777" w:rsidR="00F85284" w:rsidRDefault="00F85284"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Výroční zprávy FAU 2012-2014</w:t>
      </w:r>
    </w:p>
    <w:p w14:paraId="2A6E3F2F" w14:textId="77777777" w:rsidR="00B32A75" w:rsidRDefault="00EE5223"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Evropská komise: </w:t>
      </w:r>
      <w:r w:rsidR="00B32A75" w:rsidRPr="00362299">
        <w:rPr>
          <w:rFonts w:ascii="Times New Roman" w:hAnsi="Times New Roman"/>
          <w:sz w:val="24"/>
          <w:szCs w:val="24"/>
        </w:rPr>
        <w:t xml:space="preserve">2012 Update Report to </w:t>
      </w:r>
      <w:proofErr w:type="spellStart"/>
      <w:r w:rsidR="00B32A75" w:rsidRPr="00362299">
        <w:rPr>
          <w:rFonts w:ascii="Times New Roman" w:hAnsi="Times New Roman"/>
          <w:sz w:val="24"/>
          <w:szCs w:val="24"/>
        </w:rPr>
        <w:t>the</w:t>
      </w:r>
      <w:proofErr w:type="spellEnd"/>
      <w:r w:rsidR="00B32A75" w:rsidRPr="00362299">
        <w:rPr>
          <w:rFonts w:ascii="Times New Roman" w:hAnsi="Times New Roman"/>
          <w:sz w:val="24"/>
          <w:szCs w:val="24"/>
        </w:rPr>
        <w:t xml:space="preserve"> Study to </w:t>
      </w:r>
      <w:proofErr w:type="spellStart"/>
      <w:r w:rsidR="00B32A75" w:rsidRPr="00362299">
        <w:rPr>
          <w:rFonts w:ascii="Times New Roman" w:hAnsi="Times New Roman"/>
          <w:sz w:val="24"/>
          <w:szCs w:val="24"/>
        </w:rPr>
        <w:t>quantify</w:t>
      </w:r>
      <w:proofErr w:type="spellEnd"/>
      <w:r w:rsidR="00B32A75">
        <w:rPr>
          <w:rFonts w:ascii="Times New Roman" w:hAnsi="Times New Roman"/>
          <w:sz w:val="24"/>
          <w:szCs w:val="24"/>
        </w:rPr>
        <w:t xml:space="preserve"> </w:t>
      </w:r>
      <w:r w:rsidR="00B32A75" w:rsidRPr="00EB4DF9">
        <w:rPr>
          <w:rFonts w:ascii="Times New Roman" w:hAnsi="Times New Roman"/>
          <w:sz w:val="24"/>
          <w:szCs w:val="24"/>
        </w:rPr>
        <w:t xml:space="preserve">and </w:t>
      </w:r>
      <w:r w:rsidR="00B32A75">
        <w:rPr>
          <w:rFonts w:ascii="Times New Roman" w:hAnsi="Times New Roman"/>
          <w:sz w:val="24"/>
          <w:szCs w:val="24"/>
        </w:rPr>
        <w:t>a</w:t>
      </w:r>
      <w:r w:rsidR="00B32A75" w:rsidRPr="00EB4DF9">
        <w:rPr>
          <w:rFonts w:ascii="Times New Roman" w:hAnsi="Times New Roman"/>
          <w:sz w:val="24"/>
          <w:szCs w:val="24"/>
        </w:rPr>
        <w:t xml:space="preserve">nalyse </w:t>
      </w:r>
      <w:proofErr w:type="spellStart"/>
      <w:r w:rsidR="00B32A75" w:rsidRPr="00EB4DF9">
        <w:rPr>
          <w:rFonts w:ascii="Times New Roman" w:hAnsi="Times New Roman"/>
          <w:sz w:val="24"/>
          <w:szCs w:val="24"/>
        </w:rPr>
        <w:t>the</w:t>
      </w:r>
      <w:proofErr w:type="spellEnd"/>
      <w:r w:rsidR="00B32A75" w:rsidRPr="00EB4DF9">
        <w:rPr>
          <w:rFonts w:ascii="Times New Roman" w:hAnsi="Times New Roman"/>
          <w:sz w:val="24"/>
          <w:szCs w:val="24"/>
        </w:rPr>
        <w:t xml:space="preserve"> VAT Gap in </w:t>
      </w:r>
      <w:proofErr w:type="spellStart"/>
      <w:r w:rsidR="00B32A75" w:rsidRPr="00EB4DF9">
        <w:rPr>
          <w:rFonts w:ascii="Times New Roman" w:hAnsi="Times New Roman"/>
          <w:sz w:val="24"/>
          <w:szCs w:val="24"/>
        </w:rPr>
        <w:t>the</w:t>
      </w:r>
      <w:proofErr w:type="spellEnd"/>
      <w:r w:rsidR="00B32A75" w:rsidRPr="00EB4DF9">
        <w:rPr>
          <w:rFonts w:ascii="Times New Roman" w:hAnsi="Times New Roman"/>
          <w:sz w:val="24"/>
          <w:szCs w:val="24"/>
        </w:rPr>
        <w:t xml:space="preserve"> EU-27</w:t>
      </w:r>
      <w:r w:rsidR="00B32A75">
        <w:rPr>
          <w:rFonts w:ascii="Times New Roman" w:hAnsi="Times New Roman"/>
          <w:sz w:val="24"/>
          <w:szCs w:val="24"/>
        </w:rPr>
        <w:t xml:space="preserve"> </w:t>
      </w:r>
      <w:proofErr w:type="spellStart"/>
      <w:r w:rsidR="00B32A75" w:rsidRPr="00EB4DF9">
        <w:rPr>
          <w:rFonts w:ascii="Times New Roman" w:hAnsi="Times New Roman"/>
          <w:sz w:val="24"/>
          <w:szCs w:val="24"/>
        </w:rPr>
        <w:t>Member</w:t>
      </w:r>
      <w:proofErr w:type="spellEnd"/>
      <w:r w:rsidR="00B32A75" w:rsidRPr="00EB4DF9">
        <w:rPr>
          <w:rFonts w:ascii="Times New Roman" w:hAnsi="Times New Roman"/>
          <w:sz w:val="24"/>
          <w:szCs w:val="24"/>
        </w:rPr>
        <w:t xml:space="preserve"> </w:t>
      </w:r>
      <w:proofErr w:type="spellStart"/>
      <w:r w:rsidR="00B32A75" w:rsidRPr="00EB4DF9">
        <w:rPr>
          <w:rFonts w:ascii="Times New Roman" w:hAnsi="Times New Roman"/>
          <w:sz w:val="24"/>
          <w:szCs w:val="24"/>
        </w:rPr>
        <w:t>States</w:t>
      </w:r>
      <w:proofErr w:type="spellEnd"/>
    </w:p>
    <w:p w14:paraId="627ABD1F" w14:textId="77777777" w:rsidR="00EE5223" w:rsidRPr="008305F1" w:rsidRDefault="00EE5223" w:rsidP="008305F1">
      <w:pPr>
        <w:pStyle w:val="Odstavecseseznamem"/>
        <w:numPr>
          <w:ilvl w:val="0"/>
          <w:numId w:val="3"/>
        </w:numPr>
        <w:ind w:left="360"/>
        <w:rPr>
          <w:rFonts w:ascii="Times New Roman" w:hAnsi="Times New Roman"/>
          <w:sz w:val="24"/>
          <w:szCs w:val="24"/>
        </w:rPr>
      </w:pPr>
      <w:r>
        <w:rPr>
          <w:rFonts w:ascii="Times New Roman" w:hAnsi="Times New Roman"/>
          <w:sz w:val="24"/>
          <w:szCs w:val="24"/>
        </w:rPr>
        <w:t xml:space="preserve">Evropská centrální banka: </w:t>
      </w:r>
      <w:proofErr w:type="spellStart"/>
      <w:r>
        <w:rPr>
          <w:rFonts w:ascii="Times New Roman" w:hAnsi="Times New Roman"/>
          <w:sz w:val="24"/>
          <w:szCs w:val="24"/>
        </w:rPr>
        <w:t>Virtual</w:t>
      </w:r>
      <w:proofErr w:type="spellEnd"/>
      <w:r>
        <w:rPr>
          <w:rFonts w:ascii="Times New Roman" w:hAnsi="Times New Roman"/>
          <w:sz w:val="24"/>
          <w:szCs w:val="24"/>
        </w:rPr>
        <w:t xml:space="preserve"> </w:t>
      </w:r>
      <w:proofErr w:type="spellStart"/>
      <w:r>
        <w:rPr>
          <w:rFonts w:ascii="Times New Roman" w:hAnsi="Times New Roman"/>
          <w:sz w:val="24"/>
          <w:szCs w:val="24"/>
        </w:rPr>
        <w:t>Currency</w:t>
      </w:r>
      <w:proofErr w:type="spellEnd"/>
      <w:r>
        <w:rPr>
          <w:rFonts w:ascii="Times New Roman" w:hAnsi="Times New Roman"/>
          <w:sz w:val="24"/>
          <w:szCs w:val="24"/>
        </w:rPr>
        <w:t xml:space="preserve"> </w:t>
      </w:r>
      <w:proofErr w:type="spellStart"/>
      <w:r>
        <w:rPr>
          <w:rFonts w:ascii="Times New Roman" w:hAnsi="Times New Roman"/>
          <w:sz w:val="24"/>
          <w:szCs w:val="24"/>
        </w:rPr>
        <w:t>Schemes</w:t>
      </w:r>
      <w:proofErr w:type="spellEnd"/>
      <w:r>
        <w:rPr>
          <w:rFonts w:ascii="Times New Roman" w:hAnsi="Times New Roman"/>
          <w:sz w:val="24"/>
          <w:szCs w:val="24"/>
        </w:rPr>
        <w:t xml:space="preserve"> – A </w:t>
      </w:r>
      <w:proofErr w:type="spellStart"/>
      <w:r>
        <w:rPr>
          <w:rFonts w:ascii="Times New Roman" w:hAnsi="Times New Roman"/>
          <w:sz w:val="24"/>
          <w:szCs w:val="24"/>
        </w:rPr>
        <w:t>Further</w:t>
      </w:r>
      <w:proofErr w:type="spellEnd"/>
      <w:r>
        <w:rPr>
          <w:rFonts w:ascii="Times New Roman" w:hAnsi="Times New Roman"/>
          <w:sz w:val="24"/>
          <w:szCs w:val="24"/>
        </w:rPr>
        <w:t xml:space="preserve"> </w:t>
      </w:r>
      <w:proofErr w:type="spellStart"/>
      <w:r>
        <w:rPr>
          <w:rFonts w:ascii="Times New Roman" w:hAnsi="Times New Roman"/>
          <w:sz w:val="24"/>
          <w:szCs w:val="24"/>
        </w:rPr>
        <w:t>Analysis</w:t>
      </w:r>
      <w:proofErr w:type="spellEnd"/>
      <w:r>
        <w:rPr>
          <w:rFonts w:ascii="Times New Roman" w:hAnsi="Times New Roman"/>
          <w:sz w:val="24"/>
          <w:szCs w:val="24"/>
        </w:rPr>
        <w:t xml:space="preserve">, </w:t>
      </w:r>
      <w:proofErr w:type="spellStart"/>
      <w:r>
        <w:rPr>
          <w:rFonts w:ascii="Times New Roman" w:hAnsi="Times New Roman"/>
          <w:sz w:val="24"/>
          <w:szCs w:val="24"/>
        </w:rPr>
        <w:t>February</w:t>
      </w:r>
      <w:proofErr w:type="spellEnd"/>
      <w:r>
        <w:rPr>
          <w:rFonts w:ascii="Times New Roman" w:hAnsi="Times New Roman"/>
          <w:sz w:val="24"/>
          <w:szCs w:val="24"/>
        </w:rPr>
        <w:t xml:space="preserve"> 2015</w:t>
      </w:r>
    </w:p>
    <w:p w14:paraId="19B6404E" w14:textId="77777777" w:rsidR="00AE4525" w:rsidRPr="00AE4525" w:rsidRDefault="00AE4525" w:rsidP="00AE4525">
      <w:pPr>
        <w:jc w:val="both"/>
        <w:rPr>
          <w:rFonts w:ascii="Times New Roman" w:hAnsi="Times New Roman"/>
          <w:sz w:val="24"/>
          <w:szCs w:val="24"/>
        </w:rPr>
      </w:pPr>
    </w:p>
    <w:p w14:paraId="7FCDB557" w14:textId="77777777" w:rsidR="009F017F" w:rsidRDefault="009F017F" w:rsidP="00A763B0">
      <w:pPr>
        <w:pStyle w:val="Odstavecseseznamem"/>
        <w:numPr>
          <w:ilvl w:val="0"/>
          <w:numId w:val="1"/>
        </w:numPr>
        <w:ind w:left="0"/>
        <w:rPr>
          <w:rFonts w:ascii="Times New Roman" w:hAnsi="Times New Roman"/>
          <w:b/>
          <w:sz w:val="24"/>
          <w:szCs w:val="24"/>
        </w:rPr>
      </w:pPr>
      <w:r>
        <w:rPr>
          <w:rFonts w:ascii="Times New Roman" w:hAnsi="Times New Roman"/>
          <w:b/>
          <w:sz w:val="24"/>
          <w:szCs w:val="24"/>
        </w:rPr>
        <w:t>KONTAKT NA ZPRACOVATELE RIA</w:t>
      </w:r>
    </w:p>
    <w:p w14:paraId="11B2D5FA" w14:textId="77777777" w:rsidR="00AE4525" w:rsidRDefault="00AE4525" w:rsidP="009F017F">
      <w:pPr>
        <w:pStyle w:val="Normlnweb"/>
        <w:spacing w:before="0" w:beforeAutospacing="0" w:after="0" w:afterAutospacing="0"/>
        <w:contextualSpacing/>
        <w:jc w:val="both"/>
        <w:rPr>
          <w:bCs/>
        </w:rPr>
      </w:pPr>
    </w:p>
    <w:p w14:paraId="14C7859B" w14:textId="77777777" w:rsidR="009F017F" w:rsidRPr="009F017F" w:rsidRDefault="009F017F" w:rsidP="009F017F">
      <w:pPr>
        <w:pStyle w:val="Normlnweb"/>
        <w:spacing w:before="0" w:beforeAutospacing="0" w:after="0" w:afterAutospacing="0"/>
        <w:contextualSpacing/>
        <w:jc w:val="both"/>
      </w:pPr>
      <w:r w:rsidRPr="009F017F">
        <w:rPr>
          <w:bCs/>
        </w:rPr>
        <w:t xml:space="preserve">JUDr. Jan Šamánek, Ph.D., </w:t>
      </w:r>
      <w:proofErr w:type="gramStart"/>
      <w:r w:rsidRPr="009F017F">
        <w:rPr>
          <w:bCs/>
        </w:rPr>
        <w:t>LL.M.</w:t>
      </w:r>
      <w:proofErr w:type="gramEnd"/>
    </w:p>
    <w:p w14:paraId="455D3E1C" w14:textId="77777777" w:rsidR="009F017F" w:rsidRPr="009F017F" w:rsidRDefault="009F017F" w:rsidP="009F017F">
      <w:pPr>
        <w:pStyle w:val="Normlnweb"/>
        <w:spacing w:before="0" w:beforeAutospacing="0" w:after="0" w:afterAutospacing="0"/>
        <w:contextualSpacing/>
        <w:jc w:val="both"/>
      </w:pPr>
      <w:r w:rsidRPr="009F017F">
        <w:t>České družiny 1944/25, 160 00 Praha 6</w:t>
      </w:r>
    </w:p>
    <w:p w14:paraId="252497DB" w14:textId="77777777" w:rsidR="009F017F" w:rsidRDefault="009F017F" w:rsidP="009F017F">
      <w:pPr>
        <w:pStyle w:val="Normlnweb"/>
        <w:spacing w:before="0" w:beforeAutospacing="0" w:after="0" w:afterAutospacing="0"/>
        <w:contextualSpacing/>
        <w:jc w:val="both"/>
        <w:rPr>
          <w:rStyle w:val="Hypertextovodkaz"/>
        </w:rPr>
      </w:pPr>
      <w:r w:rsidRPr="009F017F">
        <w:t>774 050 004 / </w:t>
      </w:r>
      <w:hyperlink r:id="rId9" w:tgtFrame="_blank" w:history="1">
        <w:r w:rsidRPr="009F017F">
          <w:rPr>
            <w:rStyle w:val="Hypertextovodkaz"/>
          </w:rPr>
          <w:t>jan.samanek@gmail.com</w:t>
        </w:r>
      </w:hyperlink>
    </w:p>
    <w:p w14:paraId="07E284AE" w14:textId="77777777" w:rsidR="00AE4525" w:rsidRDefault="00AE4525" w:rsidP="009F017F">
      <w:pPr>
        <w:pStyle w:val="Normlnweb"/>
        <w:spacing w:before="0" w:beforeAutospacing="0" w:after="0" w:afterAutospacing="0"/>
        <w:contextualSpacing/>
        <w:jc w:val="both"/>
        <w:rPr>
          <w:rStyle w:val="Hypertextovodkaz"/>
        </w:rPr>
      </w:pPr>
    </w:p>
    <w:p w14:paraId="1808ABB4" w14:textId="77777777" w:rsidR="00AE4525" w:rsidRDefault="00AE4525" w:rsidP="00AE4525">
      <w:pPr>
        <w:spacing w:after="0"/>
        <w:rPr>
          <w:rFonts w:ascii="Times New Roman" w:hAnsi="Times New Roman"/>
          <w:sz w:val="24"/>
          <w:szCs w:val="24"/>
        </w:rPr>
      </w:pPr>
      <w:proofErr w:type="spellStart"/>
      <w:r>
        <w:rPr>
          <w:rFonts w:ascii="Times New Roman" w:hAnsi="Times New Roman"/>
          <w:sz w:val="24"/>
          <w:szCs w:val="24"/>
        </w:rPr>
        <w:t>Hlínka</w:t>
      </w:r>
      <w:proofErr w:type="spellEnd"/>
      <w:r>
        <w:rPr>
          <w:rFonts w:ascii="Times New Roman" w:hAnsi="Times New Roman"/>
          <w:sz w:val="24"/>
          <w:szCs w:val="24"/>
        </w:rPr>
        <w:t xml:space="preserve"> a partneři, Na příkopě 31, 110 00 Praha 1</w:t>
      </w:r>
    </w:p>
    <w:p w14:paraId="1FAFDD7A" w14:textId="77777777" w:rsidR="00AE4525" w:rsidRDefault="00AE4525" w:rsidP="00AE4525">
      <w:pPr>
        <w:spacing w:after="0"/>
        <w:rPr>
          <w:rFonts w:ascii="Times New Roman" w:hAnsi="Times New Roman"/>
          <w:sz w:val="24"/>
          <w:szCs w:val="24"/>
        </w:rPr>
      </w:pPr>
      <w:r>
        <w:rPr>
          <w:rFonts w:ascii="Times New Roman" w:hAnsi="Times New Roman"/>
          <w:sz w:val="24"/>
          <w:szCs w:val="24"/>
        </w:rPr>
        <w:t xml:space="preserve">Email: </w:t>
      </w:r>
      <w:hyperlink r:id="rId10" w:history="1">
        <w:r w:rsidRPr="00F075CD">
          <w:rPr>
            <w:rStyle w:val="Hypertextovodkaz"/>
            <w:rFonts w:ascii="Times New Roman" w:hAnsi="Times New Roman"/>
            <w:sz w:val="24"/>
            <w:szCs w:val="24"/>
          </w:rPr>
          <w:t>petrhlin</w:t>
        </w:r>
        <w:r w:rsidRPr="00F075CD">
          <w:rPr>
            <w:rStyle w:val="Hypertextovodkaz"/>
            <w:rFonts w:ascii="Times New Roman" w:hAnsi="Times New Roman"/>
            <w:sz w:val="24"/>
            <w:szCs w:val="24"/>
            <w:lang w:val="en-US"/>
          </w:rPr>
          <w:t>@</w:t>
        </w:r>
        <w:r w:rsidRPr="00F075CD">
          <w:rPr>
            <w:rStyle w:val="Hypertextovodkaz"/>
            <w:rFonts w:ascii="Times New Roman" w:hAnsi="Times New Roman"/>
            <w:sz w:val="24"/>
            <w:szCs w:val="24"/>
          </w:rPr>
          <w:t>gmail.com</w:t>
        </w:r>
      </w:hyperlink>
    </w:p>
    <w:p w14:paraId="38D056EE" w14:textId="77777777" w:rsidR="00AE4525" w:rsidRPr="00557CDA" w:rsidRDefault="00AE4525" w:rsidP="00AE4525">
      <w:pPr>
        <w:spacing w:after="0"/>
        <w:rPr>
          <w:rFonts w:ascii="Times New Roman" w:hAnsi="Times New Roman"/>
          <w:sz w:val="24"/>
          <w:szCs w:val="24"/>
        </w:rPr>
      </w:pPr>
      <w:r>
        <w:rPr>
          <w:rFonts w:ascii="Times New Roman" w:hAnsi="Times New Roman"/>
          <w:sz w:val="24"/>
          <w:szCs w:val="24"/>
        </w:rPr>
        <w:t>Telefon: 602 425 757</w:t>
      </w:r>
    </w:p>
    <w:p w14:paraId="42E94696" w14:textId="77777777" w:rsidR="00AE4525" w:rsidRPr="009F017F" w:rsidRDefault="00AE4525" w:rsidP="00CE4871">
      <w:pPr>
        <w:pStyle w:val="Normlnweb"/>
        <w:spacing w:before="0" w:beforeAutospacing="0" w:after="0" w:afterAutospacing="0"/>
        <w:contextualSpacing/>
        <w:jc w:val="both"/>
      </w:pPr>
    </w:p>
    <w:sectPr w:rsidR="00AE4525" w:rsidRPr="009F017F" w:rsidSect="001C636F">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2A580" w14:textId="77777777" w:rsidR="00DA4E90" w:rsidRDefault="00DA4E90" w:rsidP="009C737E">
      <w:pPr>
        <w:spacing w:after="0" w:line="240" w:lineRule="auto"/>
      </w:pPr>
      <w:r>
        <w:separator/>
      </w:r>
    </w:p>
    <w:p w14:paraId="2A13F299" w14:textId="77777777" w:rsidR="00DA4E90" w:rsidRDefault="00DA4E90"/>
  </w:endnote>
  <w:endnote w:type="continuationSeparator" w:id="0">
    <w:p w14:paraId="14C05307" w14:textId="77777777" w:rsidR="00DA4E90" w:rsidRDefault="00DA4E90" w:rsidP="009C737E">
      <w:pPr>
        <w:spacing w:after="0" w:line="240" w:lineRule="auto"/>
      </w:pPr>
      <w:r>
        <w:continuationSeparator/>
      </w:r>
    </w:p>
    <w:p w14:paraId="313DE00D" w14:textId="77777777" w:rsidR="00DA4E90" w:rsidRDefault="00DA4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00000000" w:usb2="00000000" w:usb3="00000000" w:csb0="000001FF"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518082"/>
      <w:docPartObj>
        <w:docPartGallery w:val="Page Numbers (Bottom of Page)"/>
        <w:docPartUnique/>
      </w:docPartObj>
    </w:sdtPr>
    <w:sdtEndPr>
      <w:rPr>
        <w:rFonts w:ascii="Times New Roman" w:hAnsi="Times New Roman" w:cs="Times New Roman"/>
        <w:sz w:val="24"/>
        <w:szCs w:val="24"/>
      </w:rPr>
    </w:sdtEndPr>
    <w:sdtContent>
      <w:p w14:paraId="46639AF8" w14:textId="77777777" w:rsidR="00DB2F70" w:rsidRPr="00B85674" w:rsidRDefault="00DB2F70">
        <w:pPr>
          <w:pStyle w:val="Zpat"/>
          <w:jc w:val="center"/>
          <w:rPr>
            <w:rFonts w:ascii="Times New Roman" w:hAnsi="Times New Roman" w:cs="Times New Roman"/>
            <w:sz w:val="24"/>
            <w:szCs w:val="24"/>
          </w:rPr>
        </w:pPr>
        <w:r w:rsidRPr="00B85674">
          <w:rPr>
            <w:rFonts w:ascii="Times New Roman" w:hAnsi="Times New Roman" w:cs="Times New Roman"/>
            <w:sz w:val="24"/>
            <w:szCs w:val="24"/>
          </w:rPr>
          <w:fldChar w:fldCharType="begin"/>
        </w:r>
        <w:r w:rsidRPr="00B85674">
          <w:rPr>
            <w:rFonts w:ascii="Times New Roman" w:hAnsi="Times New Roman" w:cs="Times New Roman"/>
            <w:sz w:val="24"/>
            <w:szCs w:val="24"/>
          </w:rPr>
          <w:instrText>PAGE   \* MERGEFORMAT</w:instrText>
        </w:r>
        <w:r w:rsidRPr="00B85674">
          <w:rPr>
            <w:rFonts w:ascii="Times New Roman" w:hAnsi="Times New Roman" w:cs="Times New Roman"/>
            <w:sz w:val="24"/>
            <w:szCs w:val="24"/>
          </w:rPr>
          <w:fldChar w:fldCharType="separate"/>
        </w:r>
        <w:r w:rsidR="00961843">
          <w:rPr>
            <w:rFonts w:ascii="Times New Roman" w:hAnsi="Times New Roman" w:cs="Times New Roman"/>
            <w:noProof/>
            <w:sz w:val="24"/>
            <w:szCs w:val="24"/>
          </w:rPr>
          <w:t>2</w:t>
        </w:r>
        <w:r w:rsidRPr="00B85674">
          <w:rPr>
            <w:rFonts w:ascii="Times New Roman" w:hAnsi="Times New Roman" w:cs="Times New Roman"/>
            <w:sz w:val="24"/>
            <w:szCs w:val="24"/>
          </w:rPr>
          <w:fldChar w:fldCharType="end"/>
        </w:r>
      </w:p>
    </w:sdtContent>
  </w:sdt>
  <w:p w14:paraId="763D019E" w14:textId="77777777" w:rsidR="00DB2F70" w:rsidRDefault="00DB2F70">
    <w:pPr>
      <w:pStyle w:val="Zpat"/>
    </w:pPr>
  </w:p>
  <w:p w14:paraId="3956F067" w14:textId="77777777" w:rsidR="00DB2F70" w:rsidRDefault="00DB2F7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noProof/>
        <w:sz w:val="24"/>
        <w:szCs w:val="24"/>
      </w:rPr>
      <w:id w:val="1866562799"/>
      <w:docPartObj>
        <w:docPartGallery w:val="Page Numbers (Bottom of Page)"/>
        <w:docPartUnique/>
      </w:docPartObj>
    </w:sdtPr>
    <w:sdtEndPr/>
    <w:sdtContent>
      <w:p w14:paraId="03461384" w14:textId="407A8731" w:rsidR="00DB2F70" w:rsidRPr="001C636F" w:rsidRDefault="00DB2F70">
        <w:pPr>
          <w:pStyle w:val="Zpat"/>
          <w:jc w:val="center"/>
          <w:rPr>
            <w:rFonts w:ascii="Times New Roman" w:hAnsi="Times New Roman" w:cs="Times New Roman"/>
            <w:noProof/>
            <w:sz w:val="24"/>
            <w:szCs w:val="24"/>
          </w:rPr>
        </w:pPr>
        <w:r w:rsidRPr="001C636F">
          <w:rPr>
            <w:rFonts w:ascii="Times New Roman" w:hAnsi="Times New Roman" w:cs="Times New Roman"/>
            <w:noProof/>
            <w:sz w:val="24"/>
            <w:szCs w:val="24"/>
          </w:rPr>
          <w:fldChar w:fldCharType="begin"/>
        </w:r>
        <w:r w:rsidRPr="001C636F">
          <w:rPr>
            <w:rFonts w:ascii="Times New Roman" w:hAnsi="Times New Roman" w:cs="Times New Roman"/>
            <w:noProof/>
            <w:sz w:val="24"/>
            <w:szCs w:val="24"/>
          </w:rPr>
          <w:instrText>PAGE   \* MERGEFORMAT</w:instrText>
        </w:r>
        <w:r w:rsidRPr="001C636F">
          <w:rPr>
            <w:rFonts w:ascii="Times New Roman" w:hAnsi="Times New Roman" w:cs="Times New Roman"/>
            <w:noProof/>
            <w:sz w:val="24"/>
            <w:szCs w:val="24"/>
          </w:rPr>
          <w:fldChar w:fldCharType="separate"/>
        </w:r>
        <w:r w:rsidR="00961843">
          <w:rPr>
            <w:rFonts w:ascii="Times New Roman" w:hAnsi="Times New Roman" w:cs="Times New Roman"/>
            <w:noProof/>
            <w:sz w:val="24"/>
            <w:szCs w:val="24"/>
          </w:rPr>
          <w:t>1</w:t>
        </w:r>
        <w:r w:rsidRPr="001C636F">
          <w:rPr>
            <w:rFonts w:ascii="Times New Roman" w:hAnsi="Times New Roman" w:cs="Times New Roman"/>
            <w:noProof/>
            <w:sz w:val="24"/>
            <w:szCs w:val="24"/>
          </w:rPr>
          <w:fldChar w:fldCharType="end"/>
        </w:r>
      </w:p>
    </w:sdtContent>
  </w:sdt>
  <w:p w14:paraId="69BC8083" w14:textId="77777777" w:rsidR="00DB2F70" w:rsidRDefault="00DB2F7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ADDAB" w14:textId="77777777" w:rsidR="00DA4E90" w:rsidRDefault="00DA4E90" w:rsidP="009C737E">
      <w:pPr>
        <w:spacing w:after="0" w:line="240" w:lineRule="auto"/>
      </w:pPr>
      <w:r>
        <w:separator/>
      </w:r>
    </w:p>
    <w:p w14:paraId="7126A6EF" w14:textId="77777777" w:rsidR="00DA4E90" w:rsidRDefault="00DA4E90"/>
  </w:footnote>
  <w:footnote w:type="continuationSeparator" w:id="0">
    <w:p w14:paraId="73DE8AE9" w14:textId="77777777" w:rsidR="00DA4E90" w:rsidRDefault="00DA4E90" w:rsidP="009C737E">
      <w:pPr>
        <w:spacing w:after="0" w:line="240" w:lineRule="auto"/>
      </w:pPr>
      <w:r>
        <w:continuationSeparator/>
      </w:r>
    </w:p>
    <w:p w14:paraId="3B840EA5" w14:textId="77777777" w:rsidR="00DA4E90" w:rsidRDefault="00DA4E90"/>
  </w:footnote>
  <w:footnote w:id="1">
    <w:p w14:paraId="300460A4" w14:textId="77777777" w:rsidR="00DB2F70" w:rsidRPr="009252FB" w:rsidRDefault="00DB2F70">
      <w:pPr>
        <w:pStyle w:val="Textpoznpodarou"/>
        <w:rPr>
          <w:rFonts w:ascii="Times New Roman" w:hAnsi="Times New Roman" w:cs="Times New Roman"/>
        </w:rPr>
      </w:pPr>
      <w:r w:rsidRPr="009252FB">
        <w:rPr>
          <w:rStyle w:val="Znakapoznpodarou"/>
          <w:rFonts w:ascii="Times New Roman" w:hAnsi="Times New Roman" w:cs="Times New Roman"/>
        </w:rPr>
        <w:footnoteRef/>
      </w:r>
      <w:r w:rsidRPr="009252FB">
        <w:rPr>
          <w:rFonts w:ascii="Times New Roman" w:hAnsi="Times New Roman" w:cs="Times New Roman"/>
        </w:rPr>
        <w:t xml:space="preserve"> Běžně užívaná zkratka AML znamená anti-money laundering, tedy „proti praní peněz“.</w:t>
      </w:r>
    </w:p>
  </w:footnote>
  <w:footnote w:id="2">
    <w:p w14:paraId="32FC512A" w14:textId="77777777" w:rsidR="00DB2F70" w:rsidRPr="00AF2B91" w:rsidRDefault="00DB2F70" w:rsidP="00AF2B91">
      <w:pPr>
        <w:pStyle w:val="Textpoznpodarou"/>
        <w:jc w:val="both"/>
        <w:rPr>
          <w:rFonts w:ascii="Times New Roman" w:hAnsi="Times New Roman" w:cs="Times New Roman"/>
        </w:rPr>
      </w:pPr>
      <w:r w:rsidRPr="00AF2B91">
        <w:rPr>
          <w:rStyle w:val="Znakapoznpodarou"/>
          <w:rFonts w:ascii="Times New Roman" w:hAnsi="Times New Roman" w:cs="Times New Roman"/>
        </w:rPr>
        <w:footnoteRef/>
      </w:r>
      <w:r w:rsidRPr="00AF2B91">
        <w:rPr>
          <w:rFonts w:ascii="Times New Roman" w:hAnsi="Times New Roman" w:cs="Times New Roman"/>
        </w:rPr>
        <w:t xml:space="preserve"> Elektronické peníze definuje Směrnice 2009/110/ES následovně: </w:t>
      </w:r>
    </w:p>
    <w:p w14:paraId="14C28D14" w14:textId="77777777" w:rsidR="00DB2F70" w:rsidRDefault="00DB2F70" w:rsidP="00AF2B91">
      <w:pPr>
        <w:pStyle w:val="Textpoznpodarou"/>
        <w:jc w:val="both"/>
        <w:rPr>
          <w:rFonts w:ascii="Times New Roman" w:hAnsi="Times New Roman" w:cs="Times New Roman"/>
        </w:rPr>
      </w:pPr>
      <w:r w:rsidRPr="00AF2B91">
        <w:rPr>
          <w:rFonts w:ascii="Times New Roman" w:hAnsi="Times New Roman" w:cs="Times New Roman"/>
        </w:rPr>
        <w:t xml:space="preserve">„elektronickými penězi“ se rozumí elektronicky, a to i magneticky, uchovávaná peněžní hodnota vyjádřená pohledávkou za vydavatelem, vydaná proti přijetí peněžních prostředků za účelem provádění platebních transakcí vymezených v čl. 4 </w:t>
      </w:r>
      <w:proofErr w:type="gramStart"/>
      <w:r w:rsidRPr="00AF2B91">
        <w:rPr>
          <w:rFonts w:ascii="Times New Roman" w:hAnsi="Times New Roman" w:cs="Times New Roman"/>
        </w:rPr>
        <w:t>bodě</w:t>
      </w:r>
      <w:proofErr w:type="gramEnd"/>
      <w:r w:rsidRPr="00AF2B91">
        <w:rPr>
          <w:rFonts w:ascii="Times New Roman" w:hAnsi="Times New Roman" w:cs="Times New Roman"/>
        </w:rPr>
        <w:t xml:space="preserve"> 5 směrnice 2007/64/ES a přijímaná jinou fyzickou či právnickou osobou, než je vydavatel elektronických peněz.</w:t>
      </w:r>
    </w:p>
    <w:p w14:paraId="06AB036C" w14:textId="77777777" w:rsidR="00DB2F70" w:rsidRDefault="00DB2F70" w:rsidP="00AF2B91">
      <w:pPr>
        <w:pStyle w:val="Textpoznpodarou"/>
        <w:jc w:val="both"/>
      </w:pPr>
    </w:p>
  </w:footnote>
  <w:footnote w:id="3">
    <w:p w14:paraId="69AF00D3" w14:textId="77777777" w:rsidR="00DB2F70" w:rsidRPr="00483F72" w:rsidRDefault="00DB2F70">
      <w:pPr>
        <w:pStyle w:val="Textpoznpodarou"/>
        <w:rPr>
          <w:rFonts w:ascii="Times New Roman" w:hAnsi="Times New Roman" w:cs="Times New Roman"/>
        </w:rPr>
      </w:pPr>
      <w:r w:rsidRPr="00483F72">
        <w:rPr>
          <w:rStyle w:val="Znakapoznpodarou"/>
          <w:rFonts w:ascii="Times New Roman" w:hAnsi="Times New Roman" w:cs="Times New Roman"/>
        </w:rPr>
        <w:footnoteRef/>
      </w:r>
      <w:r w:rsidRPr="00483F72">
        <w:rPr>
          <w:rFonts w:ascii="Times New Roman" w:hAnsi="Times New Roman" w:cs="Times New Roman"/>
        </w:rPr>
        <w:t xml:space="preserve"> Údaj za rok 2013. Zdroj: http://www.mfcr.cz/cs/verejny-sektor/prognozy/makroekonomicka-predikce/2015/makroekonomicka-predikce-leden-2015-20401</w:t>
      </w:r>
    </w:p>
  </w:footnote>
  <w:footnote w:id="4">
    <w:p w14:paraId="79BFA080" w14:textId="77777777" w:rsidR="00DB2F70" w:rsidRDefault="00DB2F70">
      <w:pPr>
        <w:pStyle w:val="Textpoznpodarou"/>
      </w:pPr>
      <w:r>
        <w:rPr>
          <w:rStyle w:val="Znakapoznpodarou"/>
        </w:rPr>
        <w:footnoteRef/>
      </w:r>
      <w:r>
        <w:t xml:space="preserve"> </w:t>
      </w:r>
      <w:r w:rsidRPr="00773E62">
        <w:rPr>
          <w:rFonts w:ascii="Times New Roman" w:hAnsi="Times New Roman" w:cs="Times New Roman"/>
        </w:rPr>
        <w:t xml:space="preserve">UNODC, říjen 2011: </w:t>
      </w:r>
      <w:proofErr w:type="spellStart"/>
      <w:r w:rsidRPr="00773E62">
        <w:rPr>
          <w:rFonts w:ascii="Times New Roman" w:hAnsi="Times New Roman" w:cs="Times New Roman"/>
        </w:rPr>
        <w:t>Estimating</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Illicit</w:t>
      </w:r>
      <w:proofErr w:type="spellEnd"/>
      <w:r w:rsidRPr="00773E62">
        <w:rPr>
          <w:rFonts w:ascii="Times New Roman" w:hAnsi="Times New Roman" w:cs="Times New Roman"/>
        </w:rPr>
        <w:t xml:space="preserve"> Financial </w:t>
      </w:r>
      <w:proofErr w:type="spellStart"/>
      <w:r w:rsidRPr="00773E62">
        <w:rPr>
          <w:rFonts w:ascii="Times New Roman" w:hAnsi="Times New Roman" w:cs="Times New Roman"/>
        </w:rPr>
        <w:t>Flows</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resulting</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frim</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drug</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trafficking</w:t>
      </w:r>
      <w:proofErr w:type="spellEnd"/>
      <w:r w:rsidRPr="00773E62">
        <w:rPr>
          <w:rFonts w:ascii="Times New Roman" w:hAnsi="Times New Roman" w:cs="Times New Roman"/>
        </w:rPr>
        <w:t xml:space="preserve"> and </w:t>
      </w:r>
      <w:proofErr w:type="spellStart"/>
      <w:r w:rsidRPr="00773E62">
        <w:rPr>
          <w:rFonts w:ascii="Times New Roman" w:hAnsi="Times New Roman" w:cs="Times New Roman"/>
        </w:rPr>
        <w:t>other</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transnational</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organized</w:t>
      </w:r>
      <w:proofErr w:type="spellEnd"/>
      <w:r w:rsidRPr="00773E62">
        <w:rPr>
          <w:rFonts w:ascii="Times New Roman" w:hAnsi="Times New Roman" w:cs="Times New Roman"/>
        </w:rPr>
        <w:t xml:space="preserve"> </w:t>
      </w:r>
      <w:proofErr w:type="spellStart"/>
      <w:r w:rsidRPr="00773E62">
        <w:rPr>
          <w:rFonts w:ascii="Times New Roman" w:hAnsi="Times New Roman" w:cs="Times New Roman"/>
        </w:rPr>
        <w:t>crimes</w:t>
      </w:r>
      <w:proofErr w:type="spellEnd"/>
      <w:r w:rsidRPr="00773E62">
        <w:rPr>
          <w:rFonts w:ascii="Times New Roman" w:hAnsi="Times New Roman" w:cs="Times New Roman"/>
        </w:rPr>
        <w:t>.</w:t>
      </w:r>
    </w:p>
  </w:footnote>
  <w:footnote w:id="5">
    <w:p w14:paraId="477D4663" w14:textId="77777777" w:rsidR="00DB2F70" w:rsidRPr="00724FE6" w:rsidRDefault="00DB2F70">
      <w:pPr>
        <w:pStyle w:val="Textpoznpodarou"/>
        <w:rPr>
          <w:rFonts w:ascii="Times New Roman" w:hAnsi="Times New Roman" w:cs="Times New Roman"/>
        </w:rPr>
      </w:pPr>
      <w:r w:rsidRPr="00724FE6">
        <w:rPr>
          <w:rStyle w:val="Znakapoznpodarou"/>
          <w:rFonts w:ascii="Times New Roman" w:hAnsi="Times New Roman" w:cs="Times New Roman"/>
        </w:rPr>
        <w:footnoteRef/>
      </w:r>
      <w:r w:rsidRPr="00724FE6">
        <w:rPr>
          <w:rFonts w:ascii="Times New Roman" w:hAnsi="Times New Roman" w:cs="Times New Roman"/>
        </w:rPr>
        <w:t xml:space="preserve"> FATF Report on </w:t>
      </w:r>
      <w:proofErr w:type="spellStart"/>
      <w:r w:rsidRPr="00724FE6">
        <w:rPr>
          <w:rFonts w:ascii="Times New Roman" w:hAnsi="Times New Roman" w:cs="Times New Roman"/>
        </w:rPr>
        <w:t>Terrorist</w:t>
      </w:r>
      <w:proofErr w:type="spellEnd"/>
      <w:r w:rsidRPr="00724FE6">
        <w:rPr>
          <w:rFonts w:ascii="Times New Roman" w:hAnsi="Times New Roman" w:cs="Times New Roman"/>
        </w:rPr>
        <w:t xml:space="preserve"> </w:t>
      </w:r>
      <w:proofErr w:type="spellStart"/>
      <w:r w:rsidRPr="00724FE6">
        <w:rPr>
          <w:rFonts w:ascii="Times New Roman" w:hAnsi="Times New Roman" w:cs="Times New Roman"/>
        </w:rPr>
        <w:t>Financing</w:t>
      </w:r>
      <w:proofErr w:type="spellEnd"/>
      <w:r w:rsidRPr="00724FE6">
        <w:rPr>
          <w:rFonts w:ascii="Times New Roman" w:hAnsi="Times New Roman" w:cs="Times New Roman"/>
        </w:rPr>
        <w:t xml:space="preserve"> (únor 2008), UN </w:t>
      </w:r>
      <w:proofErr w:type="spellStart"/>
      <w:r w:rsidRPr="00724FE6">
        <w:rPr>
          <w:rFonts w:ascii="Times New Roman" w:hAnsi="Times New Roman" w:cs="Times New Roman"/>
        </w:rPr>
        <w:t>Monitorng</w:t>
      </w:r>
      <w:proofErr w:type="spellEnd"/>
      <w:r w:rsidRPr="00724FE6">
        <w:rPr>
          <w:rFonts w:ascii="Times New Roman" w:hAnsi="Times New Roman" w:cs="Times New Roman"/>
        </w:rPr>
        <w:t xml:space="preserve"> Team Report on Al-</w:t>
      </w:r>
      <w:proofErr w:type="spellStart"/>
      <w:r w:rsidRPr="00724FE6">
        <w:rPr>
          <w:rFonts w:ascii="Times New Roman" w:hAnsi="Times New Roman" w:cs="Times New Roman"/>
        </w:rPr>
        <w:t>Qaeda</w:t>
      </w:r>
      <w:proofErr w:type="spellEnd"/>
      <w:r w:rsidRPr="00724FE6">
        <w:rPr>
          <w:rFonts w:ascii="Times New Roman" w:hAnsi="Times New Roman" w:cs="Times New Roman"/>
        </w:rPr>
        <w:t xml:space="preserve"> and </w:t>
      </w:r>
      <w:proofErr w:type="spellStart"/>
      <w:r w:rsidRPr="00724FE6">
        <w:rPr>
          <w:rFonts w:ascii="Times New Roman" w:hAnsi="Times New Roman" w:cs="Times New Roman"/>
        </w:rPr>
        <w:t>the</w:t>
      </w:r>
      <w:proofErr w:type="spellEnd"/>
      <w:r w:rsidRPr="00724FE6">
        <w:rPr>
          <w:rFonts w:ascii="Times New Roman" w:hAnsi="Times New Roman" w:cs="Times New Roman"/>
        </w:rPr>
        <w:t xml:space="preserve"> Taliban (srpen 2004), UK Home Office (ministerstvo vnitra).</w:t>
      </w:r>
    </w:p>
  </w:footnote>
  <w:footnote w:id="6">
    <w:p w14:paraId="2C020F6B" w14:textId="77777777" w:rsidR="00DB2F70" w:rsidRPr="00724FE6" w:rsidRDefault="00DB2F70">
      <w:pPr>
        <w:pStyle w:val="Textpoznpodarou"/>
        <w:rPr>
          <w:rFonts w:ascii="Times New Roman" w:hAnsi="Times New Roman" w:cs="Times New Roman"/>
        </w:rPr>
      </w:pPr>
      <w:r w:rsidRPr="00724FE6">
        <w:rPr>
          <w:rStyle w:val="Znakapoznpodarou"/>
          <w:rFonts w:ascii="Times New Roman" w:hAnsi="Times New Roman" w:cs="Times New Roman"/>
        </w:rPr>
        <w:footnoteRef/>
      </w:r>
      <w:r w:rsidRPr="00724FE6">
        <w:rPr>
          <w:rFonts w:ascii="Times New Roman" w:hAnsi="Times New Roman" w:cs="Times New Roman"/>
        </w:rPr>
        <w:t xml:space="preserve"> Study on </w:t>
      </w:r>
      <w:proofErr w:type="spellStart"/>
      <w:r w:rsidRPr="00724FE6">
        <w:rPr>
          <w:rFonts w:ascii="Times New Roman" w:hAnsi="Times New Roman" w:cs="Times New Roman"/>
        </w:rPr>
        <w:t>the</w:t>
      </w:r>
      <w:proofErr w:type="spellEnd"/>
      <w:r w:rsidRPr="00724FE6">
        <w:rPr>
          <w:rFonts w:ascii="Times New Roman" w:hAnsi="Times New Roman" w:cs="Times New Roman"/>
        </w:rPr>
        <w:t xml:space="preserve"> </w:t>
      </w:r>
      <w:proofErr w:type="spellStart"/>
      <w:r w:rsidRPr="00724FE6">
        <w:rPr>
          <w:rFonts w:ascii="Times New Roman" w:hAnsi="Times New Roman" w:cs="Times New Roman"/>
        </w:rPr>
        <w:t>Cost</w:t>
      </w:r>
      <w:proofErr w:type="spellEnd"/>
      <w:r w:rsidRPr="00724FE6">
        <w:rPr>
          <w:rFonts w:ascii="Times New Roman" w:hAnsi="Times New Roman" w:cs="Times New Roman"/>
        </w:rPr>
        <w:t xml:space="preserve"> of Compliance </w:t>
      </w:r>
      <w:proofErr w:type="spellStart"/>
      <w:r w:rsidRPr="00724FE6">
        <w:rPr>
          <w:rFonts w:ascii="Times New Roman" w:hAnsi="Times New Roman" w:cs="Times New Roman"/>
        </w:rPr>
        <w:t>with</w:t>
      </w:r>
      <w:proofErr w:type="spellEnd"/>
      <w:r w:rsidRPr="00724FE6">
        <w:rPr>
          <w:rFonts w:ascii="Times New Roman" w:hAnsi="Times New Roman" w:cs="Times New Roman"/>
        </w:rPr>
        <w:t xml:space="preserve"> </w:t>
      </w:r>
      <w:proofErr w:type="spellStart"/>
      <w:r w:rsidRPr="00724FE6">
        <w:rPr>
          <w:rFonts w:ascii="Times New Roman" w:hAnsi="Times New Roman" w:cs="Times New Roman"/>
        </w:rPr>
        <w:t>Selected</w:t>
      </w:r>
      <w:proofErr w:type="spellEnd"/>
      <w:r w:rsidRPr="00724FE6">
        <w:rPr>
          <w:rFonts w:ascii="Times New Roman" w:hAnsi="Times New Roman" w:cs="Times New Roman"/>
        </w:rPr>
        <w:t xml:space="preserve"> FSAP </w:t>
      </w:r>
      <w:proofErr w:type="spellStart"/>
      <w:r w:rsidRPr="00724FE6">
        <w:rPr>
          <w:rFonts w:ascii="Times New Roman" w:hAnsi="Times New Roman" w:cs="Times New Roman"/>
        </w:rPr>
        <w:t>Measures</w:t>
      </w:r>
      <w:proofErr w:type="spellEnd"/>
      <w:r w:rsidRPr="00724FE6">
        <w:rPr>
          <w:rFonts w:ascii="Times New Roman" w:hAnsi="Times New Roman" w:cs="Times New Roman"/>
        </w:rPr>
        <w:t xml:space="preserve">, 5. ledna 2009, </w:t>
      </w:r>
      <w:proofErr w:type="spellStart"/>
      <w:r w:rsidRPr="00724FE6">
        <w:rPr>
          <w:rFonts w:ascii="Times New Roman" w:hAnsi="Times New Roman" w:cs="Times New Roman"/>
        </w:rPr>
        <w:t>Europe</w:t>
      </w:r>
      <w:proofErr w:type="spellEnd"/>
      <w:r w:rsidRPr="00724FE6">
        <w:rPr>
          <w:rFonts w:ascii="Times New Roman" w:hAnsi="Times New Roman" w:cs="Times New Roman"/>
        </w:rPr>
        <w:t xml:space="preserve"> </w:t>
      </w:r>
      <w:proofErr w:type="spellStart"/>
      <w:r w:rsidRPr="00724FE6">
        <w:rPr>
          <w:rFonts w:ascii="Times New Roman" w:hAnsi="Times New Roman" w:cs="Times New Roman"/>
        </w:rPr>
        <w:t>Economics</w:t>
      </w:r>
      <w:proofErr w:type="spellEnd"/>
    </w:p>
  </w:footnote>
  <w:footnote w:id="7">
    <w:p w14:paraId="66165256" w14:textId="77777777" w:rsidR="00DB2F70" w:rsidRPr="00427DE8" w:rsidRDefault="00DB2F70">
      <w:pPr>
        <w:pStyle w:val="Textpoznpodarou"/>
        <w:rPr>
          <w:rFonts w:ascii="Times New Roman" w:hAnsi="Times New Roman" w:cs="Times New Roman"/>
        </w:rPr>
      </w:pPr>
      <w:r w:rsidRPr="00427DE8">
        <w:rPr>
          <w:rStyle w:val="Znakapoznpodarou"/>
          <w:rFonts w:ascii="Times New Roman" w:hAnsi="Times New Roman" w:cs="Times New Roman"/>
        </w:rPr>
        <w:footnoteRef/>
      </w:r>
      <w:r w:rsidRPr="00427DE8">
        <w:rPr>
          <w:rFonts w:ascii="Times New Roman" w:hAnsi="Times New Roman" w:cs="Times New Roman"/>
        </w:rPr>
        <w:t xml:space="preserve"> Studie dopadů EK ke čtvrté AML směrnici, str. 44.</w:t>
      </w:r>
    </w:p>
  </w:footnote>
  <w:footnote w:id="8">
    <w:p w14:paraId="01619E9D" w14:textId="77777777" w:rsidR="00DB2F70" w:rsidRDefault="00DB2F70" w:rsidP="005E589A">
      <w:pPr>
        <w:pStyle w:val="Textpoznpodarou"/>
        <w:jc w:val="both"/>
      </w:pPr>
      <w:r>
        <w:rPr>
          <w:rStyle w:val="Znakapoznpodarou"/>
        </w:rPr>
        <w:footnoteRef/>
      </w:r>
      <w:r>
        <w:t xml:space="preserve"> </w:t>
      </w:r>
      <w:r w:rsidRPr="005E589A">
        <w:rPr>
          <w:rFonts w:ascii="Times New Roman" w:hAnsi="Times New Roman" w:cs="Times New Roman"/>
        </w:rPr>
        <w:t xml:space="preserve">Zpráva FAÚ za rok 2014 uvádí: FAÚ se také často setkává s případy, kdy je předmětem zájmu pachatele virtuální měna. V rámci kontrolní činnosti peněžního ústavu byla zachycena zahraniční platba ve prospěch nově otevřeného bankovního účtu osoby „EB“, která byla zasílána od jisté společnosti „BL“, která provozuje tržiště s virtuální měnou v Evropské unii a zprostředkovává obchody s touto </w:t>
      </w:r>
      <w:proofErr w:type="spellStart"/>
      <w:r w:rsidRPr="005E589A">
        <w:rPr>
          <w:rFonts w:ascii="Times New Roman" w:hAnsi="Times New Roman" w:cs="Times New Roman"/>
        </w:rPr>
        <w:t>kryptoměnou</w:t>
      </w:r>
      <w:proofErr w:type="spellEnd"/>
      <w:r w:rsidRPr="005E589A">
        <w:rPr>
          <w:rFonts w:ascii="Times New Roman" w:hAnsi="Times New Roman" w:cs="Times New Roman"/>
        </w:rPr>
        <w:t>. V rámci šetření bylo zjištěno, že platba je určena pro osobu „TJ“, přítele osoby „EB“. Z veřejných zdrojů bylo zjištěno, že jméno „TJ“ je zmiňováno v souvislosti s odcizením digitální měny z tržiště „SM“. Provozovatel tržiště „SM“ oznámil, že došlo k prolomení zabezpečení účtů hostovaných na serveru a odcizení virtuální měny. V internetových diskuzích bylo mimo jiné zmíněno i podezření, že virtuální měnu odcizil anonymní provozovatel tohoto tržitě a jako možný podezřelý je uváděno jméno „TJ“. V rámci šetření byly detekovány další platby v řádu statisíců a miliónů CZK směřující na účty „EB“ a „TJ“ a jeho otce od společnosti „BL“, které byly určeny mimo jiné i k nákupu nemovitosti. FAÚ ve věci podal trestní oznámení pro podezření z trestného činu legalizace výnosů z trestné činnosti dle § 216 trestního zákoníku.</w:t>
      </w:r>
    </w:p>
  </w:footnote>
  <w:footnote w:id="9">
    <w:p w14:paraId="190E99B2" w14:textId="77777777" w:rsidR="00DB2F70" w:rsidRPr="002F59F0" w:rsidRDefault="00DB2F70" w:rsidP="002F59F0">
      <w:pPr>
        <w:pStyle w:val="Textpoznpodarou"/>
        <w:jc w:val="both"/>
        <w:rPr>
          <w:rFonts w:ascii="Times New Roman" w:hAnsi="Times New Roman" w:cs="Times New Roman"/>
        </w:rPr>
      </w:pPr>
      <w:r w:rsidRPr="002F59F0">
        <w:rPr>
          <w:rStyle w:val="Znakapoznpodarou"/>
          <w:rFonts w:ascii="Times New Roman" w:hAnsi="Times New Roman" w:cs="Times New Roman"/>
        </w:rPr>
        <w:footnoteRef/>
      </w:r>
      <w:r w:rsidRPr="002F59F0">
        <w:rPr>
          <w:rFonts w:ascii="Times New Roman" w:hAnsi="Times New Roman" w:cs="Times New Roman"/>
        </w:rPr>
        <w:t xml:space="preserve"> </w:t>
      </w:r>
      <w:r>
        <w:rPr>
          <w:rFonts w:ascii="Times New Roman" w:hAnsi="Times New Roman" w:cs="Times New Roman"/>
        </w:rPr>
        <w:t xml:space="preserve">Jak bylo uvedeno výše, </w:t>
      </w:r>
      <w:r w:rsidRPr="002F59F0">
        <w:rPr>
          <w:rFonts w:ascii="Times New Roman" w:hAnsi="Times New Roman" w:cs="Times New Roman"/>
        </w:rPr>
        <w:t>Evropská komise při přípravě čtvrté AML směrnice učinila pokus kvantifikovat náklady podřízení se AML režimu u povinných osob a provedla v tomto směru rozsáhlou studii.  Výsledkem jsou opět přibližné údaje, přičemž metodologie, jimiž se k těmto údajům dospělo, nejsou nesporné.</w:t>
      </w:r>
      <w:r>
        <w:rPr>
          <w:rFonts w:ascii="Times New Roman" w:hAnsi="Times New Roman" w:cs="Times New Roman"/>
        </w:rPr>
        <w:t xml:space="preserve"> </w:t>
      </w:r>
    </w:p>
    <w:p w14:paraId="602AFF08" w14:textId="77777777" w:rsidR="00DB2F70" w:rsidRDefault="00DB2F70" w:rsidP="002F59F0">
      <w:pPr>
        <w:pStyle w:val="Textpoznpodarou"/>
        <w:jc w:val="both"/>
      </w:pPr>
      <w:r w:rsidRPr="002F59F0">
        <w:rPr>
          <w:rFonts w:ascii="Times New Roman" w:hAnsi="Times New Roman" w:cs="Times New Roman"/>
        </w:rPr>
        <w:t>Studie vypočítává celkové náklady podřízení se režimu AML na jednorázové náklady ve výši 4.588.000 EUR na každou banku (z toho 22 % školení zaměstnanců, 54 investice do IT, 11 % nák</w:t>
      </w:r>
      <w:r>
        <w:rPr>
          <w:rFonts w:ascii="Times New Roman" w:hAnsi="Times New Roman" w:cs="Times New Roman"/>
        </w:rPr>
        <w:t>l</w:t>
      </w:r>
      <w:r w:rsidRPr="002F59F0">
        <w:rPr>
          <w:rFonts w:ascii="Times New Roman" w:hAnsi="Times New Roman" w:cs="Times New Roman"/>
        </w:rPr>
        <w:t>ady konzultačních společností), a pravidelné roční náklady ve výši 1.195.000 EUR na každou banku (z toho 37 % personální náklady, 31 % IT, 13 % školení).  Studie se zabývala náklady, které vyplývaly z podřízení se režimu třetí AML směrnice, a není tedy relevantní pro kvantifikaci podřízení se režimu čtvrté AML směrnice, která jen dílčím způsobem stávající režim doplňuje. Přesto však mohou být tyto údaje ilustrativní, ačkoli z metodologického hlediska není jasné, zda studie dostatečně rozlišuje obecně náklady podřízení se regulatornímu režimu (tj. compliance obecně) a náklady podřízení se konkrétně AML režimu (tj. AML compliance).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0B29E" w14:textId="77777777" w:rsidR="00DB2F70" w:rsidRDefault="00DB2F70" w:rsidP="001C636F">
    <w:pPr>
      <w:jc w:val="right"/>
    </w:pPr>
    <w:proofErr w:type="spellStart"/>
    <w:r>
      <w:rPr>
        <w:rFonts w:ascii="Arial" w:hAnsi="Arial" w:cs="Arial"/>
        <w:b/>
        <w:sz w:val="24"/>
        <w:szCs w:val="24"/>
      </w:rPr>
      <w:t>IVa</w:t>
    </w:r>
    <w:proofErr w:type="spellEnd"/>
  </w:p>
  <w:p w14:paraId="46F3A2E4" w14:textId="77777777" w:rsidR="00DB2F70" w:rsidRDefault="00DB2F7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423E"/>
    <w:multiLevelType w:val="multilevel"/>
    <w:tmpl w:val="0405001F"/>
    <w:lvl w:ilvl="0">
      <w:start w:val="1"/>
      <w:numFmt w:val="decimal"/>
      <w:lvlText w:val="%1."/>
      <w:lvlJc w:val="left"/>
      <w:pPr>
        <w:ind w:left="928" w:hanging="360"/>
      </w:p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1">
    <w:nsid w:val="05333090"/>
    <w:multiLevelType w:val="hybridMultilevel"/>
    <w:tmpl w:val="48EE226A"/>
    <w:lvl w:ilvl="0" w:tplc="9ED02E0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1E52BE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5E143A"/>
    <w:multiLevelType w:val="hybridMultilevel"/>
    <w:tmpl w:val="5D526A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B753D0"/>
    <w:multiLevelType w:val="hybridMultilevel"/>
    <w:tmpl w:val="3A7C0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8971F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D0C6108"/>
    <w:multiLevelType w:val="hybridMultilevel"/>
    <w:tmpl w:val="E23EEDDC"/>
    <w:lvl w:ilvl="0" w:tplc="DF2064D6">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B67109A"/>
    <w:multiLevelType w:val="hybridMultilevel"/>
    <w:tmpl w:val="DFA8E39E"/>
    <w:lvl w:ilvl="0" w:tplc="04050005">
      <w:start w:val="1"/>
      <w:numFmt w:val="bullet"/>
      <w:lvlText w:val=""/>
      <w:lvlJc w:val="left"/>
      <w:pPr>
        <w:ind w:left="3600" w:hanging="360"/>
      </w:pPr>
      <w:rPr>
        <w:rFonts w:ascii="Wingdings" w:hAnsi="Wingdings"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8">
    <w:nsid w:val="64876898"/>
    <w:multiLevelType w:val="hybridMultilevel"/>
    <w:tmpl w:val="C02CC8E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E5F02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D2E28EB"/>
    <w:multiLevelType w:val="hybridMultilevel"/>
    <w:tmpl w:val="0964C4A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4"/>
  </w:num>
  <w:num w:numId="5">
    <w:abstractNumId w:val="7"/>
  </w:num>
  <w:num w:numId="6">
    <w:abstractNumId w:val="3"/>
  </w:num>
  <w:num w:numId="7">
    <w:abstractNumId w:val="8"/>
  </w:num>
  <w:num w:numId="8">
    <w:abstractNumId w:val="10"/>
  </w:num>
  <w:num w:numId="9">
    <w:abstractNumId w:val="5"/>
  </w:num>
  <w:num w:numId="10">
    <w:abstractNumId w:val="0"/>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samanek">
    <w15:presenceInfo w15:providerId="Windows Live" w15:userId="b2d127eee3bec4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184"/>
    <w:rsid w:val="00001FD0"/>
    <w:rsid w:val="000039C7"/>
    <w:rsid w:val="00012036"/>
    <w:rsid w:val="00017612"/>
    <w:rsid w:val="0002013B"/>
    <w:rsid w:val="0002031F"/>
    <w:rsid w:val="0002198D"/>
    <w:rsid w:val="00023CDE"/>
    <w:rsid w:val="000244EA"/>
    <w:rsid w:val="00025ADA"/>
    <w:rsid w:val="00026661"/>
    <w:rsid w:val="00040656"/>
    <w:rsid w:val="00040A65"/>
    <w:rsid w:val="0005444A"/>
    <w:rsid w:val="00057F9D"/>
    <w:rsid w:val="00061FCD"/>
    <w:rsid w:val="0006242C"/>
    <w:rsid w:val="000723F3"/>
    <w:rsid w:val="00077302"/>
    <w:rsid w:val="00077E84"/>
    <w:rsid w:val="00080F2C"/>
    <w:rsid w:val="00082F07"/>
    <w:rsid w:val="00090FE6"/>
    <w:rsid w:val="0009228B"/>
    <w:rsid w:val="00093D17"/>
    <w:rsid w:val="00093F8B"/>
    <w:rsid w:val="000A3CA1"/>
    <w:rsid w:val="000A57EC"/>
    <w:rsid w:val="000B4993"/>
    <w:rsid w:val="000C6886"/>
    <w:rsid w:val="000D0BC5"/>
    <w:rsid w:val="000E64C7"/>
    <w:rsid w:val="000E7D59"/>
    <w:rsid w:val="000F4BB4"/>
    <w:rsid w:val="000F534B"/>
    <w:rsid w:val="00111AE6"/>
    <w:rsid w:val="00112767"/>
    <w:rsid w:val="001164BF"/>
    <w:rsid w:val="001309E2"/>
    <w:rsid w:val="001325AD"/>
    <w:rsid w:val="001333EF"/>
    <w:rsid w:val="00143460"/>
    <w:rsid w:val="00154264"/>
    <w:rsid w:val="00155762"/>
    <w:rsid w:val="00157AEE"/>
    <w:rsid w:val="001618BE"/>
    <w:rsid w:val="00166AD4"/>
    <w:rsid w:val="00170200"/>
    <w:rsid w:val="00171408"/>
    <w:rsid w:val="00174D69"/>
    <w:rsid w:val="00176763"/>
    <w:rsid w:val="00190F17"/>
    <w:rsid w:val="00195EF1"/>
    <w:rsid w:val="001A0DCC"/>
    <w:rsid w:val="001A3944"/>
    <w:rsid w:val="001A5FEA"/>
    <w:rsid w:val="001B111C"/>
    <w:rsid w:val="001B3D07"/>
    <w:rsid w:val="001B3E10"/>
    <w:rsid w:val="001B5CF1"/>
    <w:rsid w:val="001C3268"/>
    <w:rsid w:val="001C5DC7"/>
    <w:rsid w:val="001C636F"/>
    <w:rsid w:val="001D141A"/>
    <w:rsid w:val="001D2B86"/>
    <w:rsid w:val="001D5B2D"/>
    <w:rsid w:val="001E0279"/>
    <w:rsid w:val="001F1D75"/>
    <w:rsid w:val="00210AFC"/>
    <w:rsid w:val="002271AF"/>
    <w:rsid w:val="0024588C"/>
    <w:rsid w:val="002476F1"/>
    <w:rsid w:val="002562DF"/>
    <w:rsid w:val="0025703E"/>
    <w:rsid w:val="0026007C"/>
    <w:rsid w:val="00261147"/>
    <w:rsid w:val="0026212D"/>
    <w:rsid w:val="00265029"/>
    <w:rsid w:val="00283236"/>
    <w:rsid w:val="00287AF2"/>
    <w:rsid w:val="002921AE"/>
    <w:rsid w:val="0029518D"/>
    <w:rsid w:val="002A20CF"/>
    <w:rsid w:val="002A26A5"/>
    <w:rsid w:val="002B0B4C"/>
    <w:rsid w:val="002B1718"/>
    <w:rsid w:val="002B51A8"/>
    <w:rsid w:val="002B5B53"/>
    <w:rsid w:val="002B72DD"/>
    <w:rsid w:val="002B7AD6"/>
    <w:rsid w:val="002C133A"/>
    <w:rsid w:val="002D67E2"/>
    <w:rsid w:val="002E0933"/>
    <w:rsid w:val="002E5081"/>
    <w:rsid w:val="002F12B9"/>
    <w:rsid w:val="002F59F0"/>
    <w:rsid w:val="002F7356"/>
    <w:rsid w:val="003006D6"/>
    <w:rsid w:val="003034C3"/>
    <w:rsid w:val="0030396B"/>
    <w:rsid w:val="00304CBE"/>
    <w:rsid w:val="00313E18"/>
    <w:rsid w:val="00316124"/>
    <w:rsid w:val="00316494"/>
    <w:rsid w:val="003165A6"/>
    <w:rsid w:val="00321968"/>
    <w:rsid w:val="00322293"/>
    <w:rsid w:val="003341F7"/>
    <w:rsid w:val="003347A9"/>
    <w:rsid w:val="003361D5"/>
    <w:rsid w:val="0034120E"/>
    <w:rsid w:val="00343C82"/>
    <w:rsid w:val="00345D22"/>
    <w:rsid w:val="00346563"/>
    <w:rsid w:val="00346CBB"/>
    <w:rsid w:val="0035486F"/>
    <w:rsid w:val="00354F2E"/>
    <w:rsid w:val="00355F50"/>
    <w:rsid w:val="003566A6"/>
    <w:rsid w:val="003678B7"/>
    <w:rsid w:val="0037117E"/>
    <w:rsid w:val="003837FE"/>
    <w:rsid w:val="003864D7"/>
    <w:rsid w:val="00387092"/>
    <w:rsid w:val="003915DC"/>
    <w:rsid w:val="0039395A"/>
    <w:rsid w:val="003A157A"/>
    <w:rsid w:val="003B2209"/>
    <w:rsid w:val="003C1535"/>
    <w:rsid w:val="003C4D4F"/>
    <w:rsid w:val="003C4F2D"/>
    <w:rsid w:val="003D0DF2"/>
    <w:rsid w:val="003D1575"/>
    <w:rsid w:val="003D1580"/>
    <w:rsid w:val="003D7CC0"/>
    <w:rsid w:val="003E261E"/>
    <w:rsid w:val="003F096C"/>
    <w:rsid w:val="003F176A"/>
    <w:rsid w:val="003F1A4F"/>
    <w:rsid w:val="003F2167"/>
    <w:rsid w:val="003F3180"/>
    <w:rsid w:val="003F3682"/>
    <w:rsid w:val="0040278F"/>
    <w:rsid w:val="0040290D"/>
    <w:rsid w:val="0040312F"/>
    <w:rsid w:val="0040534E"/>
    <w:rsid w:val="004116AB"/>
    <w:rsid w:val="00411DCC"/>
    <w:rsid w:val="00426861"/>
    <w:rsid w:val="00426C4C"/>
    <w:rsid w:val="00427DE8"/>
    <w:rsid w:val="00432A22"/>
    <w:rsid w:val="00442C63"/>
    <w:rsid w:val="004511A0"/>
    <w:rsid w:val="00456F61"/>
    <w:rsid w:val="00461DBF"/>
    <w:rsid w:val="00471732"/>
    <w:rsid w:val="00475C46"/>
    <w:rsid w:val="00476768"/>
    <w:rsid w:val="00483F72"/>
    <w:rsid w:val="00493A92"/>
    <w:rsid w:val="004A232D"/>
    <w:rsid w:val="004A498A"/>
    <w:rsid w:val="004B4662"/>
    <w:rsid w:val="004B50DA"/>
    <w:rsid w:val="004B6953"/>
    <w:rsid w:val="004C1349"/>
    <w:rsid w:val="004C3108"/>
    <w:rsid w:val="004C3870"/>
    <w:rsid w:val="004C5849"/>
    <w:rsid w:val="004C725D"/>
    <w:rsid w:val="004D3650"/>
    <w:rsid w:val="004D7650"/>
    <w:rsid w:val="004E034D"/>
    <w:rsid w:val="004F10B9"/>
    <w:rsid w:val="00502DBC"/>
    <w:rsid w:val="00507FDE"/>
    <w:rsid w:val="00511404"/>
    <w:rsid w:val="0051205F"/>
    <w:rsid w:val="00513A75"/>
    <w:rsid w:val="00520AFD"/>
    <w:rsid w:val="00520E35"/>
    <w:rsid w:val="005254A0"/>
    <w:rsid w:val="00531C41"/>
    <w:rsid w:val="00532713"/>
    <w:rsid w:val="0054088B"/>
    <w:rsid w:val="005441E4"/>
    <w:rsid w:val="00545370"/>
    <w:rsid w:val="00552CF9"/>
    <w:rsid w:val="00555D7A"/>
    <w:rsid w:val="005617FE"/>
    <w:rsid w:val="005740BB"/>
    <w:rsid w:val="005760B0"/>
    <w:rsid w:val="0058326A"/>
    <w:rsid w:val="00585FB5"/>
    <w:rsid w:val="005929D5"/>
    <w:rsid w:val="005A7E84"/>
    <w:rsid w:val="005B34E2"/>
    <w:rsid w:val="005B5E7E"/>
    <w:rsid w:val="005B7BD7"/>
    <w:rsid w:val="005C3C03"/>
    <w:rsid w:val="005C627B"/>
    <w:rsid w:val="005D7B4C"/>
    <w:rsid w:val="005E1148"/>
    <w:rsid w:val="005E589A"/>
    <w:rsid w:val="005F467C"/>
    <w:rsid w:val="005F6459"/>
    <w:rsid w:val="00605C79"/>
    <w:rsid w:val="006073D5"/>
    <w:rsid w:val="0061283A"/>
    <w:rsid w:val="00613744"/>
    <w:rsid w:val="0061587E"/>
    <w:rsid w:val="0061746B"/>
    <w:rsid w:val="00617ABD"/>
    <w:rsid w:val="006232F4"/>
    <w:rsid w:val="00626E65"/>
    <w:rsid w:val="00635B17"/>
    <w:rsid w:val="0063750E"/>
    <w:rsid w:val="00640EE4"/>
    <w:rsid w:val="006511BF"/>
    <w:rsid w:val="00652193"/>
    <w:rsid w:val="00653C26"/>
    <w:rsid w:val="00655836"/>
    <w:rsid w:val="006576F3"/>
    <w:rsid w:val="006602C7"/>
    <w:rsid w:val="00660423"/>
    <w:rsid w:val="00660910"/>
    <w:rsid w:val="00662A35"/>
    <w:rsid w:val="0067012D"/>
    <w:rsid w:val="00675659"/>
    <w:rsid w:val="00676D60"/>
    <w:rsid w:val="00677BD3"/>
    <w:rsid w:val="006A00DC"/>
    <w:rsid w:val="006A1514"/>
    <w:rsid w:val="006A560E"/>
    <w:rsid w:val="006A7100"/>
    <w:rsid w:val="006B52D1"/>
    <w:rsid w:val="006B7514"/>
    <w:rsid w:val="006C12FB"/>
    <w:rsid w:val="006C5C5E"/>
    <w:rsid w:val="006C5E11"/>
    <w:rsid w:val="006E045F"/>
    <w:rsid w:val="006E39F9"/>
    <w:rsid w:val="006E3B5D"/>
    <w:rsid w:val="006E77F4"/>
    <w:rsid w:val="006F04D1"/>
    <w:rsid w:val="006F58B5"/>
    <w:rsid w:val="00705B38"/>
    <w:rsid w:val="00713CD0"/>
    <w:rsid w:val="00716E1E"/>
    <w:rsid w:val="00717BEF"/>
    <w:rsid w:val="007232C5"/>
    <w:rsid w:val="00724FE6"/>
    <w:rsid w:val="00725843"/>
    <w:rsid w:val="007275B0"/>
    <w:rsid w:val="0073466C"/>
    <w:rsid w:val="00746479"/>
    <w:rsid w:val="00747B2E"/>
    <w:rsid w:val="00751861"/>
    <w:rsid w:val="00756E1A"/>
    <w:rsid w:val="00757D82"/>
    <w:rsid w:val="00762E17"/>
    <w:rsid w:val="00764C26"/>
    <w:rsid w:val="00767D70"/>
    <w:rsid w:val="00773E62"/>
    <w:rsid w:val="00775913"/>
    <w:rsid w:val="007831E5"/>
    <w:rsid w:val="00784F59"/>
    <w:rsid w:val="00785039"/>
    <w:rsid w:val="00785F93"/>
    <w:rsid w:val="007D064E"/>
    <w:rsid w:val="007D0954"/>
    <w:rsid w:val="007D39EA"/>
    <w:rsid w:val="007D481D"/>
    <w:rsid w:val="007F0605"/>
    <w:rsid w:val="007F1DC1"/>
    <w:rsid w:val="007F2C56"/>
    <w:rsid w:val="007F3EB4"/>
    <w:rsid w:val="00800020"/>
    <w:rsid w:val="00805D1E"/>
    <w:rsid w:val="00813ED5"/>
    <w:rsid w:val="00820F21"/>
    <w:rsid w:val="008234CA"/>
    <w:rsid w:val="008305F1"/>
    <w:rsid w:val="00832DCE"/>
    <w:rsid w:val="00840DFF"/>
    <w:rsid w:val="008422DC"/>
    <w:rsid w:val="00851432"/>
    <w:rsid w:val="00856EEB"/>
    <w:rsid w:val="008617FA"/>
    <w:rsid w:val="0086375F"/>
    <w:rsid w:val="00874B14"/>
    <w:rsid w:val="008845E0"/>
    <w:rsid w:val="008878D3"/>
    <w:rsid w:val="00897206"/>
    <w:rsid w:val="00897931"/>
    <w:rsid w:val="008C46AE"/>
    <w:rsid w:val="008C6D43"/>
    <w:rsid w:val="008D4736"/>
    <w:rsid w:val="008E2499"/>
    <w:rsid w:val="008E3E3A"/>
    <w:rsid w:val="008E5BC1"/>
    <w:rsid w:val="008F2053"/>
    <w:rsid w:val="008F252E"/>
    <w:rsid w:val="0090125B"/>
    <w:rsid w:val="00902F38"/>
    <w:rsid w:val="009070B1"/>
    <w:rsid w:val="00923CAD"/>
    <w:rsid w:val="009252FB"/>
    <w:rsid w:val="0092647B"/>
    <w:rsid w:val="0093045D"/>
    <w:rsid w:val="00940520"/>
    <w:rsid w:val="00940DCC"/>
    <w:rsid w:val="00943C3D"/>
    <w:rsid w:val="00946A3E"/>
    <w:rsid w:val="009577D5"/>
    <w:rsid w:val="00961843"/>
    <w:rsid w:val="009620ED"/>
    <w:rsid w:val="00962382"/>
    <w:rsid w:val="00963E39"/>
    <w:rsid w:val="00973601"/>
    <w:rsid w:val="0099208B"/>
    <w:rsid w:val="00992AAE"/>
    <w:rsid w:val="0099491A"/>
    <w:rsid w:val="00994B2F"/>
    <w:rsid w:val="009968F9"/>
    <w:rsid w:val="009973E5"/>
    <w:rsid w:val="009A23C9"/>
    <w:rsid w:val="009A6E20"/>
    <w:rsid w:val="009A7656"/>
    <w:rsid w:val="009C1E0E"/>
    <w:rsid w:val="009C737E"/>
    <w:rsid w:val="009D0408"/>
    <w:rsid w:val="009D4225"/>
    <w:rsid w:val="009E146E"/>
    <w:rsid w:val="009E3B90"/>
    <w:rsid w:val="009F017F"/>
    <w:rsid w:val="009F1BDE"/>
    <w:rsid w:val="009F1F8F"/>
    <w:rsid w:val="009F2E75"/>
    <w:rsid w:val="009F5D5C"/>
    <w:rsid w:val="009F6537"/>
    <w:rsid w:val="009F65DD"/>
    <w:rsid w:val="009F6DB1"/>
    <w:rsid w:val="00A00728"/>
    <w:rsid w:val="00A03129"/>
    <w:rsid w:val="00A03EF4"/>
    <w:rsid w:val="00A04BDD"/>
    <w:rsid w:val="00A066E8"/>
    <w:rsid w:val="00A226C9"/>
    <w:rsid w:val="00A3039B"/>
    <w:rsid w:val="00A334BD"/>
    <w:rsid w:val="00A41759"/>
    <w:rsid w:val="00A427EE"/>
    <w:rsid w:val="00A438BD"/>
    <w:rsid w:val="00A47486"/>
    <w:rsid w:val="00A549F5"/>
    <w:rsid w:val="00A54C5C"/>
    <w:rsid w:val="00A5644D"/>
    <w:rsid w:val="00A57D8D"/>
    <w:rsid w:val="00A67506"/>
    <w:rsid w:val="00A7175B"/>
    <w:rsid w:val="00A763B0"/>
    <w:rsid w:val="00A818C7"/>
    <w:rsid w:val="00A8208C"/>
    <w:rsid w:val="00A82BCE"/>
    <w:rsid w:val="00A83376"/>
    <w:rsid w:val="00A84714"/>
    <w:rsid w:val="00A86732"/>
    <w:rsid w:val="00A90607"/>
    <w:rsid w:val="00A919B2"/>
    <w:rsid w:val="00A91CD3"/>
    <w:rsid w:val="00AA1D39"/>
    <w:rsid w:val="00AA4788"/>
    <w:rsid w:val="00AA5D97"/>
    <w:rsid w:val="00AB5AF1"/>
    <w:rsid w:val="00AC0884"/>
    <w:rsid w:val="00AC6D51"/>
    <w:rsid w:val="00AD7D07"/>
    <w:rsid w:val="00AE02E9"/>
    <w:rsid w:val="00AE22C0"/>
    <w:rsid w:val="00AE4525"/>
    <w:rsid w:val="00AE5D1A"/>
    <w:rsid w:val="00AF2B91"/>
    <w:rsid w:val="00AF6916"/>
    <w:rsid w:val="00B0335D"/>
    <w:rsid w:val="00B07D98"/>
    <w:rsid w:val="00B16197"/>
    <w:rsid w:val="00B17A29"/>
    <w:rsid w:val="00B21264"/>
    <w:rsid w:val="00B2285C"/>
    <w:rsid w:val="00B24FE7"/>
    <w:rsid w:val="00B27DDE"/>
    <w:rsid w:val="00B3050B"/>
    <w:rsid w:val="00B31415"/>
    <w:rsid w:val="00B32A75"/>
    <w:rsid w:val="00B34BBB"/>
    <w:rsid w:val="00B41358"/>
    <w:rsid w:val="00B47655"/>
    <w:rsid w:val="00B50B0F"/>
    <w:rsid w:val="00B52124"/>
    <w:rsid w:val="00B66D21"/>
    <w:rsid w:val="00B72FE1"/>
    <w:rsid w:val="00B744DC"/>
    <w:rsid w:val="00B76DB8"/>
    <w:rsid w:val="00B80BE9"/>
    <w:rsid w:val="00B81BC5"/>
    <w:rsid w:val="00B81FDB"/>
    <w:rsid w:val="00B8362C"/>
    <w:rsid w:val="00B85674"/>
    <w:rsid w:val="00B87FA2"/>
    <w:rsid w:val="00B913FA"/>
    <w:rsid w:val="00B9289A"/>
    <w:rsid w:val="00B94CF3"/>
    <w:rsid w:val="00B94D94"/>
    <w:rsid w:val="00BA05B6"/>
    <w:rsid w:val="00BA1DDF"/>
    <w:rsid w:val="00BA3609"/>
    <w:rsid w:val="00BA404C"/>
    <w:rsid w:val="00BB1FAB"/>
    <w:rsid w:val="00BB2935"/>
    <w:rsid w:val="00BB298E"/>
    <w:rsid w:val="00BC5E60"/>
    <w:rsid w:val="00BD0BD5"/>
    <w:rsid w:val="00BD190B"/>
    <w:rsid w:val="00BE080A"/>
    <w:rsid w:val="00BE51F3"/>
    <w:rsid w:val="00BF3881"/>
    <w:rsid w:val="00C0003E"/>
    <w:rsid w:val="00C13990"/>
    <w:rsid w:val="00C172DF"/>
    <w:rsid w:val="00C255DA"/>
    <w:rsid w:val="00C27FD6"/>
    <w:rsid w:val="00C348A7"/>
    <w:rsid w:val="00C4147D"/>
    <w:rsid w:val="00C42CE5"/>
    <w:rsid w:val="00C60BC4"/>
    <w:rsid w:val="00C63A24"/>
    <w:rsid w:val="00C64071"/>
    <w:rsid w:val="00C66E07"/>
    <w:rsid w:val="00C67289"/>
    <w:rsid w:val="00C67989"/>
    <w:rsid w:val="00C80F46"/>
    <w:rsid w:val="00C85482"/>
    <w:rsid w:val="00C867F2"/>
    <w:rsid w:val="00C915D8"/>
    <w:rsid w:val="00C9580F"/>
    <w:rsid w:val="00C96463"/>
    <w:rsid w:val="00C96AF2"/>
    <w:rsid w:val="00CA03BD"/>
    <w:rsid w:val="00CA1D00"/>
    <w:rsid w:val="00CA2CA3"/>
    <w:rsid w:val="00CA3F88"/>
    <w:rsid w:val="00CA41A3"/>
    <w:rsid w:val="00CA4BFA"/>
    <w:rsid w:val="00CA5129"/>
    <w:rsid w:val="00CA5D33"/>
    <w:rsid w:val="00CA7DC6"/>
    <w:rsid w:val="00CB01FF"/>
    <w:rsid w:val="00CB4245"/>
    <w:rsid w:val="00CB63FC"/>
    <w:rsid w:val="00CC2F92"/>
    <w:rsid w:val="00CE4871"/>
    <w:rsid w:val="00CF23C8"/>
    <w:rsid w:val="00CF4B7E"/>
    <w:rsid w:val="00CF5D1E"/>
    <w:rsid w:val="00D016A2"/>
    <w:rsid w:val="00D102B5"/>
    <w:rsid w:val="00D103F0"/>
    <w:rsid w:val="00D12774"/>
    <w:rsid w:val="00D17588"/>
    <w:rsid w:val="00D177A9"/>
    <w:rsid w:val="00D21C5E"/>
    <w:rsid w:val="00D275F2"/>
    <w:rsid w:val="00D33220"/>
    <w:rsid w:val="00D34476"/>
    <w:rsid w:val="00D37FBD"/>
    <w:rsid w:val="00D4781D"/>
    <w:rsid w:val="00D54C2E"/>
    <w:rsid w:val="00D646F5"/>
    <w:rsid w:val="00D64D66"/>
    <w:rsid w:val="00D724AC"/>
    <w:rsid w:val="00D74A33"/>
    <w:rsid w:val="00D829B7"/>
    <w:rsid w:val="00D94FAE"/>
    <w:rsid w:val="00DA4E90"/>
    <w:rsid w:val="00DA63C7"/>
    <w:rsid w:val="00DB2F70"/>
    <w:rsid w:val="00DB6195"/>
    <w:rsid w:val="00DC02EA"/>
    <w:rsid w:val="00DC093F"/>
    <w:rsid w:val="00DC4F44"/>
    <w:rsid w:val="00DC77BA"/>
    <w:rsid w:val="00DD2E4B"/>
    <w:rsid w:val="00DD51B5"/>
    <w:rsid w:val="00DD6944"/>
    <w:rsid w:val="00DF70EC"/>
    <w:rsid w:val="00E02769"/>
    <w:rsid w:val="00E10F17"/>
    <w:rsid w:val="00E1114E"/>
    <w:rsid w:val="00E1798A"/>
    <w:rsid w:val="00E2125B"/>
    <w:rsid w:val="00E22259"/>
    <w:rsid w:val="00E40488"/>
    <w:rsid w:val="00E51D51"/>
    <w:rsid w:val="00E56350"/>
    <w:rsid w:val="00E64849"/>
    <w:rsid w:val="00E66547"/>
    <w:rsid w:val="00E700BF"/>
    <w:rsid w:val="00E731E1"/>
    <w:rsid w:val="00E81C3B"/>
    <w:rsid w:val="00E846A5"/>
    <w:rsid w:val="00E87D25"/>
    <w:rsid w:val="00E90808"/>
    <w:rsid w:val="00E91390"/>
    <w:rsid w:val="00E943DA"/>
    <w:rsid w:val="00E97BEE"/>
    <w:rsid w:val="00EA271F"/>
    <w:rsid w:val="00EA4A15"/>
    <w:rsid w:val="00EA5005"/>
    <w:rsid w:val="00EA58D8"/>
    <w:rsid w:val="00EB24D3"/>
    <w:rsid w:val="00EB4DF9"/>
    <w:rsid w:val="00EC4A52"/>
    <w:rsid w:val="00EC591A"/>
    <w:rsid w:val="00EC5D1C"/>
    <w:rsid w:val="00EC7943"/>
    <w:rsid w:val="00ED099D"/>
    <w:rsid w:val="00ED2C5F"/>
    <w:rsid w:val="00ED34E0"/>
    <w:rsid w:val="00EE3B92"/>
    <w:rsid w:val="00EE5223"/>
    <w:rsid w:val="00EF1C5D"/>
    <w:rsid w:val="00EF6DDB"/>
    <w:rsid w:val="00EF7F98"/>
    <w:rsid w:val="00F02A7C"/>
    <w:rsid w:val="00F032F2"/>
    <w:rsid w:val="00F107CC"/>
    <w:rsid w:val="00F11374"/>
    <w:rsid w:val="00F12058"/>
    <w:rsid w:val="00F14184"/>
    <w:rsid w:val="00F15ADC"/>
    <w:rsid w:val="00F27234"/>
    <w:rsid w:val="00F359F8"/>
    <w:rsid w:val="00F40A4D"/>
    <w:rsid w:val="00F54F8E"/>
    <w:rsid w:val="00F56091"/>
    <w:rsid w:val="00F63479"/>
    <w:rsid w:val="00F670AF"/>
    <w:rsid w:val="00F719E0"/>
    <w:rsid w:val="00F80A8E"/>
    <w:rsid w:val="00F820B9"/>
    <w:rsid w:val="00F82B42"/>
    <w:rsid w:val="00F83FCF"/>
    <w:rsid w:val="00F85284"/>
    <w:rsid w:val="00F86B85"/>
    <w:rsid w:val="00F9065C"/>
    <w:rsid w:val="00F92A78"/>
    <w:rsid w:val="00FB0025"/>
    <w:rsid w:val="00FB101B"/>
    <w:rsid w:val="00FB1397"/>
    <w:rsid w:val="00FB23E5"/>
    <w:rsid w:val="00FB7CAE"/>
    <w:rsid w:val="00FC4B55"/>
    <w:rsid w:val="00FD0613"/>
    <w:rsid w:val="00FD54F2"/>
    <w:rsid w:val="00FF1D6A"/>
    <w:rsid w:val="00FF304C"/>
    <w:rsid w:val="00FF317E"/>
    <w:rsid w:val="00FF4651"/>
    <w:rsid w:val="00FF56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4F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C73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737E"/>
  </w:style>
  <w:style w:type="paragraph" w:styleId="Zpat">
    <w:name w:val="footer"/>
    <w:basedOn w:val="Normln"/>
    <w:link w:val="ZpatChar"/>
    <w:uiPriority w:val="99"/>
    <w:unhideWhenUsed/>
    <w:rsid w:val="009C737E"/>
    <w:pPr>
      <w:tabs>
        <w:tab w:val="center" w:pos="4536"/>
        <w:tab w:val="right" w:pos="9072"/>
      </w:tabs>
      <w:spacing w:after="0" w:line="240" w:lineRule="auto"/>
    </w:pPr>
  </w:style>
  <w:style w:type="character" w:customStyle="1" w:styleId="ZpatChar">
    <w:name w:val="Zápatí Char"/>
    <w:basedOn w:val="Standardnpsmoodstavce"/>
    <w:link w:val="Zpat"/>
    <w:uiPriority w:val="99"/>
    <w:rsid w:val="009C737E"/>
  </w:style>
  <w:style w:type="paragraph" w:styleId="Odstavecseseznamem">
    <w:name w:val="List Paragraph"/>
    <w:basedOn w:val="Normln"/>
    <w:uiPriority w:val="34"/>
    <w:qFormat/>
    <w:rsid w:val="009C737E"/>
    <w:pPr>
      <w:spacing w:after="0" w:line="240" w:lineRule="auto"/>
      <w:ind w:left="720" w:firstLine="851"/>
      <w:contextualSpacing/>
      <w:jc w:val="both"/>
    </w:pPr>
    <w:rPr>
      <w:rFonts w:ascii="Calibri" w:eastAsia="Calibri" w:hAnsi="Calibri" w:cs="Times New Roman"/>
    </w:rPr>
  </w:style>
  <w:style w:type="table" w:styleId="Mkatabulky">
    <w:name w:val="Table Grid"/>
    <w:basedOn w:val="Normlntabulka"/>
    <w:uiPriority w:val="39"/>
    <w:rsid w:val="006A0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47173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71732"/>
    <w:rPr>
      <w:sz w:val="20"/>
      <w:szCs w:val="20"/>
    </w:rPr>
  </w:style>
  <w:style w:type="character" w:styleId="Znakapoznpodarou">
    <w:name w:val="footnote reference"/>
    <w:basedOn w:val="Standardnpsmoodstavce"/>
    <w:uiPriority w:val="99"/>
    <w:semiHidden/>
    <w:unhideWhenUsed/>
    <w:rsid w:val="00471732"/>
    <w:rPr>
      <w:vertAlign w:val="superscript"/>
    </w:rPr>
  </w:style>
  <w:style w:type="character" w:styleId="Hypertextovodkaz">
    <w:name w:val="Hyperlink"/>
    <w:basedOn w:val="Standardnpsmoodstavce"/>
    <w:uiPriority w:val="99"/>
    <w:unhideWhenUsed/>
    <w:rsid w:val="009F017F"/>
    <w:rPr>
      <w:color w:val="0000FF"/>
      <w:u w:val="single"/>
    </w:rPr>
  </w:style>
  <w:style w:type="paragraph" w:styleId="Normlnweb">
    <w:name w:val="Normal (Web)"/>
    <w:basedOn w:val="Normln"/>
    <w:uiPriority w:val="99"/>
    <w:unhideWhenUsed/>
    <w:rsid w:val="009F017F"/>
    <w:pPr>
      <w:spacing w:before="100" w:beforeAutospacing="1" w:after="100" w:afterAutospacing="1" w:line="240" w:lineRule="auto"/>
    </w:pPr>
    <w:rPr>
      <w:rFonts w:ascii="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D67E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D67E2"/>
    <w:rPr>
      <w:rFonts w:ascii="Tahoma" w:hAnsi="Tahoma" w:cs="Tahoma"/>
      <w:sz w:val="16"/>
      <w:szCs w:val="16"/>
    </w:rPr>
  </w:style>
  <w:style w:type="character" w:styleId="Odkaznakoment">
    <w:name w:val="annotation reference"/>
    <w:basedOn w:val="Standardnpsmoodstavce"/>
    <w:uiPriority w:val="99"/>
    <w:semiHidden/>
    <w:unhideWhenUsed/>
    <w:rsid w:val="002D67E2"/>
    <w:rPr>
      <w:sz w:val="16"/>
      <w:szCs w:val="16"/>
    </w:rPr>
  </w:style>
  <w:style w:type="paragraph" w:styleId="Textkomente">
    <w:name w:val="annotation text"/>
    <w:basedOn w:val="Normln"/>
    <w:link w:val="TextkomenteChar"/>
    <w:uiPriority w:val="99"/>
    <w:unhideWhenUsed/>
    <w:rsid w:val="002D67E2"/>
    <w:pPr>
      <w:spacing w:line="240" w:lineRule="auto"/>
    </w:pPr>
    <w:rPr>
      <w:sz w:val="20"/>
      <w:szCs w:val="20"/>
    </w:rPr>
  </w:style>
  <w:style w:type="character" w:customStyle="1" w:styleId="TextkomenteChar">
    <w:name w:val="Text komentáře Char"/>
    <w:basedOn w:val="Standardnpsmoodstavce"/>
    <w:link w:val="Textkomente"/>
    <w:uiPriority w:val="99"/>
    <w:rsid w:val="002D67E2"/>
    <w:rPr>
      <w:sz w:val="20"/>
      <w:szCs w:val="20"/>
    </w:rPr>
  </w:style>
  <w:style w:type="paragraph" w:styleId="Pedmtkomente">
    <w:name w:val="annotation subject"/>
    <w:basedOn w:val="Textkomente"/>
    <w:next w:val="Textkomente"/>
    <w:link w:val="PedmtkomenteChar"/>
    <w:uiPriority w:val="99"/>
    <w:semiHidden/>
    <w:unhideWhenUsed/>
    <w:rsid w:val="002D67E2"/>
    <w:rPr>
      <w:b/>
      <w:bCs/>
    </w:rPr>
  </w:style>
  <w:style w:type="character" w:customStyle="1" w:styleId="PedmtkomenteChar">
    <w:name w:val="Předmět komentáře Char"/>
    <w:basedOn w:val="TextkomenteChar"/>
    <w:link w:val="Pedmtkomente"/>
    <w:uiPriority w:val="99"/>
    <w:semiHidden/>
    <w:rsid w:val="002D67E2"/>
    <w:rPr>
      <w:b/>
      <w:bCs/>
      <w:sz w:val="20"/>
      <w:szCs w:val="20"/>
    </w:rPr>
  </w:style>
  <w:style w:type="paragraph" w:customStyle="1" w:styleId="Text">
    <w:name w:val="Text"/>
    <w:rsid w:val="00017612"/>
    <w:pPr>
      <w:pBdr>
        <w:top w:val="nil"/>
        <w:left w:val="nil"/>
        <w:bottom w:val="nil"/>
        <w:right w:val="nil"/>
        <w:between w:val="nil"/>
        <w:bar w:val="nil"/>
      </w:pBdr>
      <w:spacing w:before="160" w:after="0" w:line="288" w:lineRule="auto"/>
    </w:pPr>
    <w:rPr>
      <w:rFonts w:ascii="Helvetica" w:eastAsia="Arial Unicode MS" w:hAnsi="Arial Unicode MS" w:cs="Arial Unicode MS"/>
      <w:color w:val="000000"/>
      <w:sz w:val="24"/>
      <w:szCs w:val="24"/>
      <w:bdr w:val="ni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C73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737E"/>
  </w:style>
  <w:style w:type="paragraph" w:styleId="Zpat">
    <w:name w:val="footer"/>
    <w:basedOn w:val="Normln"/>
    <w:link w:val="ZpatChar"/>
    <w:uiPriority w:val="99"/>
    <w:unhideWhenUsed/>
    <w:rsid w:val="009C737E"/>
    <w:pPr>
      <w:tabs>
        <w:tab w:val="center" w:pos="4536"/>
        <w:tab w:val="right" w:pos="9072"/>
      </w:tabs>
      <w:spacing w:after="0" w:line="240" w:lineRule="auto"/>
    </w:pPr>
  </w:style>
  <w:style w:type="character" w:customStyle="1" w:styleId="ZpatChar">
    <w:name w:val="Zápatí Char"/>
    <w:basedOn w:val="Standardnpsmoodstavce"/>
    <w:link w:val="Zpat"/>
    <w:uiPriority w:val="99"/>
    <w:rsid w:val="009C737E"/>
  </w:style>
  <w:style w:type="paragraph" w:styleId="Odstavecseseznamem">
    <w:name w:val="List Paragraph"/>
    <w:basedOn w:val="Normln"/>
    <w:uiPriority w:val="34"/>
    <w:qFormat/>
    <w:rsid w:val="009C737E"/>
    <w:pPr>
      <w:spacing w:after="0" w:line="240" w:lineRule="auto"/>
      <w:ind w:left="720" w:firstLine="851"/>
      <w:contextualSpacing/>
      <w:jc w:val="both"/>
    </w:pPr>
    <w:rPr>
      <w:rFonts w:ascii="Calibri" w:eastAsia="Calibri" w:hAnsi="Calibri" w:cs="Times New Roman"/>
    </w:rPr>
  </w:style>
  <w:style w:type="table" w:styleId="Mkatabulky">
    <w:name w:val="Table Grid"/>
    <w:basedOn w:val="Normlntabulka"/>
    <w:uiPriority w:val="39"/>
    <w:rsid w:val="006A0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47173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71732"/>
    <w:rPr>
      <w:sz w:val="20"/>
      <w:szCs w:val="20"/>
    </w:rPr>
  </w:style>
  <w:style w:type="character" w:styleId="Znakapoznpodarou">
    <w:name w:val="footnote reference"/>
    <w:basedOn w:val="Standardnpsmoodstavce"/>
    <w:uiPriority w:val="99"/>
    <w:semiHidden/>
    <w:unhideWhenUsed/>
    <w:rsid w:val="00471732"/>
    <w:rPr>
      <w:vertAlign w:val="superscript"/>
    </w:rPr>
  </w:style>
  <w:style w:type="character" w:styleId="Hypertextovodkaz">
    <w:name w:val="Hyperlink"/>
    <w:basedOn w:val="Standardnpsmoodstavce"/>
    <w:uiPriority w:val="99"/>
    <w:unhideWhenUsed/>
    <w:rsid w:val="009F017F"/>
    <w:rPr>
      <w:color w:val="0000FF"/>
      <w:u w:val="single"/>
    </w:rPr>
  </w:style>
  <w:style w:type="paragraph" w:styleId="Normlnweb">
    <w:name w:val="Normal (Web)"/>
    <w:basedOn w:val="Normln"/>
    <w:uiPriority w:val="99"/>
    <w:unhideWhenUsed/>
    <w:rsid w:val="009F017F"/>
    <w:pPr>
      <w:spacing w:before="100" w:beforeAutospacing="1" w:after="100" w:afterAutospacing="1" w:line="240" w:lineRule="auto"/>
    </w:pPr>
    <w:rPr>
      <w:rFonts w:ascii="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D67E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D67E2"/>
    <w:rPr>
      <w:rFonts w:ascii="Tahoma" w:hAnsi="Tahoma" w:cs="Tahoma"/>
      <w:sz w:val="16"/>
      <w:szCs w:val="16"/>
    </w:rPr>
  </w:style>
  <w:style w:type="character" w:styleId="Odkaznakoment">
    <w:name w:val="annotation reference"/>
    <w:basedOn w:val="Standardnpsmoodstavce"/>
    <w:uiPriority w:val="99"/>
    <w:semiHidden/>
    <w:unhideWhenUsed/>
    <w:rsid w:val="002D67E2"/>
    <w:rPr>
      <w:sz w:val="16"/>
      <w:szCs w:val="16"/>
    </w:rPr>
  </w:style>
  <w:style w:type="paragraph" w:styleId="Textkomente">
    <w:name w:val="annotation text"/>
    <w:basedOn w:val="Normln"/>
    <w:link w:val="TextkomenteChar"/>
    <w:uiPriority w:val="99"/>
    <w:unhideWhenUsed/>
    <w:rsid w:val="002D67E2"/>
    <w:pPr>
      <w:spacing w:line="240" w:lineRule="auto"/>
    </w:pPr>
    <w:rPr>
      <w:sz w:val="20"/>
      <w:szCs w:val="20"/>
    </w:rPr>
  </w:style>
  <w:style w:type="character" w:customStyle="1" w:styleId="TextkomenteChar">
    <w:name w:val="Text komentáře Char"/>
    <w:basedOn w:val="Standardnpsmoodstavce"/>
    <w:link w:val="Textkomente"/>
    <w:uiPriority w:val="99"/>
    <w:rsid w:val="002D67E2"/>
    <w:rPr>
      <w:sz w:val="20"/>
      <w:szCs w:val="20"/>
    </w:rPr>
  </w:style>
  <w:style w:type="paragraph" w:styleId="Pedmtkomente">
    <w:name w:val="annotation subject"/>
    <w:basedOn w:val="Textkomente"/>
    <w:next w:val="Textkomente"/>
    <w:link w:val="PedmtkomenteChar"/>
    <w:uiPriority w:val="99"/>
    <w:semiHidden/>
    <w:unhideWhenUsed/>
    <w:rsid w:val="002D67E2"/>
    <w:rPr>
      <w:b/>
      <w:bCs/>
    </w:rPr>
  </w:style>
  <w:style w:type="character" w:customStyle="1" w:styleId="PedmtkomenteChar">
    <w:name w:val="Předmět komentáře Char"/>
    <w:basedOn w:val="TextkomenteChar"/>
    <w:link w:val="Pedmtkomente"/>
    <w:uiPriority w:val="99"/>
    <w:semiHidden/>
    <w:rsid w:val="002D67E2"/>
    <w:rPr>
      <w:b/>
      <w:bCs/>
      <w:sz w:val="20"/>
      <w:szCs w:val="20"/>
    </w:rPr>
  </w:style>
  <w:style w:type="paragraph" w:customStyle="1" w:styleId="Text">
    <w:name w:val="Text"/>
    <w:rsid w:val="00017612"/>
    <w:pPr>
      <w:pBdr>
        <w:top w:val="nil"/>
        <w:left w:val="nil"/>
        <w:bottom w:val="nil"/>
        <w:right w:val="nil"/>
        <w:between w:val="nil"/>
        <w:bar w:val="nil"/>
      </w:pBdr>
      <w:spacing w:before="160" w:after="0" w:line="288" w:lineRule="auto"/>
    </w:pPr>
    <w:rPr>
      <w:rFonts w:ascii="Helvetica" w:eastAsia="Arial Unicode MS" w:hAnsi="Arial Unicode MS" w:cs="Arial Unicode MS"/>
      <w:color w:val="000000"/>
      <w:sz w:val="24"/>
      <w:szCs w:val="24"/>
      <w:bdr w:val="ni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etrhlin@gmail.com" TargetMode="External"/><Relationship Id="rId4" Type="http://schemas.microsoft.com/office/2007/relationships/stylesWithEffects" Target="stylesWithEffects.xml"/><Relationship Id="rId9" Type="http://schemas.openxmlformats.org/officeDocument/2006/relationships/hyperlink" Target="mailto:jan.samanek@gmail.com"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31D2-A626-4A2F-8F1D-00BDF46FC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10314</Words>
  <Characters>60857</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Šamánková</dc:creator>
  <cp:lastModifiedBy>Katolická Michaela</cp:lastModifiedBy>
  <cp:revision>5</cp:revision>
  <cp:lastPrinted>2015-05-04T09:13:00Z</cp:lastPrinted>
  <dcterms:created xsi:type="dcterms:W3CDTF">2015-09-22T07:34:00Z</dcterms:created>
  <dcterms:modified xsi:type="dcterms:W3CDTF">2015-09-22T14:32:00Z</dcterms:modified>
</cp:coreProperties>
</file>