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EE" w:rsidRPr="0010304F" w:rsidRDefault="00A37FEE" w:rsidP="00A37FEE">
      <w:pPr>
        <w:tabs>
          <w:tab w:val="left" w:pos="720"/>
        </w:tabs>
        <w:ind w:left="360" w:hanging="360"/>
        <w:jc w:val="center"/>
        <w:rPr>
          <w:rFonts w:cs="Arial"/>
          <w:b/>
          <w:u w:val="single"/>
        </w:rPr>
      </w:pPr>
      <w:r w:rsidRPr="0010304F">
        <w:rPr>
          <w:rFonts w:cs="Arial"/>
          <w:b/>
          <w:u w:val="single"/>
        </w:rPr>
        <w:t xml:space="preserve">Rozdílová tabulka </w:t>
      </w:r>
      <w:r>
        <w:rPr>
          <w:rFonts w:cs="Arial"/>
          <w:b/>
          <w:u w:val="single"/>
        </w:rPr>
        <w:t xml:space="preserve">zapracování předpisů EU do </w:t>
      </w:r>
      <w:r w:rsidRPr="0010304F">
        <w:rPr>
          <w:rFonts w:cs="Arial"/>
          <w:b/>
          <w:u w:val="single"/>
        </w:rPr>
        <w:t>návrhu</w:t>
      </w:r>
      <w:r>
        <w:rPr>
          <w:rFonts w:cs="Arial"/>
          <w:b/>
          <w:u w:val="single"/>
        </w:rPr>
        <w:t xml:space="preserve"> zákona, kterým se mění zákon č. </w:t>
      </w:r>
      <w:r w:rsidRPr="00A37FEE">
        <w:rPr>
          <w:rFonts w:cs="Arial"/>
          <w:b/>
          <w:u w:val="single"/>
        </w:rPr>
        <w:t>253/2008 Sb., o některých opatř</w:t>
      </w:r>
      <w:r>
        <w:rPr>
          <w:rFonts w:cs="Arial"/>
          <w:b/>
          <w:u w:val="single"/>
        </w:rPr>
        <w:t>eních proti legalizaci výnosů z </w:t>
      </w:r>
      <w:r w:rsidRPr="00A37FEE">
        <w:rPr>
          <w:rFonts w:cs="Arial"/>
          <w:b/>
          <w:u w:val="single"/>
        </w:rPr>
        <w:t>trestné činnosti a financování terorismu, ve znění pozdějších předpisů, a další související zákony</w:t>
      </w:r>
    </w:p>
    <w:p w:rsidR="00A37FEE" w:rsidRPr="0010304F" w:rsidRDefault="00A37FEE" w:rsidP="00A37FEE">
      <w:pPr>
        <w:tabs>
          <w:tab w:val="left" w:pos="720"/>
        </w:tabs>
        <w:ind w:left="360" w:hanging="360"/>
        <w:jc w:val="center"/>
        <w:rPr>
          <w:rFonts w:cs="Arial"/>
          <w:b/>
          <w:strike/>
          <w:u w:val="single"/>
        </w:rPr>
      </w:pPr>
    </w:p>
    <w:p w:rsidR="00A37FEE" w:rsidRPr="0010304F" w:rsidRDefault="00A37FEE" w:rsidP="00A37FEE">
      <w:pPr>
        <w:tabs>
          <w:tab w:val="left" w:pos="720"/>
        </w:tabs>
        <w:ind w:left="360" w:hanging="360"/>
        <w:jc w:val="center"/>
        <w:rPr>
          <w:rFonts w:cs="Arial"/>
          <w:b/>
          <w:strike/>
          <w:u w:val="single"/>
        </w:rPr>
      </w:pPr>
    </w:p>
    <w:p w:rsidR="00A37FEE" w:rsidRPr="0010304F" w:rsidRDefault="00A37FEE" w:rsidP="00A37FEE">
      <w:pPr>
        <w:tabs>
          <w:tab w:val="left" w:pos="720"/>
        </w:tabs>
        <w:ind w:left="360" w:hanging="360"/>
        <w:rPr>
          <w:rFonts w:cs="Arial"/>
          <w:strike/>
        </w:rPr>
      </w:pPr>
    </w:p>
    <w:tbl>
      <w:tblPr>
        <w:tblW w:w="1400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9"/>
        <w:gridCol w:w="4447"/>
        <w:gridCol w:w="1412"/>
        <w:gridCol w:w="1418"/>
        <w:gridCol w:w="5103"/>
      </w:tblGrid>
      <w:tr w:rsidR="00A37FEE" w:rsidRPr="0010304F" w:rsidTr="004C3E28">
        <w:trPr>
          <w:trHeight w:val="555"/>
        </w:trPr>
        <w:tc>
          <w:tcPr>
            <w:tcW w:w="6076" w:type="dxa"/>
            <w:gridSpan w:val="2"/>
          </w:tcPr>
          <w:p w:rsidR="00A37FEE" w:rsidRPr="00E20AE9" w:rsidRDefault="00A37FEE" w:rsidP="00C62B29">
            <w:pPr>
              <w:tabs>
                <w:tab w:val="left" w:pos="360"/>
              </w:tabs>
              <w:jc w:val="center"/>
              <w:rPr>
                <w:rFonts w:cs="Arial"/>
                <w:b/>
                <w:sz w:val="22"/>
                <w:szCs w:val="22"/>
              </w:rPr>
            </w:pPr>
            <w:r w:rsidRPr="00E20AE9">
              <w:rPr>
                <w:rFonts w:cs="Arial"/>
                <w:b/>
                <w:sz w:val="22"/>
                <w:szCs w:val="22"/>
              </w:rPr>
              <w:t xml:space="preserve">Navrhovaný právní předpis </w:t>
            </w:r>
          </w:p>
          <w:p w:rsidR="00A37FEE" w:rsidRPr="00E20AE9" w:rsidRDefault="00A37FEE" w:rsidP="00C62B29">
            <w:pPr>
              <w:tabs>
                <w:tab w:val="left" w:pos="360"/>
              </w:tabs>
              <w:jc w:val="center"/>
              <w:rPr>
                <w:rFonts w:cs="Arial"/>
                <w:b/>
                <w:sz w:val="22"/>
                <w:szCs w:val="22"/>
              </w:rPr>
            </w:pPr>
          </w:p>
        </w:tc>
        <w:tc>
          <w:tcPr>
            <w:tcW w:w="7933" w:type="dxa"/>
            <w:gridSpan w:val="3"/>
          </w:tcPr>
          <w:p w:rsidR="00A37FEE" w:rsidRPr="00E20AE9" w:rsidRDefault="00A37FEE" w:rsidP="00A37FEE">
            <w:pPr>
              <w:tabs>
                <w:tab w:val="left" w:pos="360"/>
              </w:tabs>
              <w:jc w:val="center"/>
              <w:rPr>
                <w:rFonts w:cs="Arial"/>
                <w:b/>
                <w:sz w:val="22"/>
                <w:szCs w:val="22"/>
              </w:rPr>
            </w:pPr>
            <w:r w:rsidRPr="00E20AE9">
              <w:rPr>
                <w:rFonts w:cs="Arial"/>
                <w:b/>
                <w:sz w:val="22"/>
                <w:szCs w:val="22"/>
              </w:rPr>
              <w:t>Odpovídající předpis EU</w:t>
            </w:r>
          </w:p>
        </w:tc>
      </w:tr>
      <w:tr w:rsidR="00587A27" w:rsidRPr="0010304F" w:rsidTr="004C3E28">
        <w:trPr>
          <w:trHeight w:val="555"/>
        </w:trPr>
        <w:tc>
          <w:tcPr>
            <w:tcW w:w="6076" w:type="dxa"/>
            <w:gridSpan w:val="2"/>
          </w:tcPr>
          <w:p w:rsidR="00587A27" w:rsidRPr="00E20AE9" w:rsidRDefault="00587A27" w:rsidP="00C62B29">
            <w:pPr>
              <w:tabs>
                <w:tab w:val="left" w:pos="360"/>
              </w:tabs>
              <w:jc w:val="center"/>
              <w:rPr>
                <w:rFonts w:cs="Arial"/>
                <w:b/>
                <w:sz w:val="22"/>
                <w:szCs w:val="22"/>
              </w:rPr>
            </w:pPr>
            <w:r>
              <w:rPr>
                <w:rFonts w:cs="Arial"/>
                <w:b/>
                <w:sz w:val="22"/>
                <w:szCs w:val="22"/>
              </w:rPr>
              <w:t>Návrh</w:t>
            </w:r>
            <w:r w:rsidRPr="00587A27">
              <w:rPr>
                <w:rFonts w:cs="Arial"/>
                <w:b/>
                <w:sz w:val="22"/>
                <w:szCs w:val="22"/>
              </w:rPr>
              <w:t xml:space="preserve"> zákona, kterým s</w:t>
            </w:r>
            <w:r>
              <w:rPr>
                <w:rFonts w:cs="Arial"/>
                <w:b/>
                <w:sz w:val="22"/>
                <w:szCs w:val="22"/>
              </w:rPr>
              <w:t>e mění zákon č. 253/2008 Sb., o </w:t>
            </w:r>
            <w:r w:rsidRPr="00587A27">
              <w:rPr>
                <w:rFonts w:cs="Arial"/>
                <w:b/>
                <w:sz w:val="22"/>
                <w:szCs w:val="22"/>
              </w:rPr>
              <w:t>některých opatřeních proti legalizaci výnosů z trestné činnosti a financování terorismu</w:t>
            </w:r>
          </w:p>
        </w:tc>
        <w:tc>
          <w:tcPr>
            <w:tcW w:w="7933" w:type="dxa"/>
            <w:gridSpan w:val="3"/>
          </w:tcPr>
          <w:p w:rsidR="00587A27" w:rsidRPr="00E20AE9" w:rsidRDefault="00587A27" w:rsidP="00A37FEE">
            <w:pPr>
              <w:tabs>
                <w:tab w:val="left" w:pos="360"/>
              </w:tabs>
              <w:jc w:val="center"/>
              <w:rPr>
                <w:rFonts w:cs="Arial"/>
                <w:b/>
                <w:sz w:val="22"/>
                <w:szCs w:val="22"/>
              </w:rPr>
            </w:pPr>
          </w:p>
        </w:tc>
      </w:tr>
      <w:tr w:rsidR="00A37FEE" w:rsidRPr="00FA795B" w:rsidTr="004C3E28">
        <w:trPr>
          <w:trHeight w:val="831"/>
        </w:trPr>
        <w:tc>
          <w:tcPr>
            <w:tcW w:w="1629" w:type="dxa"/>
          </w:tcPr>
          <w:p w:rsidR="00A37FEE" w:rsidRPr="00E20AE9" w:rsidRDefault="00A37FEE" w:rsidP="00C62B29">
            <w:pPr>
              <w:tabs>
                <w:tab w:val="left" w:pos="360"/>
              </w:tabs>
              <w:jc w:val="center"/>
              <w:rPr>
                <w:rFonts w:cs="Arial"/>
                <w:sz w:val="20"/>
              </w:rPr>
            </w:pPr>
            <w:r w:rsidRPr="00E20AE9">
              <w:rPr>
                <w:rFonts w:cs="Arial"/>
                <w:sz w:val="20"/>
              </w:rPr>
              <w:t>Ustanovení (část, §, odst., písm., apod.)</w:t>
            </w:r>
          </w:p>
        </w:tc>
        <w:tc>
          <w:tcPr>
            <w:tcW w:w="4447" w:type="dxa"/>
          </w:tcPr>
          <w:p w:rsidR="00A37FEE" w:rsidRPr="00E20AE9" w:rsidRDefault="00A37FEE" w:rsidP="00C62B29">
            <w:pPr>
              <w:tabs>
                <w:tab w:val="left" w:pos="360"/>
              </w:tabs>
              <w:jc w:val="center"/>
              <w:rPr>
                <w:rFonts w:cs="Arial"/>
                <w:sz w:val="20"/>
              </w:rPr>
            </w:pPr>
            <w:r w:rsidRPr="00E20AE9">
              <w:rPr>
                <w:rFonts w:cs="Arial"/>
                <w:sz w:val="20"/>
              </w:rPr>
              <w:t>Obsah</w:t>
            </w:r>
          </w:p>
        </w:tc>
        <w:tc>
          <w:tcPr>
            <w:tcW w:w="1412" w:type="dxa"/>
          </w:tcPr>
          <w:p w:rsidR="00A37FEE" w:rsidRPr="00E20AE9" w:rsidRDefault="00A37FEE" w:rsidP="00C62B29">
            <w:pPr>
              <w:tabs>
                <w:tab w:val="left" w:pos="360"/>
              </w:tabs>
              <w:jc w:val="center"/>
              <w:rPr>
                <w:rFonts w:cs="Arial"/>
                <w:sz w:val="20"/>
              </w:rPr>
            </w:pPr>
            <w:proofErr w:type="spellStart"/>
            <w:r w:rsidRPr="00E20AE9">
              <w:rPr>
                <w:rFonts w:cs="Arial"/>
                <w:sz w:val="20"/>
              </w:rPr>
              <w:t>Celex</w:t>
            </w:r>
            <w:proofErr w:type="spellEnd"/>
            <w:r w:rsidRPr="00E20AE9">
              <w:rPr>
                <w:rFonts w:cs="Arial"/>
                <w:sz w:val="20"/>
              </w:rPr>
              <w:t xml:space="preserve"> č.</w:t>
            </w:r>
          </w:p>
        </w:tc>
        <w:tc>
          <w:tcPr>
            <w:tcW w:w="1418" w:type="dxa"/>
            <w:shd w:val="clear" w:color="auto" w:fill="auto"/>
          </w:tcPr>
          <w:p w:rsidR="00A37FEE" w:rsidRPr="00E20AE9" w:rsidRDefault="00A37FEE" w:rsidP="00C62B29">
            <w:pPr>
              <w:tabs>
                <w:tab w:val="left" w:pos="360"/>
              </w:tabs>
              <w:jc w:val="center"/>
              <w:rPr>
                <w:rFonts w:cs="Arial"/>
                <w:sz w:val="20"/>
              </w:rPr>
            </w:pPr>
            <w:r w:rsidRPr="00E20AE9">
              <w:rPr>
                <w:rFonts w:cs="Arial"/>
                <w:sz w:val="20"/>
              </w:rPr>
              <w:t>Ustanovení (čl., odst., písm., bod, apod.)</w:t>
            </w:r>
          </w:p>
        </w:tc>
        <w:tc>
          <w:tcPr>
            <w:tcW w:w="5103" w:type="dxa"/>
            <w:shd w:val="clear" w:color="auto" w:fill="auto"/>
          </w:tcPr>
          <w:p w:rsidR="00A37FEE" w:rsidRPr="00E20AE9" w:rsidRDefault="00A37FEE" w:rsidP="00C62B29">
            <w:pPr>
              <w:tabs>
                <w:tab w:val="left" w:pos="360"/>
              </w:tabs>
              <w:jc w:val="center"/>
              <w:rPr>
                <w:rFonts w:cs="Arial"/>
                <w:sz w:val="20"/>
              </w:rPr>
            </w:pPr>
            <w:r w:rsidRPr="00E20AE9">
              <w:rPr>
                <w:rFonts w:cs="Arial"/>
                <w:sz w:val="20"/>
              </w:rPr>
              <w:t>Obsah</w:t>
            </w:r>
          </w:p>
        </w:tc>
      </w:tr>
      <w:tr w:rsidR="00E20AE9" w:rsidRPr="00FA795B" w:rsidTr="004C3E28">
        <w:trPr>
          <w:trHeight w:val="751"/>
        </w:trPr>
        <w:tc>
          <w:tcPr>
            <w:tcW w:w="1629" w:type="dxa"/>
          </w:tcPr>
          <w:p w:rsidR="00E20AE9" w:rsidRPr="00E20AE9" w:rsidRDefault="00E20AE9" w:rsidP="00C62B29">
            <w:pPr>
              <w:tabs>
                <w:tab w:val="left" w:pos="360"/>
              </w:tabs>
              <w:jc w:val="center"/>
              <w:rPr>
                <w:rFonts w:cs="Arial"/>
                <w:sz w:val="20"/>
              </w:rPr>
            </w:pPr>
            <w:r w:rsidRPr="00E20AE9">
              <w:rPr>
                <w:rFonts w:cs="Arial"/>
                <w:sz w:val="20"/>
              </w:rPr>
              <w:t xml:space="preserve">§1 </w:t>
            </w:r>
          </w:p>
        </w:tc>
        <w:tc>
          <w:tcPr>
            <w:tcW w:w="4447" w:type="dxa"/>
          </w:tcPr>
          <w:p w:rsidR="00E20AE9" w:rsidRPr="00E20AE9" w:rsidRDefault="00E20AE9" w:rsidP="00E20AE9">
            <w:pPr>
              <w:tabs>
                <w:tab w:val="left" w:pos="360"/>
              </w:tabs>
              <w:rPr>
                <w:rFonts w:cs="Arial"/>
                <w:sz w:val="20"/>
              </w:rPr>
            </w:pPr>
            <w:r w:rsidRPr="00E20AE9">
              <w:rPr>
                <w:rFonts w:cs="Arial"/>
                <w:sz w:val="20"/>
              </w:rPr>
              <w:t>Tento zákon</w:t>
            </w:r>
            <w:bookmarkStart w:id="0" w:name="OLE_LINK9"/>
            <w:r w:rsidRPr="00E20AE9">
              <w:rPr>
                <w:rFonts w:cs="Arial"/>
                <w:sz w:val="20"/>
              </w:rPr>
              <w:t xml:space="preserve"> zapracovává příslušné předpisy Evropské unie</w:t>
            </w:r>
            <w:bookmarkEnd w:id="0"/>
            <w:r w:rsidRPr="00A65EAB">
              <w:rPr>
                <w:rFonts w:cs="Arial"/>
                <w:sz w:val="20"/>
                <w:vertAlign w:val="superscript"/>
              </w:rPr>
              <w:t>1)</w:t>
            </w:r>
            <w:r w:rsidRPr="00E20AE9">
              <w:rPr>
                <w:rFonts w:cs="Arial"/>
                <w:sz w:val="20"/>
              </w:rPr>
              <w:t>, zároveň navazuje na přímo použitelné předpisy Evropské unie</w:t>
            </w:r>
            <w:r w:rsidRPr="00A65EAB">
              <w:rPr>
                <w:rFonts w:cs="Arial"/>
                <w:sz w:val="20"/>
                <w:vertAlign w:val="superscript"/>
              </w:rPr>
              <w:t>2)</w:t>
            </w:r>
            <w:r w:rsidRPr="00E20AE9">
              <w:rPr>
                <w:rFonts w:cs="Arial"/>
                <w:sz w:val="20"/>
              </w:rPr>
              <w:t xml:space="preserve"> a……</w:t>
            </w:r>
          </w:p>
        </w:tc>
        <w:tc>
          <w:tcPr>
            <w:tcW w:w="1412" w:type="dxa"/>
          </w:tcPr>
          <w:p w:rsidR="00E20AE9" w:rsidRPr="00E20AE9" w:rsidRDefault="00C62B29" w:rsidP="00E20AE9">
            <w:pPr>
              <w:tabs>
                <w:tab w:val="left" w:pos="360"/>
              </w:tabs>
              <w:rPr>
                <w:rFonts w:cs="Arial"/>
                <w:sz w:val="20"/>
              </w:rPr>
            </w:pPr>
            <w:r>
              <w:rPr>
                <w:rFonts w:cs="Arial"/>
                <w:sz w:val="20"/>
              </w:rPr>
              <w:t>32015L0849</w:t>
            </w:r>
          </w:p>
        </w:tc>
        <w:tc>
          <w:tcPr>
            <w:tcW w:w="1418" w:type="dxa"/>
            <w:shd w:val="clear" w:color="auto" w:fill="auto"/>
          </w:tcPr>
          <w:p w:rsidR="00E20AE9" w:rsidRPr="00E20AE9" w:rsidRDefault="00724313" w:rsidP="00E20AE9">
            <w:pPr>
              <w:tabs>
                <w:tab w:val="left" w:pos="360"/>
              </w:tabs>
              <w:rPr>
                <w:rFonts w:cs="Arial"/>
                <w:sz w:val="20"/>
              </w:rPr>
            </w:pPr>
            <w:r>
              <w:rPr>
                <w:rFonts w:cs="Arial"/>
                <w:sz w:val="20"/>
              </w:rPr>
              <w:t>č</w:t>
            </w:r>
            <w:r w:rsidR="00E20AE9" w:rsidRPr="00E20AE9">
              <w:rPr>
                <w:rFonts w:cs="Arial"/>
                <w:sz w:val="20"/>
              </w:rPr>
              <w:t>l. 67 odst. 1</w:t>
            </w:r>
          </w:p>
        </w:tc>
        <w:tc>
          <w:tcPr>
            <w:tcW w:w="5103" w:type="dxa"/>
            <w:shd w:val="clear" w:color="auto" w:fill="auto"/>
          </w:tcPr>
          <w:p w:rsidR="00E20AE9" w:rsidRPr="00E20AE9" w:rsidRDefault="00C62B29" w:rsidP="00E20AE9">
            <w:pPr>
              <w:tabs>
                <w:tab w:val="left" w:pos="360"/>
              </w:tabs>
              <w:rPr>
                <w:rFonts w:cs="Arial"/>
                <w:sz w:val="20"/>
              </w:rPr>
            </w:pPr>
            <w:proofErr w:type="gramStart"/>
            <w:r>
              <w:rPr>
                <w:sz w:val="19"/>
                <w:szCs w:val="19"/>
              </w:rPr>
              <w:t>1.Členské</w:t>
            </w:r>
            <w:proofErr w:type="gramEnd"/>
            <w:r>
              <w:rPr>
                <w:sz w:val="19"/>
                <w:szCs w:val="19"/>
              </w:rPr>
              <w:t xml:space="preserve"> státy uvedou v platnost právní a správní předpisy nezbytné pro dosažení souladu s touto směrnicí do 26. června 2017. Jejich znění sdělí neprodleně Komisi. Tyto předpisy přijaté členskými státy musí obsahovat odkaz na tuto směrnici nebo musí být takový odkaz učiněn při jejich úředním vyhlášení. Způsob odkazu si stanoví členské státy.</w:t>
            </w:r>
          </w:p>
        </w:tc>
      </w:tr>
      <w:tr w:rsidR="00A37FEE" w:rsidRPr="00E20AE9" w:rsidTr="004C3E28">
        <w:trPr>
          <w:trHeight w:val="920"/>
        </w:trPr>
        <w:tc>
          <w:tcPr>
            <w:tcW w:w="1629" w:type="dxa"/>
          </w:tcPr>
          <w:p w:rsidR="00A37FEE" w:rsidRPr="00E20AE9" w:rsidRDefault="00A37FEE" w:rsidP="00C62B29">
            <w:pPr>
              <w:tabs>
                <w:tab w:val="left" w:pos="360"/>
              </w:tabs>
              <w:rPr>
                <w:rFonts w:cs="Arial"/>
                <w:sz w:val="20"/>
              </w:rPr>
            </w:pPr>
            <w:r w:rsidRPr="00E20AE9">
              <w:rPr>
                <w:rFonts w:cs="Arial"/>
                <w:sz w:val="20"/>
              </w:rPr>
              <w:t>§ 2 odst. 1 písm. c)</w:t>
            </w:r>
          </w:p>
        </w:tc>
        <w:tc>
          <w:tcPr>
            <w:tcW w:w="4447" w:type="dxa"/>
          </w:tcPr>
          <w:p w:rsidR="00A37FEE" w:rsidRPr="00E20AE9" w:rsidRDefault="00A37FEE" w:rsidP="0015487B">
            <w:pPr>
              <w:tabs>
                <w:tab w:val="left" w:pos="360"/>
              </w:tabs>
              <w:rPr>
                <w:rFonts w:cs="Arial"/>
                <w:sz w:val="20"/>
              </w:rPr>
            </w:pPr>
            <w:r w:rsidRPr="00E20AE9">
              <w:rPr>
                <w:rFonts w:cs="Arial"/>
                <w:sz w:val="20"/>
              </w:rPr>
              <w:t xml:space="preserve">c) </w:t>
            </w:r>
            <w:r w:rsidRPr="00E20AE9">
              <w:rPr>
                <w:rFonts w:cs="Arial"/>
                <w:sz w:val="20"/>
              </w:rPr>
              <w:tab/>
              <w:t>provozova</w:t>
            </w:r>
            <w:r w:rsidR="00E416FF" w:rsidRPr="00E20AE9">
              <w:rPr>
                <w:rFonts w:cs="Arial"/>
                <w:sz w:val="20"/>
              </w:rPr>
              <w:t xml:space="preserve">tel hazardní hry podle zákona </w:t>
            </w:r>
            <w:r w:rsidR="0015487B">
              <w:rPr>
                <w:rFonts w:cs="Arial"/>
                <w:sz w:val="20"/>
              </w:rPr>
              <w:t>upravujícího hazardní hry</w:t>
            </w:r>
            <w:r w:rsidRPr="00E20AE9">
              <w:rPr>
                <w:rFonts w:cs="Arial"/>
                <w:sz w:val="20"/>
              </w:rPr>
              <w:t xml:space="preserve"> s výjimkou </w:t>
            </w:r>
            <w:r w:rsidR="0015487B">
              <w:rPr>
                <w:rFonts w:cs="Arial"/>
                <w:sz w:val="20"/>
              </w:rPr>
              <w:t xml:space="preserve">provozovatele </w:t>
            </w:r>
            <w:r w:rsidRPr="00E20AE9">
              <w:rPr>
                <w:rFonts w:cs="Arial"/>
                <w:sz w:val="20"/>
              </w:rPr>
              <w:t>peněžité, věcné, okamžité anebo číselné loterie, hry bingo nebo tomboly</w:t>
            </w:r>
          </w:p>
        </w:tc>
        <w:tc>
          <w:tcPr>
            <w:tcW w:w="1412" w:type="dxa"/>
          </w:tcPr>
          <w:p w:rsidR="00A37FEE" w:rsidRPr="00E20AE9" w:rsidRDefault="00C62B29" w:rsidP="00C62B29">
            <w:pPr>
              <w:tabs>
                <w:tab w:val="left" w:pos="360"/>
              </w:tabs>
              <w:rPr>
                <w:rFonts w:cs="Arial"/>
                <w:sz w:val="20"/>
              </w:rPr>
            </w:pPr>
            <w:r>
              <w:rPr>
                <w:rFonts w:cs="Arial"/>
                <w:sz w:val="20"/>
              </w:rPr>
              <w:t>32015L0849</w:t>
            </w:r>
          </w:p>
        </w:tc>
        <w:tc>
          <w:tcPr>
            <w:tcW w:w="1418" w:type="dxa"/>
            <w:shd w:val="clear" w:color="auto" w:fill="auto"/>
          </w:tcPr>
          <w:p w:rsidR="00A37FEE" w:rsidRPr="00E20AE9" w:rsidRDefault="00724313" w:rsidP="00E416FF">
            <w:pPr>
              <w:tabs>
                <w:tab w:val="left" w:pos="360"/>
              </w:tabs>
              <w:rPr>
                <w:rFonts w:cs="Arial"/>
                <w:sz w:val="20"/>
              </w:rPr>
            </w:pPr>
            <w:r>
              <w:rPr>
                <w:rFonts w:cs="Arial"/>
                <w:sz w:val="20"/>
              </w:rPr>
              <w:t>č</w:t>
            </w:r>
            <w:r w:rsidR="00A37FEE" w:rsidRPr="00E20AE9">
              <w:rPr>
                <w:rFonts w:cs="Arial"/>
                <w:sz w:val="20"/>
              </w:rPr>
              <w:t>l. 2 odst. 1 písm. f) a odst. 2</w:t>
            </w:r>
            <w:bookmarkStart w:id="1" w:name="_GoBack"/>
            <w:bookmarkEnd w:id="1"/>
          </w:p>
        </w:tc>
        <w:tc>
          <w:tcPr>
            <w:tcW w:w="5103" w:type="dxa"/>
            <w:shd w:val="clear" w:color="auto" w:fill="auto"/>
          </w:tcPr>
          <w:p w:rsidR="00A37FEE" w:rsidRPr="00E20AE9" w:rsidRDefault="00C52E87" w:rsidP="00E416FF">
            <w:pPr>
              <w:tabs>
                <w:tab w:val="left" w:pos="360"/>
              </w:tabs>
              <w:rPr>
                <w:rFonts w:cs="Arial"/>
                <w:sz w:val="20"/>
              </w:rPr>
            </w:pPr>
            <w:r w:rsidRPr="00E20AE9">
              <w:rPr>
                <w:rFonts w:cs="Arial"/>
                <w:sz w:val="20"/>
              </w:rPr>
              <w:t>1.</w:t>
            </w:r>
            <w:r w:rsidRPr="00E20AE9">
              <w:rPr>
                <w:rFonts w:cs="Arial"/>
                <w:sz w:val="20"/>
              </w:rPr>
              <w:tab/>
              <w:t>Tato směrnice se vztahuje na tyto povinné osoby:</w:t>
            </w:r>
          </w:p>
          <w:p w:rsidR="00C52E87" w:rsidRPr="00E20AE9" w:rsidRDefault="00C52E87" w:rsidP="00E416FF">
            <w:pPr>
              <w:tabs>
                <w:tab w:val="left" w:pos="360"/>
              </w:tabs>
              <w:rPr>
                <w:rFonts w:cs="Arial"/>
                <w:sz w:val="20"/>
              </w:rPr>
            </w:pPr>
            <w:r w:rsidRPr="00E20AE9">
              <w:rPr>
                <w:rFonts w:cs="Arial"/>
                <w:sz w:val="20"/>
              </w:rPr>
              <w:t>………</w:t>
            </w:r>
          </w:p>
          <w:p w:rsidR="00C52E87" w:rsidRPr="00E20AE9" w:rsidRDefault="00C52E87" w:rsidP="00E416FF">
            <w:pPr>
              <w:tabs>
                <w:tab w:val="left" w:pos="360"/>
              </w:tabs>
              <w:rPr>
                <w:rFonts w:cs="Arial"/>
                <w:sz w:val="20"/>
              </w:rPr>
            </w:pPr>
            <w:r w:rsidRPr="00E20AE9">
              <w:rPr>
                <w:rFonts w:cs="Arial"/>
                <w:sz w:val="20"/>
              </w:rPr>
              <w:t>f)</w:t>
            </w:r>
            <w:r w:rsidRPr="00E20AE9">
              <w:rPr>
                <w:rFonts w:cs="Arial"/>
                <w:sz w:val="20"/>
              </w:rPr>
              <w:tab/>
              <w:t>poskytovatele služeb hazardních her.</w:t>
            </w:r>
          </w:p>
          <w:p w:rsidR="00C52E87" w:rsidRPr="00E20AE9" w:rsidRDefault="00C52E87" w:rsidP="00E416FF">
            <w:pPr>
              <w:tabs>
                <w:tab w:val="left" w:pos="360"/>
              </w:tabs>
              <w:rPr>
                <w:rFonts w:cs="Arial"/>
                <w:sz w:val="20"/>
              </w:rPr>
            </w:pPr>
            <w:r w:rsidRPr="00E20AE9">
              <w:rPr>
                <w:rFonts w:cs="Arial"/>
                <w:sz w:val="20"/>
              </w:rPr>
              <w:t>2. S výjimkou kasin a v návaznosti na příslušné posouzení rizik se členské státy mohou rozhodnout osvobodit zcela nebo zčásti od vnitrostátních předpisů, kterými se provádí tato směrnice, poskytovatele některých služeb hazardních her na základě prokázaného nízkého rizika plynoucího z povahy a případně rozsahu provozování těchto služeb.</w:t>
            </w:r>
          </w:p>
          <w:p w:rsidR="00C52E87" w:rsidRPr="00E20AE9" w:rsidRDefault="00C52E87" w:rsidP="00E416FF">
            <w:pPr>
              <w:tabs>
                <w:tab w:val="left" w:pos="360"/>
              </w:tabs>
              <w:rPr>
                <w:rFonts w:cs="Arial"/>
                <w:sz w:val="20"/>
              </w:rPr>
            </w:pPr>
            <w:r w:rsidRPr="00E20AE9">
              <w:rPr>
                <w:rFonts w:cs="Arial"/>
                <w:sz w:val="20"/>
              </w:rPr>
              <w:t>V rámci faktorů zvažovaných při posuzování rizik členské státy hodnotí míru zranitelnosti příslušných transakcí, mimo jiné pokud jde o použité způsoby platby.</w:t>
            </w:r>
          </w:p>
          <w:p w:rsidR="00C52E87" w:rsidRPr="00E20AE9" w:rsidRDefault="00C52E87" w:rsidP="00E416FF">
            <w:pPr>
              <w:tabs>
                <w:tab w:val="left" w:pos="360"/>
              </w:tabs>
              <w:rPr>
                <w:rFonts w:cs="Arial"/>
                <w:sz w:val="20"/>
              </w:rPr>
            </w:pPr>
            <w:r w:rsidRPr="00E20AE9">
              <w:rPr>
                <w:rFonts w:cs="Arial"/>
                <w:sz w:val="20"/>
              </w:rPr>
              <w:t>Členské státy ve svém posouzení rizik uvedou, jak zohlednily veškerá příslušná zjištění uvedená ve zprávách Komise podle článku 6.</w:t>
            </w:r>
          </w:p>
          <w:p w:rsidR="00C52E87" w:rsidRPr="00E20AE9" w:rsidRDefault="00C52E87" w:rsidP="00E416FF">
            <w:pPr>
              <w:tabs>
                <w:tab w:val="left" w:pos="360"/>
              </w:tabs>
              <w:rPr>
                <w:rFonts w:cs="Arial"/>
                <w:sz w:val="20"/>
              </w:rPr>
            </w:pPr>
            <w:r w:rsidRPr="00E20AE9">
              <w:rPr>
                <w:rFonts w:cs="Arial"/>
                <w:sz w:val="20"/>
              </w:rPr>
              <w:lastRenderedPageBreak/>
              <w:t>Jakékoli rozhodnutí, které členský stát přijme podle prvního pododstavce, musí být oznámeno Komisi a doprovázeno odůvodněním vycházejícím ze zvláštního posouzení rizik. Komise o něm uvědomí ostatní členské státy.</w:t>
            </w:r>
          </w:p>
        </w:tc>
      </w:tr>
      <w:tr w:rsidR="00A37FEE" w:rsidRPr="00E20AE9" w:rsidTr="004C3E28">
        <w:trPr>
          <w:trHeight w:val="1898"/>
        </w:trPr>
        <w:tc>
          <w:tcPr>
            <w:tcW w:w="1629" w:type="dxa"/>
          </w:tcPr>
          <w:p w:rsidR="00A37FEE" w:rsidRPr="00E20AE9" w:rsidRDefault="00E416FF" w:rsidP="00C62B29">
            <w:pPr>
              <w:tabs>
                <w:tab w:val="left" w:pos="360"/>
              </w:tabs>
              <w:rPr>
                <w:rFonts w:cs="Arial"/>
              </w:rPr>
            </w:pPr>
            <w:r w:rsidRPr="00E20AE9">
              <w:rPr>
                <w:rFonts w:cs="Arial"/>
                <w:sz w:val="20"/>
              </w:rPr>
              <w:lastRenderedPageBreak/>
              <w:t xml:space="preserve">§ 2 odst. 2 písmena </w:t>
            </w:r>
            <w:r w:rsidR="00041CED">
              <w:rPr>
                <w:rFonts w:cs="Arial"/>
                <w:sz w:val="20"/>
              </w:rPr>
              <w:t>c</w:t>
            </w:r>
            <w:r w:rsidRPr="00E20AE9">
              <w:rPr>
                <w:rFonts w:cs="Arial"/>
                <w:sz w:val="20"/>
              </w:rPr>
              <w:t xml:space="preserve">) a </w:t>
            </w:r>
            <w:r w:rsidR="00041CED">
              <w:rPr>
                <w:rFonts w:cs="Arial"/>
                <w:sz w:val="20"/>
              </w:rPr>
              <w:t>d</w:t>
            </w:r>
            <w:r w:rsidRPr="00E20AE9">
              <w:rPr>
                <w:rFonts w:cs="Arial"/>
                <w:sz w:val="20"/>
              </w:rPr>
              <w:t>)</w:t>
            </w:r>
          </w:p>
        </w:tc>
        <w:tc>
          <w:tcPr>
            <w:tcW w:w="4447" w:type="dxa"/>
          </w:tcPr>
          <w:p w:rsidR="00E416FF" w:rsidRPr="00E20AE9" w:rsidRDefault="00041CED" w:rsidP="00E416FF">
            <w:pPr>
              <w:tabs>
                <w:tab w:val="left" w:pos="360"/>
              </w:tabs>
              <w:rPr>
                <w:rFonts w:cs="Arial"/>
                <w:sz w:val="20"/>
              </w:rPr>
            </w:pPr>
            <w:r>
              <w:rPr>
                <w:rFonts w:cs="Arial"/>
                <w:sz w:val="20"/>
              </w:rPr>
              <w:t>c</w:t>
            </w:r>
            <w:r w:rsidR="00E416FF" w:rsidRPr="00E20AE9">
              <w:rPr>
                <w:rFonts w:cs="Arial"/>
                <w:sz w:val="20"/>
              </w:rPr>
              <w:t>) </w:t>
            </w:r>
            <w:r w:rsidR="00E416FF" w:rsidRPr="00E20AE9">
              <w:rPr>
                <w:rFonts w:cs="Arial"/>
                <w:sz w:val="20"/>
              </w:rPr>
              <w:tab/>
              <w:t>podnikatel, který není uveden v odstavci 1 při obchodu v hotovosti v hodnotě 10 000 EUR nebo vyšší,</w:t>
            </w:r>
          </w:p>
          <w:p w:rsidR="00A37FEE" w:rsidRPr="00E20AE9" w:rsidRDefault="00041CED" w:rsidP="00E416FF">
            <w:pPr>
              <w:tabs>
                <w:tab w:val="left" w:pos="360"/>
              </w:tabs>
              <w:rPr>
                <w:rFonts w:cs="Arial"/>
              </w:rPr>
            </w:pPr>
            <w:r>
              <w:rPr>
                <w:rFonts w:cs="Arial"/>
                <w:sz w:val="20"/>
              </w:rPr>
              <w:t>d</w:t>
            </w:r>
            <w:r w:rsidR="00E416FF" w:rsidRPr="00E20AE9">
              <w:rPr>
                <w:rFonts w:cs="Arial"/>
                <w:sz w:val="20"/>
              </w:rPr>
              <w:t>) </w:t>
            </w:r>
            <w:r w:rsidR="00E416FF" w:rsidRPr="00E20AE9">
              <w:rPr>
                <w:rFonts w:cs="Arial"/>
                <w:sz w:val="20"/>
              </w:rPr>
              <w:tab/>
              <w:t>právnická osoba, která není podnikatelem, pokud je oprávněna poskytovat jako službu některou z činností uvedených v odstavci 1, nebo při obchodu v hotovosti v hodnotě 10 000 EUR nebo vyšší.</w:t>
            </w:r>
          </w:p>
        </w:tc>
        <w:tc>
          <w:tcPr>
            <w:tcW w:w="1412" w:type="dxa"/>
          </w:tcPr>
          <w:p w:rsidR="00A37FEE" w:rsidRPr="00E20AE9" w:rsidRDefault="00C62B29" w:rsidP="00C62B29">
            <w:pPr>
              <w:tabs>
                <w:tab w:val="left" w:pos="360"/>
              </w:tabs>
              <w:rPr>
                <w:rFonts w:cs="Arial"/>
              </w:rPr>
            </w:pPr>
            <w:r>
              <w:rPr>
                <w:rFonts w:cs="Arial"/>
                <w:sz w:val="20"/>
              </w:rPr>
              <w:t>32015L0849</w:t>
            </w:r>
          </w:p>
        </w:tc>
        <w:tc>
          <w:tcPr>
            <w:tcW w:w="1418" w:type="dxa"/>
            <w:shd w:val="clear" w:color="auto" w:fill="auto"/>
          </w:tcPr>
          <w:p w:rsidR="00A37FEE" w:rsidRPr="00E20AE9" w:rsidRDefault="00724313" w:rsidP="00E416FF">
            <w:pPr>
              <w:tabs>
                <w:tab w:val="left" w:pos="360"/>
              </w:tabs>
              <w:rPr>
                <w:rFonts w:cs="Arial"/>
              </w:rPr>
            </w:pPr>
            <w:r>
              <w:rPr>
                <w:rFonts w:cs="Arial"/>
                <w:sz w:val="20"/>
              </w:rPr>
              <w:t>č</w:t>
            </w:r>
            <w:r w:rsidR="00E416FF" w:rsidRPr="00E20AE9">
              <w:rPr>
                <w:rFonts w:cs="Arial"/>
                <w:sz w:val="20"/>
              </w:rPr>
              <w:t>l. 2 odst. 1 písm. e)</w:t>
            </w:r>
          </w:p>
        </w:tc>
        <w:tc>
          <w:tcPr>
            <w:tcW w:w="5103" w:type="dxa"/>
            <w:shd w:val="clear" w:color="auto" w:fill="auto"/>
          </w:tcPr>
          <w:p w:rsidR="00E416FF" w:rsidRPr="00E20AE9" w:rsidRDefault="00E416FF" w:rsidP="00E416FF">
            <w:pPr>
              <w:tabs>
                <w:tab w:val="left" w:pos="360"/>
              </w:tabs>
              <w:rPr>
                <w:rFonts w:cs="Arial"/>
                <w:sz w:val="20"/>
              </w:rPr>
            </w:pPr>
            <w:r w:rsidRPr="00E20AE9">
              <w:rPr>
                <w:rFonts w:cs="Arial"/>
                <w:sz w:val="20"/>
              </w:rPr>
              <w:t>1.</w:t>
            </w:r>
            <w:r w:rsidRPr="00E20AE9">
              <w:rPr>
                <w:rFonts w:cs="Arial"/>
                <w:sz w:val="20"/>
              </w:rPr>
              <w:tab/>
              <w:t>Tato směrnice se vztahuje na tyto povinné osoby:</w:t>
            </w:r>
          </w:p>
          <w:p w:rsidR="00E416FF" w:rsidRPr="00E20AE9" w:rsidRDefault="00E416FF" w:rsidP="00E416FF">
            <w:pPr>
              <w:tabs>
                <w:tab w:val="left" w:pos="360"/>
              </w:tabs>
              <w:rPr>
                <w:rFonts w:cs="Arial"/>
                <w:sz w:val="20"/>
              </w:rPr>
            </w:pPr>
            <w:r w:rsidRPr="00E20AE9">
              <w:rPr>
                <w:rFonts w:cs="Arial"/>
                <w:sz w:val="20"/>
              </w:rPr>
              <w:t>………</w:t>
            </w:r>
          </w:p>
          <w:p w:rsidR="00A37FEE" w:rsidRPr="00E20AE9" w:rsidRDefault="00E416FF" w:rsidP="00E416FF">
            <w:pPr>
              <w:tabs>
                <w:tab w:val="left" w:pos="360"/>
              </w:tabs>
              <w:rPr>
                <w:rFonts w:cs="Arial"/>
              </w:rPr>
            </w:pPr>
            <w:r w:rsidRPr="00E20AE9">
              <w:rPr>
                <w:rFonts w:cs="Arial"/>
                <w:sz w:val="20"/>
              </w:rPr>
              <w:t>e)</w:t>
            </w:r>
            <w:r w:rsidRPr="00E20AE9">
              <w:rPr>
                <w:rFonts w:cs="Arial"/>
                <w:sz w:val="20"/>
              </w:rPr>
              <w:tab/>
              <w:t>další osoby obchodující se zbožím, pokud jsou platby v částce 10 000 EUR nebo vyšší prováděny nebo přijímány v hotovosti, ať již je tato transakce prováděna jako jediná operace, nebo jako několik operací, které se zdají být spojeny</w:t>
            </w:r>
          </w:p>
        </w:tc>
      </w:tr>
      <w:tr w:rsidR="00A37FEE" w:rsidRPr="00E20AE9" w:rsidTr="004C3E28">
        <w:trPr>
          <w:trHeight w:val="6378"/>
        </w:trPr>
        <w:tc>
          <w:tcPr>
            <w:tcW w:w="1629" w:type="dxa"/>
          </w:tcPr>
          <w:p w:rsidR="00A37FEE" w:rsidRPr="00E20AE9" w:rsidRDefault="00E416FF" w:rsidP="00C62B29">
            <w:pPr>
              <w:tabs>
                <w:tab w:val="left" w:pos="360"/>
              </w:tabs>
              <w:rPr>
                <w:rFonts w:cs="Arial"/>
              </w:rPr>
            </w:pPr>
            <w:r w:rsidRPr="00E20AE9">
              <w:rPr>
                <w:rFonts w:cs="Arial"/>
                <w:sz w:val="20"/>
              </w:rPr>
              <w:lastRenderedPageBreak/>
              <w:t>§ 4 odst. 4 písmena d) a e)</w:t>
            </w:r>
          </w:p>
        </w:tc>
        <w:tc>
          <w:tcPr>
            <w:tcW w:w="4447" w:type="dxa"/>
          </w:tcPr>
          <w:p w:rsidR="00C576E0" w:rsidRPr="00C576E0" w:rsidRDefault="00E416FF" w:rsidP="00C576E0">
            <w:pPr>
              <w:tabs>
                <w:tab w:val="left" w:pos="360"/>
              </w:tabs>
              <w:rPr>
                <w:rFonts w:cs="Arial"/>
                <w:sz w:val="20"/>
              </w:rPr>
            </w:pPr>
            <w:proofErr w:type="gramStart"/>
            <w:r w:rsidRPr="00E20AE9">
              <w:rPr>
                <w:rFonts w:cs="Arial"/>
                <w:sz w:val="20"/>
              </w:rPr>
              <w:t xml:space="preserve">d)   </w:t>
            </w:r>
            <w:r w:rsidR="00C576E0" w:rsidRPr="00C576E0">
              <w:rPr>
                <w:rFonts w:cs="Arial"/>
                <w:sz w:val="20"/>
              </w:rPr>
              <w:t>u svěřenského</w:t>
            </w:r>
            <w:proofErr w:type="gramEnd"/>
            <w:r w:rsidR="00C576E0" w:rsidRPr="00C576E0">
              <w:rPr>
                <w:rFonts w:cs="Arial"/>
                <w:sz w:val="20"/>
              </w:rPr>
              <w:t xml:space="preserve"> fondu nebo jiného právního uspořádání bez právní subjektivity fyzická osoba, </w:t>
            </w:r>
          </w:p>
          <w:p w:rsidR="00C576E0" w:rsidRPr="00C576E0" w:rsidRDefault="00C576E0" w:rsidP="00C576E0">
            <w:pPr>
              <w:tabs>
                <w:tab w:val="left" w:pos="360"/>
              </w:tabs>
              <w:rPr>
                <w:rFonts w:cs="Arial"/>
                <w:sz w:val="20"/>
              </w:rPr>
            </w:pPr>
            <w:r w:rsidRPr="00C576E0">
              <w:rPr>
                <w:rFonts w:cs="Arial"/>
                <w:sz w:val="20"/>
              </w:rPr>
              <w:t>1.</w:t>
            </w:r>
            <w:r w:rsidRPr="00C576E0">
              <w:rPr>
                <w:rFonts w:cs="Arial"/>
                <w:sz w:val="20"/>
              </w:rPr>
              <w:tab/>
              <w:t>která je zakladatelem,</w:t>
            </w:r>
          </w:p>
          <w:p w:rsidR="00C576E0" w:rsidRPr="00C576E0" w:rsidRDefault="00C576E0" w:rsidP="00C576E0">
            <w:pPr>
              <w:tabs>
                <w:tab w:val="left" w:pos="360"/>
              </w:tabs>
              <w:rPr>
                <w:rFonts w:cs="Arial"/>
                <w:sz w:val="20"/>
              </w:rPr>
            </w:pPr>
            <w:r w:rsidRPr="00C576E0">
              <w:rPr>
                <w:rFonts w:cs="Arial"/>
                <w:sz w:val="20"/>
              </w:rPr>
              <w:t>2.</w:t>
            </w:r>
            <w:r w:rsidRPr="00C576E0">
              <w:rPr>
                <w:rFonts w:cs="Arial"/>
                <w:sz w:val="20"/>
              </w:rPr>
              <w:tab/>
              <w:t>která je svěřenským správcem,</w:t>
            </w:r>
          </w:p>
          <w:p w:rsidR="00C576E0" w:rsidRPr="00C576E0" w:rsidRDefault="00C576E0" w:rsidP="00C576E0">
            <w:pPr>
              <w:tabs>
                <w:tab w:val="left" w:pos="360"/>
              </w:tabs>
              <w:rPr>
                <w:rFonts w:cs="Arial"/>
                <w:sz w:val="20"/>
              </w:rPr>
            </w:pPr>
            <w:r w:rsidRPr="00C576E0">
              <w:rPr>
                <w:rFonts w:cs="Arial"/>
                <w:sz w:val="20"/>
              </w:rPr>
              <w:t>3.</w:t>
            </w:r>
            <w:r w:rsidRPr="00C576E0">
              <w:rPr>
                <w:rFonts w:cs="Arial"/>
                <w:sz w:val="20"/>
              </w:rPr>
              <w:tab/>
              <w:t xml:space="preserve">která je obmyšleným, </w:t>
            </w:r>
          </w:p>
          <w:p w:rsidR="00C576E0" w:rsidRPr="00C576E0" w:rsidRDefault="00C576E0" w:rsidP="00C576E0">
            <w:pPr>
              <w:tabs>
                <w:tab w:val="left" w:pos="360"/>
              </w:tabs>
              <w:rPr>
                <w:rFonts w:cs="Arial"/>
                <w:sz w:val="20"/>
              </w:rPr>
            </w:pPr>
            <w:r w:rsidRPr="00C576E0">
              <w:rPr>
                <w:rFonts w:cs="Arial"/>
                <w:sz w:val="20"/>
              </w:rPr>
              <w:t>4.</w:t>
            </w:r>
            <w:r w:rsidRPr="00C576E0">
              <w:rPr>
                <w:rFonts w:cs="Arial"/>
                <w:sz w:val="20"/>
              </w:rPr>
              <w:tab/>
              <w:t>v jejímž zájmu byl založen nebo v jejímž zájmu působí, není-li určen obmyšlený,</w:t>
            </w:r>
          </w:p>
          <w:p w:rsidR="00C576E0" w:rsidRPr="00C576E0" w:rsidRDefault="00C576E0" w:rsidP="00C576E0">
            <w:pPr>
              <w:tabs>
                <w:tab w:val="left" w:pos="360"/>
              </w:tabs>
              <w:rPr>
                <w:rFonts w:cs="Arial"/>
                <w:sz w:val="20"/>
              </w:rPr>
            </w:pPr>
            <w:r w:rsidRPr="00C576E0">
              <w:rPr>
                <w:rFonts w:cs="Arial"/>
                <w:sz w:val="20"/>
              </w:rPr>
              <w:t>5.</w:t>
            </w:r>
            <w:r w:rsidRPr="00C576E0">
              <w:rPr>
                <w:rFonts w:cs="Arial"/>
                <w:sz w:val="20"/>
              </w:rPr>
              <w:tab/>
              <w:t>která je oprávněná k výkonu dohledu nad správou svěřenského fondu, nebo</w:t>
            </w:r>
          </w:p>
          <w:p w:rsidR="00C576E0" w:rsidRPr="00C576E0" w:rsidRDefault="00C576E0" w:rsidP="00C576E0">
            <w:pPr>
              <w:tabs>
                <w:tab w:val="left" w:pos="360"/>
              </w:tabs>
              <w:rPr>
                <w:rFonts w:cs="Arial"/>
                <w:sz w:val="20"/>
              </w:rPr>
            </w:pPr>
            <w:r w:rsidRPr="00C576E0">
              <w:rPr>
                <w:rFonts w:cs="Arial"/>
                <w:sz w:val="20"/>
              </w:rPr>
              <w:t>6.</w:t>
            </w:r>
            <w:r w:rsidRPr="00C576E0">
              <w:rPr>
                <w:rFonts w:cs="Arial"/>
                <w:sz w:val="20"/>
              </w:rPr>
              <w:tab/>
              <w:t>která fakticky nebo právně vykonává přímo či nepřímo prostřednictvím jiné osoby rozhodující vliv nad svěřenským fondem nebo jiným právním uspořádáním bez právní subjektivity,</w:t>
            </w:r>
          </w:p>
          <w:p w:rsidR="00A37FEE" w:rsidRPr="00E20AE9" w:rsidRDefault="00C576E0" w:rsidP="00C576E0">
            <w:pPr>
              <w:tabs>
                <w:tab w:val="left" w:pos="360"/>
              </w:tabs>
              <w:rPr>
                <w:rFonts w:cs="Arial"/>
              </w:rPr>
            </w:pPr>
            <w:r w:rsidRPr="00C576E0">
              <w:rPr>
                <w:rFonts w:cs="Arial"/>
                <w:sz w:val="20"/>
              </w:rPr>
              <w:t>e)</w:t>
            </w:r>
            <w:r w:rsidRPr="00C576E0">
              <w:rPr>
                <w:rFonts w:cs="Arial"/>
                <w:sz w:val="20"/>
              </w:rPr>
              <w:tab/>
              <w:t>fyzická osoba nebo osoby, které fakticky vykonávají nejvyšší řídící funkci, nelze-li skutečného majitele určit podle písmene a) až d).</w:t>
            </w:r>
          </w:p>
        </w:tc>
        <w:tc>
          <w:tcPr>
            <w:tcW w:w="1412" w:type="dxa"/>
          </w:tcPr>
          <w:p w:rsidR="00A37FEE" w:rsidRPr="00E20AE9" w:rsidRDefault="00C62B29" w:rsidP="00C62B29">
            <w:pPr>
              <w:tabs>
                <w:tab w:val="left" w:pos="360"/>
              </w:tabs>
              <w:rPr>
                <w:rFonts w:cs="Arial"/>
              </w:rPr>
            </w:pPr>
            <w:r>
              <w:rPr>
                <w:rFonts w:cs="Arial"/>
                <w:sz w:val="20"/>
              </w:rPr>
              <w:t>32015L0849</w:t>
            </w:r>
          </w:p>
        </w:tc>
        <w:tc>
          <w:tcPr>
            <w:tcW w:w="1418" w:type="dxa"/>
            <w:shd w:val="clear" w:color="auto" w:fill="auto"/>
          </w:tcPr>
          <w:p w:rsidR="00A37FEE" w:rsidRPr="00E20AE9" w:rsidRDefault="00724313" w:rsidP="00E416FF">
            <w:pPr>
              <w:tabs>
                <w:tab w:val="left" w:pos="360"/>
              </w:tabs>
              <w:rPr>
                <w:rFonts w:cs="Arial"/>
                <w:sz w:val="20"/>
              </w:rPr>
            </w:pPr>
            <w:r>
              <w:rPr>
                <w:rFonts w:cs="Arial"/>
                <w:sz w:val="20"/>
              </w:rPr>
              <w:t>č</w:t>
            </w:r>
            <w:r w:rsidR="00E416FF" w:rsidRPr="00E20AE9">
              <w:rPr>
                <w:rFonts w:cs="Arial"/>
                <w:sz w:val="20"/>
              </w:rPr>
              <w:t xml:space="preserve">l. 3 odst. 6 písm. a) bod </w:t>
            </w:r>
            <w:proofErr w:type="spellStart"/>
            <w:r w:rsidR="00E416FF" w:rsidRPr="00E20AE9">
              <w:rPr>
                <w:rFonts w:cs="Arial"/>
                <w:sz w:val="20"/>
              </w:rPr>
              <w:t>ii</w:t>
            </w:r>
            <w:proofErr w:type="spellEnd"/>
            <w:r w:rsidR="00E416FF" w:rsidRPr="00E20AE9">
              <w:rPr>
                <w:rFonts w:cs="Arial"/>
                <w:sz w:val="20"/>
              </w:rPr>
              <w:t>) a písm. b)</w:t>
            </w:r>
          </w:p>
        </w:tc>
        <w:tc>
          <w:tcPr>
            <w:tcW w:w="5103" w:type="dxa"/>
            <w:shd w:val="clear" w:color="auto" w:fill="auto"/>
          </w:tcPr>
          <w:p w:rsidR="00A37FEE" w:rsidRPr="00E20AE9" w:rsidRDefault="00F5403A" w:rsidP="00E416FF">
            <w:pPr>
              <w:tabs>
                <w:tab w:val="left" w:pos="360"/>
              </w:tabs>
              <w:rPr>
                <w:rFonts w:cs="Arial"/>
                <w:sz w:val="20"/>
              </w:rPr>
            </w:pPr>
            <w:r w:rsidRPr="00E20AE9">
              <w:rPr>
                <w:rFonts w:cs="Arial"/>
                <w:sz w:val="20"/>
              </w:rPr>
              <w:t xml:space="preserve">6. </w:t>
            </w:r>
            <w:r w:rsidR="00E416FF" w:rsidRPr="00E20AE9">
              <w:rPr>
                <w:rFonts w:cs="Arial"/>
                <w:sz w:val="20"/>
              </w:rPr>
              <w:t>„skutečným majitelem“ fyzická osoba nebo osoby, které v konečném důsledku vlastní nebo kontrolují klienta, nebo fyzická osoba nebo osoby, jejichž jménem se transakce nebo činnost provádí, což zahrnuje přinejmenším:</w:t>
            </w:r>
          </w:p>
          <w:p w:rsidR="00E416FF" w:rsidRPr="00E20AE9" w:rsidRDefault="00E416FF" w:rsidP="00E416FF">
            <w:pPr>
              <w:tabs>
                <w:tab w:val="left" w:pos="360"/>
              </w:tabs>
              <w:rPr>
                <w:rFonts w:cs="Arial"/>
                <w:sz w:val="20"/>
              </w:rPr>
            </w:pPr>
            <w:r w:rsidRPr="00E20AE9">
              <w:rPr>
                <w:rFonts w:cs="Arial"/>
                <w:sz w:val="20"/>
              </w:rPr>
              <w:t>…..</w:t>
            </w:r>
          </w:p>
          <w:p w:rsidR="00E416FF" w:rsidRPr="00E20AE9" w:rsidRDefault="00E416FF" w:rsidP="00E416FF">
            <w:pPr>
              <w:tabs>
                <w:tab w:val="left" w:pos="360"/>
              </w:tabs>
              <w:rPr>
                <w:rFonts w:cs="Arial"/>
                <w:sz w:val="20"/>
              </w:rPr>
            </w:pPr>
            <w:proofErr w:type="spellStart"/>
            <w:r w:rsidRPr="00E20AE9">
              <w:rPr>
                <w:rFonts w:cs="Arial"/>
                <w:sz w:val="20"/>
              </w:rPr>
              <w:t>ii</w:t>
            </w:r>
            <w:proofErr w:type="spellEnd"/>
            <w:r w:rsidRPr="00E20AE9">
              <w:rPr>
                <w:rFonts w:cs="Arial"/>
                <w:sz w:val="20"/>
              </w:rPr>
              <w:t>)</w:t>
            </w:r>
            <w:r w:rsidRPr="00E20AE9">
              <w:rPr>
                <w:rFonts w:cs="Arial"/>
                <w:sz w:val="20"/>
              </w:rPr>
              <w:tab/>
              <w:t>fyzickou osobu nebo osoby ve vrcholném vedení, jestliže po vyčerpání všech možných prostředků a za podmínky, že neexistuje žádné důvodné podezření, není identifikována žádná osoba podle bodu i) nebo jestliže existuje pochybnost o tom, že identifikovaná osoba nebo osoby jsou skutečnými majiteli; povinné osoby vedou záznamy o krocích učiněných k identifikaci skutečného majitele podle bodu i) a tohoto bodu.</w:t>
            </w:r>
          </w:p>
          <w:p w:rsidR="00E416FF" w:rsidRPr="00E20AE9" w:rsidRDefault="00E416FF" w:rsidP="00E416FF">
            <w:pPr>
              <w:tabs>
                <w:tab w:val="left" w:pos="360"/>
              </w:tabs>
              <w:rPr>
                <w:rFonts w:cs="Arial"/>
                <w:sz w:val="20"/>
              </w:rPr>
            </w:pPr>
            <w:r w:rsidRPr="00E20AE9">
              <w:rPr>
                <w:rFonts w:cs="Arial"/>
                <w:sz w:val="20"/>
              </w:rPr>
              <w:t>b)</w:t>
            </w:r>
            <w:r w:rsidRPr="00E20AE9">
              <w:rPr>
                <w:rFonts w:cs="Arial"/>
                <w:sz w:val="20"/>
              </w:rPr>
              <w:tab/>
              <w:t>v případě svěřenských fondů:</w:t>
            </w:r>
          </w:p>
          <w:p w:rsidR="00E416FF" w:rsidRPr="00E20AE9" w:rsidRDefault="00E416FF" w:rsidP="00E416FF">
            <w:pPr>
              <w:tabs>
                <w:tab w:val="left" w:pos="360"/>
              </w:tabs>
              <w:rPr>
                <w:rFonts w:cs="Arial"/>
                <w:sz w:val="20"/>
              </w:rPr>
            </w:pPr>
            <w:r w:rsidRPr="00E20AE9">
              <w:rPr>
                <w:rFonts w:cs="Arial"/>
                <w:sz w:val="20"/>
              </w:rPr>
              <w:t>i)</w:t>
            </w:r>
            <w:r w:rsidRPr="00E20AE9">
              <w:rPr>
                <w:rFonts w:cs="Arial"/>
                <w:sz w:val="20"/>
              </w:rPr>
              <w:tab/>
              <w:t>zakladatele;</w:t>
            </w:r>
          </w:p>
          <w:p w:rsidR="00E416FF" w:rsidRPr="00E20AE9" w:rsidRDefault="00E416FF" w:rsidP="00E416FF">
            <w:pPr>
              <w:tabs>
                <w:tab w:val="left" w:pos="360"/>
              </w:tabs>
              <w:rPr>
                <w:rFonts w:cs="Arial"/>
                <w:sz w:val="20"/>
              </w:rPr>
            </w:pPr>
            <w:proofErr w:type="spellStart"/>
            <w:r w:rsidRPr="00E20AE9">
              <w:rPr>
                <w:rFonts w:cs="Arial"/>
                <w:sz w:val="20"/>
              </w:rPr>
              <w:t>ii</w:t>
            </w:r>
            <w:proofErr w:type="spellEnd"/>
            <w:r w:rsidRPr="00E20AE9">
              <w:rPr>
                <w:rFonts w:cs="Arial"/>
                <w:sz w:val="20"/>
              </w:rPr>
              <w:t>)</w:t>
            </w:r>
            <w:r w:rsidRPr="00E20AE9">
              <w:rPr>
                <w:rFonts w:cs="Arial"/>
                <w:sz w:val="20"/>
              </w:rPr>
              <w:tab/>
              <w:t>svěřenského správce nebo svěřenské správce;</w:t>
            </w:r>
          </w:p>
          <w:p w:rsidR="00E416FF" w:rsidRPr="00E20AE9" w:rsidRDefault="00E416FF" w:rsidP="00E416FF">
            <w:pPr>
              <w:tabs>
                <w:tab w:val="left" w:pos="360"/>
              </w:tabs>
              <w:rPr>
                <w:rFonts w:cs="Arial"/>
                <w:sz w:val="20"/>
              </w:rPr>
            </w:pPr>
            <w:proofErr w:type="spellStart"/>
            <w:r w:rsidRPr="00E20AE9">
              <w:rPr>
                <w:rFonts w:cs="Arial"/>
                <w:sz w:val="20"/>
              </w:rPr>
              <w:t>iii</w:t>
            </w:r>
            <w:proofErr w:type="spellEnd"/>
            <w:r w:rsidRPr="00E20AE9">
              <w:rPr>
                <w:rFonts w:cs="Arial"/>
                <w:sz w:val="20"/>
              </w:rPr>
              <w:t>)</w:t>
            </w:r>
            <w:r w:rsidRPr="00E20AE9">
              <w:rPr>
                <w:rFonts w:cs="Arial"/>
                <w:sz w:val="20"/>
              </w:rPr>
              <w:tab/>
              <w:t>osoby vykonávající dohled nad správou fondu, existují-li;</w:t>
            </w:r>
          </w:p>
          <w:p w:rsidR="00E416FF" w:rsidRPr="00E20AE9" w:rsidRDefault="00E416FF" w:rsidP="00E416FF">
            <w:pPr>
              <w:tabs>
                <w:tab w:val="left" w:pos="360"/>
              </w:tabs>
              <w:rPr>
                <w:rFonts w:cs="Arial"/>
                <w:sz w:val="20"/>
              </w:rPr>
            </w:pPr>
            <w:proofErr w:type="spellStart"/>
            <w:r w:rsidRPr="00E20AE9">
              <w:rPr>
                <w:rFonts w:cs="Arial"/>
                <w:sz w:val="20"/>
              </w:rPr>
              <w:t>iv</w:t>
            </w:r>
            <w:proofErr w:type="spellEnd"/>
            <w:r w:rsidRPr="00E20AE9">
              <w:rPr>
                <w:rFonts w:cs="Arial"/>
                <w:sz w:val="20"/>
              </w:rPr>
              <w:t>)</w:t>
            </w:r>
            <w:r w:rsidRPr="00E20AE9">
              <w:rPr>
                <w:rFonts w:cs="Arial"/>
                <w:sz w:val="20"/>
              </w:rPr>
              <w:tab/>
              <w:t>obmyšlení, nebo pokud ještě nebyly určeny konkrétní fyzické osoby, které mají prospěch z právního uspořádání nebo právnické osoby, okruh osob, v jejichž hlavním zájmu je právní uspořádání nebo právnická osoba založena nebo provozována;</w:t>
            </w:r>
          </w:p>
          <w:p w:rsidR="00E416FF" w:rsidRPr="00E20AE9" w:rsidRDefault="00E416FF" w:rsidP="00E416FF">
            <w:pPr>
              <w:tabs>
                <w:tab w:val="left" w:pos="360"/>
              </w:tabs>
              <w:rPr>
                <w:rFonts w:cs="Arial"/>
                <w:sz w:val="20"/>
              </w:rPr>
            </w:pPr>
            <w:r w:rsidRPr="00E20AE9">
              <w:rPr>
                <w:rFonts w:cs="Arial"/>
                <w:sz w:val="20"/>
              </w:rPr>
              <w:t>v)</w:t>
            </w:r>
            <w:r w:rsidRPr="00E20AE9">
              <w:rPr>
                <w:rFonts w:cs="Arial"/>
                <w:sz w:val="20"/>
              </w:rPr>
              <w:tab/>
              <w:t>jakoukoli jinou fyzickou osobu, která v konečném důsledku vykonává kontrolu nad svěřenským fondem prostřednictvím přímého či nepřímého vlastnictví nebo jinými prostředky;</w:t>
            </w:r>
          </w:p>
          <w:p w:rsidR="00E416FF" w:rsidRPr="00E20AE9" w:rsidRDefault="00E416FF" w:rsidP="00E416FF">
            <w:pPr>
              <w:tabs>
                <w:tab w:val="left" w:pos="360"/>
              </w:tabs>
              <w:rPr>
                <w:rFonts w:cs="Arial"/>
                <w:sz w:val="20"/>
              </w:rPr>
            </w:pPr>
          </w:p>
        </w:tc>
      </w:tr>
      <w:tr w:rsidR="00A37FEE" w:rsidRPr="00E20AE9" w:rsidTr="004C3E28">
        <w:trPr>
          <w:trHeight w:val="277"/>
        </w:trPr>
        <w:tc>
          <w:tcPr>
            <w:tcW w:w="1629" w:type="dxa"/>
            <w:tcBorders>
              <w:bottom w:val="dashSmallGap" w:sz="4" w:space="0" w:color="4F81BD" w:themeColor="accent1"/>
            </w:tcBorders>
          </w:tcPr>
          <w:p w:rsidR="00A37FEE" w:rsidRPr="00E20AE9" w:rsidRDefault="001E29EE" w:rsidP="00C62B29">
            <w:pPr>
              <w:tabs>
                <w:tab w:val="left" w:pos="360"/>
              </w:tabs>
              <w:rPr>
                <w:rFonts w:cs="Arial"/>
              </w:rPr>
            </w:pPr>
            <w:r w:rsidRPr="00E20AE9">
              <w:rPr>
                <w:rFonts w:cs="Arial"/>
                <w:sz w:val="20"/>
              </w:rPr>
              <w:t>§ 4 odst. 5 písmeno a</w:t>
            </w:r>
            <w:r w:rsidR="00E416FF" w:rsidRPr="00E20AE9">
              <w:rPr>
                <w:rFonts w:cs="Arial"/>
                <w:sz w:val="20"/>
              </w:rPr>
              <w:t>)</w:t>
            </w:r>
          </w:p>
        </w:tc>
        <w:tc>
          <w:tcPr>
            <w:tcW w:w="4447" w:type="dxa"/>
            <w:tcBorders>
              <w:bottom w:val="dashSmallGap" w:sz="4" w:space="0" w:color="4F81BD" w:themeColor="accent1"/>
            </w:tcBorders>
          </w:tcPr>
          <w:p w:rsidR="00A37FEE" w:rsidRPr="00E20AE9" w:rsidRDefault="00C576E0" w:rsidP="00C62B29">
            <w:pPr>
              <w:tabs>
                <w:tab w:val="left" w:pos="360"/>
              </w:tabs>
              <w:rPr>
                <w:rFonts w:cs="Arial"/>
              </w:rPr>
            </w:pPr>
            <w:r>
              <w:rPr>
                <w:rFonts w:cs="Arial"/>
                <w:sz w:val="20"/>
              </w:rPr>
              <w:t xml:space="preserve">a) </w:t>
            </w:r>
            <w:r w:rsidRPr="00C576E0">
              <w:rPr>
                <w:rFonts w:cs="Arial"/>
                <w:sz w:val="20"/>
              </w:rPr>
              <w:t xml:space="preserve">fyzická osoba, která je nebo byla ve významné veřejné funkci, jako je například hlava státu, předseda vlády, ministr, zástupce ministra (náměstek, státní tajemník), člen parlamentu, člen řídícího orgánu politické strany, člen nejvyššího soudu, ústavního soudu nebo jiného nejvyššího justičního orgánu, proti jehož rozhodnutí obecně až na výjimky nelze použít opravné prostředky, člen účetního dvora, člen vrcholného orgánu centrální banky, vysoký důstojník v ozbrojených </w:t>
            </w:r>
            <w:r w:rsidRPr="00C576E0">
              <w:rPr>
                <w:rFonts w:cs="Arial"/>
                <w:sz w:val="20"/>
              </w:rPr>
              <w:lastRenderedPageBreak/>
              <w:t>silách nebo sborech, člen správního, řídícího nebo kontrolního orgánu obchodního závodu</w:t>
            </w:r>
            <w:r w:rsidRPr="00C576E0">
              <w:rPr>
                <w:rFonts w:cs="Arial"/>
                <w:sz w:val="20"/>
                <w:vertAlign w:val="superscript"/>
              </w:rPr>
              <w:t>9)</w:t>
            </w:r>
            <w:r w:rsidRPr="00C576E0">
              <w:rPr>
                <w:rFonts w:cs="Arial"/>
                <w:sz w:val="20"/>
              </w:rPr>
              <w:t xml:space="preserve"> ve vlastnictví státu, velvyslanec nebo vedoucí diplomatické mise, nebo fyzická osoba, která obdobné funkce vykonává v orgánech Evropské unie nebo jiných mezinárodních organizací,</w:t>
            </w:r>
          </w:p>
        </w:tc>
        <w:tc>
          <w:tcPr>
            <w:tcW w:w="1412" w:type="dxa"/>
            <w:tcBorders>
              <w:bottom w:val="dashSmallGap" w:sz="4" w:space="0" w:color="4F81BD" w:themeColor="accent1"/>
            </w:tcBorders>
          </w:tcPr>
          <w:p w:rsidR="00A37FEE" w:rsidRPr="00E20AE9" w:rsidRDefault="00C62B29" w:rsidP="00C62B29">
            <w:pPr>
              <w:tabs>
                <w:tab w:val="left" w:pos="360"/>
              </w:tabs>
              <w:rPr>
                <w:rFonts w:cs="Arial"/>
              </w:rPr>
            </w:pPr>
            <w:r>
              <w:rPr>
                <w:rFonts w:cs="Arial"/>
                <w:sz w:val="20"/>
              </w:rPr>
              <w:lastRenderedPageBreak/>
              <w:t>32015L0849</w:t>
            </w:r>
          </w:p>
        </w:tc>
        <w:tc>
          <w:tcPr>
            <w:tcW w:w="1418" w:type="dxa"/>
            <w:tcBorders>
              <w:bottom w:val="dashSmallGap" w:sz="4" w:space="0" w:color="4F81BD" w:themeColor="accent1"/>
            </w:tcBorders>
            <w:shd w:val="clear" w:color="auto" w:fill="auto"/>
          </w:tcPr>
          <w:p w:rsidR="00A37FEE" w:rsidRPr="00E20AE9" w:rsidRDefault="00724313" w:rsidP="002B5BFA">
            <w:pPr>
              <w:tabs>
                <w:tab w:val="left" w:pos="360"/>
              </w:tabs>
              <w:rPr>
                <w:rFonts w:cs="Arial"/>
                <w:sz w:val="20"/>
              </w:rPr>
            </w:pPr>
            <w:r>
              <w:rPr>
                <w:rFonts w:cs="Arial"/>
                <w:sz w:val="20"/>
              </w:rPr>
              <w:t>č</w:t>
            </w:r>
            <w:r w:rsidR="001E29EE" w:rsidRPr="00E20AE9">
              <w:rPr>
                <w:rFonts w:cs="Arial"/>
                <w:sz w:val="20"/>
              </w:rPr>
              <w:t>l. 3 odst. 9</w:t>
            </w:r>
          </w:p>
        </w:tc>
        <w:tc>
          <w:tcPr>
            <w:tcW w:w="5103" w:type="dxa"/>
            <w:tcBorders>
              <w:bottom w:val="dashSmallGap" w:sz="4" w:space="0" w:color="4F81BD" w:themeColor="accent1"/>
            </w:tcBorders>
            <w:shd w:val="clear" w:color="auto" w:fill="auto"/>
          </w:tcPr>
          <w:p w:rsidR="00F5403A" w:rsidRPr="00E20AE9" w:rsidRDefault="00F5403A" w:rsidP="00F5403A">
            <w:pPr>
              <w:tabs>
                <w:tab w:val="left" w:pos="360"/>
              </w:tabs>
              <w:rPr>
                <w:rFonts w:cs="Arial"/>
                <w:sz w:val="20"/>
              </w:rPr>
            </w:pPr>
            <w:r w:rsidRPr="00E20AE9">
              <w:rPr>
                <w:rFonts w:cs="Arial"/>
                <w:sz w:val="20"/>
              </w:rPr>
              <w:t>9)</w:t>
            </w:r>
            <w:r w:rsidRPr="00E20AE9">
              <w:rPr>
                <w:rFonts w:cs="Arial"/>
                <w:sz w:val="20"/>
              </w:rPr>
              <w:tab/>
              <w:t>„politicky exponovanou osobou“ fyzická osoba, která zastává nebo zastávala významnou veřejnou funkci, včetně:</w:t>
            </w:r>
          </w:p>
          <w:p w:rsidR="00A37FEE" w:rsidRPr="00E20AE9" w:rsidRDefault="00F5403A" w:rsidP="00F5403A">
            <w:pPr>
              <w:tabs>
                <w:tab w:val="left" w:pos="360"/>
              </w:tabs>
              <w:rPr>
                <w:rFonts w:cs="Arial"/>
                <w:sz w:val="20"/>
              </w:rPr>
            </w:pPr>
            <w:r w:rsidRPr="00E20AE9">
              <w:rPr>
                <w:rFonts w:cs="Arial"/>
                <w:sz w:val="20"/>
              </w:rPr>
              <w:t>a)</w:t>
            </w:r>
            <w:r w:rsidRPr="00E20AE9">
              <w:rPr>
                <w:rFonts w:cs="Arial"/>
                <w:sz w:val="20"/>
              </w:rPr>
              <w:tab/>
              <w:t>hlav států, předsedů vlád, ministrů, náměstků ministrů a státních tajemníků;</w:t>
            </w:r>
          </w:p>
          <w:p w:rsidR="00F5403A" w:rsidRPr="00E20AE9" w:rsidRDefault="00F5403A" w:rsidP="00F5403A">
            <w:pPr>
              <w:tabs>
                <w:tab w:val="left" w:pos="360"/>
              </w:tabs>
              <w:rPr>
                <w:rFonts w:cs="Arial"/>
                <w:sz w:val="20"/>
              </w:rPr>
            </w:pPr>
            <w:r w:rsidRPr="00E20AE9">
              <w:rPr>
                <w:rFonts w:cs="Arial"/>
                <w:sz w:val="20"/>
              </w:rPr>
              <w:t>b)</w:t>
            </w:r>
            <w:r w:rsidRPr="00E20AE9">
              <w:rPr>
                <w:rFonts w:cs="Arial"/>
                <w:sz w:val="20"/>
              </w:rPr>
              <w:tab/>
              <w:t>členů parlamentu nebo podobných zákonodárných orgánů;</w:t>
            </w:r>
          </w:p>
          <w:p w:rsidR="00F5403A" w:rsidRPr="00E20AE9" w:rsidRDefault="00F5403A" w:rsidP="00F5403A">
            <w:pPr>
              <w:tabs>
                <w:tab w:val="left" w:pos="360"/>
              </w:tabs>
              <w:rPr>
                <w:rFonts w:cs="Arial"/>
                <w:sz w:val="20"/>
              </w:rPr>
            </w:pPr>
            <w:r w:rsidRPr="00E20AE9">
              <w:rPr>
                <w:rFonts w:cs="Arial"/>
                <w:sz w:val="20"/>
              </w:rPr>
              <w:t>c)</w:t>
            </w:r>
            <w:r w:rsidRPr="00E20AE9">
              <w:rPr>
                <w:rFonts w:cs="Arial"/>
                <w:sz w:val="20"/>
              </w:rPr>
              <w:tab/>
              <w:t>členů řídících orgánů politických stran;</w:t>
            </w:r>
          </w:p>
          <w:p w:rsidR="00F5403A" w:rsidRPr="00E20AE9" w:rsidRDefault="00F5403A" w:rsidP="00F5403A">
            <w:pPr>
              <w:tabs>
                <w:tab w:val="left" w:pos="360"/>
              </w:tabs>
              <w:rPr>
                <w:rFonts w:cs="Arial"/>
                <w:sz w:val="20"/>
              </w:rPr>
            </w:pPr>
            <w:r w:rsidRPr="00E20AE9">
              <w:rPr>
                <w:rFonts w:cs="Arial"/>
                <w:sz w:val="20"/>
              </w:rPr>
              <w:t>d)</w:t>
            </w:r>
            <w:r w:rsidRPr="00E20AE9">
              <w:rPr>
                <w:rFonts w:cs="Arial"/>
                <w:sz w:val="20"/>
              </w:rPr>
              <w:tab/>
              <w:t xml:space="preserve">členů nejvyšších soudů, ústavních soudů nebo dalších nejvyšších justičních orgánů, proti jejichž </w:t>
            </w:r>
            <w:r w:rsidRPr="00E20AE9">
              <w:rPr>
                <w:rFonts w:cs="Arial"/>
                <w:sz w:val="20"/>
              </w:rPr>
              <w:lastRenderedPageBreak/>
              <w:t>rozhodnutí nelze s výhradou výjimečných okolností podat opravný prostředek;</w:t>
            </w:r>
          </w:p>
          <w:p w:rsidR="00F5403A" w:rsidRPr="00E20AE9" w:rsidRDefault="00F5403A" w:rsidP="00F5403A">
            <w:pPr>
              <w:tabs>
                <w:tab w:val="left" w:pos="360"/>
              </w:tabs>
              <w:rPr>
                <w:rFonts w:cs="Arial"/>
                <w:sz w:val="20"/>
              </w:rPr>
            </w:pPr>
            <w:r w:rsidRPr="00E20AE9">
              <w:rPr>
                <w:rFonts w:cs="Arial"/>
                <w:sz w:val="20"/>
              </w:rPr>
              <w:t>e)</w:t>
            </w:r>
            <w:r w:rsidRPr="00E20AE9">
              <w:rPr>
                <w:rFonts w:cs="Arial"/>
                <w:sz w:val="20"/>
              </w:rPr>
              <w:tab/>
              <w:t>členů účetních dvorů nebo rad centrálních bank;</w:t>
            </w:r>
          </w:p>
          <w:p w:rsidR="00F5403A" w:rsidRPr="00E20AE9" w:rsidRDefault="00F5403A" w:rsidP="00F5403A">
            <w:pPr>
              <w:tabs>
                <w:tab w:val="left" w:pos="360"/>
              </w:tabs>
              <w:rPr>
                <w:rFonts w:cs="Arial"/>
                <w:sz w:val="20"/>
              </w:rPr>
            </w:pPr>
            <w:r w:rsidRPr="00E20AE9">
              <w:rPr>
                <w:rFonts w:cs="Arial"/>
                <w:sz w:val="20"/>
              </w:rPr>
              <w:t>f)</w:t>
            </w:r>
            <w:r w:rsidRPr="00E20AE9">
              <w:rPr>
                <w:rFonts w:cs="Arial"/>
                <w:sz w:val="20"/>
              </w:rPr>
              <w:tab/>
              <w:t xml:space="preserve">velvyslanců, </w:t>
            </w:r>
            <w:proofErr w:type="spellStart"/>
            <w:r w:rsidRPr="00E20AE9">
              <w:rPr>
                <w:rFonts w:cs="Arial"/>
                <w:sz w:val="20"/>
              </w:rPr>
              <w:t>chargés</w:t>
            </w:r>
            <w:proofErr w:type="spellEnd"/>
            <w:r w:rsidRPr="00E20AE9">
              <w:rPr>
                <w:rFonts w:cs="Arial"/>
                <w:sz w:val="20"/>
              </w:rPr>
              <w:t xml:space="preserve"> d'affaires a vysokých důstojníků ozbrojených sil;</w:t>
            </w:r>
          </w:p>
          <w:p w:rsidR="00F5403A" w:rsidRPr="00E20AE9" w:rsidRDefault="00F5403A" w:rsidP="00F5403A">
            <w:pPr>
              <w:tabs>
                <w:tab w:val="left" w:pos="360"/>
              </w:tabs>
              <w:rPr>
                <w:rFonts w:cs="Arial"/>
                <w:sz w:val="20"/>
              </w:rPr>
            </w:pPr>
            <w:r w:rsidRPr="00E20AE9">
              <w:rPr>
                <w:rFonts w:cs="Arial"/>
                <w:sz w:val="20"/>
              </w:rPr>
              <w:t>g)</w:t>
            </w:r>
            <w:r w:rsidRPr="00E20AE9">
              <w:rPr>
                <w:rFonts w:cs="Arial"/>
                <w:sz w:val="20"/>
              </w:rPr>
              <w:tab/>
              <w:t>členů správních, řídících nebo dozorčích orgánů podniků ve vlastnictví státu;</w:t>
            </w:r>
          </w:p>
          <w:p w:rsidR="00F5403A" w:rsidRPr="00E20AE9" w:rsidRDefault="00F5403A" w:rsidP="00F5403A">
            <w:pPr>
              <w:tabs>
                <w:tab w:val="left" w:pos="360"/>
              </w:tabs>
              <w:rPr>
                <w:rFonts w:cs="Arial"/>
                <w:sz w:val="20"/>
              </w:rPr>
            </w:pPr>
            <w:r w:rsidRPr="00E20AE9">
              <w:rPr>
                <w:rFonts w:cs="Arial"/>
                <w:sz w:val="20"/>
              </w:rPr>
              <w:t>h)</w:t>
            </w:r>
            <w:r w:rsidRPr="00E20AE9">
              <w:rPr>
                <w:rFonts w:cs="Arial"/>
                <w:sz w:val="20"/>
              </w:rPr>
              <w:tab/>
              <w:t>ředitelů, zástupců ředitelů a členů rady nebo osob v rovnocenném postavení v mezinárodní organizaci.</w:t>
            </w:r>
          </w:p>
          <w:p w:rsidR="00F5403A" w:rsidRPr="00E20AE9" w:rsidRDefault="00F5403A" w:rsidP="00F5403A">
            <w:pPr>
              <w:tabs>
                <w:tab w:val="left" w:pos="360"/>
              </w:tabs>
              <w:rPr>
                <w:rFonts w:cs="Arial"/>
                <w:sz w:val="20"/>
              </w:rPr>
            </w:pPr>
            <w:r w:rsidRPr="00E20AE9">
              <w:rPr>
                <w:rFonts w:cs="Arial"/>
                <w:sz w:val="20"/>
              </w:rPr>
              <w:t>Žádná z veřejných funkcí uvedených v bodech a) až h) nezahrnuje středně postavené či nižší úředníky;</w:t>
            </w:r>
          </w:p>
          <w:p w:rsidR="00F5403A" w:rsidRPr="00E20AE9" w:rsidRDefault="00F5403A" w:rsidP="00F5403A">
            <w:pPr>
              <w:tabs>
                <w:tab w:val="left" w:pos="360"/>
              </w:tabs>
              <w:rPr>
                <w:rFonts w:cs="Arial"/>
                <w:sz w:val="20"/>
              </w:rPr>
            </w:pPr>
          </w:p>
          <w:p w:rsidR="00F5403A" w:rsidRPr="00E20AE9" w:rsidRDefault="00F5403A" w:rsidP="00F5403A">
            <w:pPr>
              <w:tabs>
                <w:tab w:val="left" w:pos="360"/>
              </w:tabs>
              <w:rPr>
                <w:rFonts w:cs="Arial"/>
                <w:sz w:val="20"/>
              </w:rPr>
            </w:pPr>
          </w:p>
        </w:tc>
      </w:tr>
      <w:tr w:rsidR="002B5BFA" w:rsidRPr="00E20AE9" w:rsidTr="004C3E28">
        <w:trPr>
          <w:trHeight w:val="277"/>
        </w:trPr>
        <w:tc>
          <w:tcPr>
            <w:tcW w:w="1629" w:type="dxa"/>
            <w:tcBorders>
              <w:top w:val="dashSmallGap" w:sz="4" w:space="0" w:color="4F81BD" w:themeColor="accent1"/>
              <w:left w:val="single" w:sz="4" w:space="0" w:color="auto"/>
              <w:bottom w:val="single" w:sz="4" w:space="0" w:color="auto"/>
              <w:right w:val="single" w:sz="4" w:space="0" w:color="auto"/>
            </w:tcBorders>
          </w:tcPr>
          <w:p w:rsidR="002B5BFA" w:rsidRPr="00E20AE9" w:rsidRDefault="002B5BFA" w:rsidP="00C62B29">
            <w:pPr>
              <w:tabs>
                <w:tab w:val="left" w:pos="360"/>
              </w:tabs>
              <w:rPr>
                <w:rFonts w:cs="Arial"/>
                <w:sz w:val="20"/>
              </w:rPr>
            </w:pPr>
          </w:p>
        </w:tc>
        <w:tc>
          <w:tcPr>
            <w:tcW w:w="4447" w:type="dxa"/>
            <w:tcBorders>
              <w:top w:val="dashSmallGap" w:sz="4" w:space="0" w:color="4F81BD" w:themeColor="accent1"/>
              <w:left w:val="single" w:sz="4" w:space="0" w:color="auto"/>
              <w:bottom w:val="single" w:sz="4" w:space="0" w:color="auto"/>
              <w:right w:val="single" w:sz="4" w:space="0" w:color="auto"/>
            </w:tcBorders>
          </w:tcPr>
          <w:p w:rsidR="002B5BFA" w:rsidRPr="00E20AE9" w:rsidRDefault="002B5BFA" w:rsidP="00C62B29">
            <w:pPr>
              <w:tabs>
                <w:tab w:val="left" w:pos="360"/>
              </w:tabs>
              <w:rPr>
                <w:rFonts w:cs="Arial"/>
                <w:sz w:val="20"/>
              </w:rPr>
            </w:pPr>
          </w:p>
        </w:tc>
        <w:tc>
          <w:tcPr>
            <w:tcW w:w="1412" w:type="dxa"/>
            <w:tcBorders>
              <w:top w:val="dashSmallGap" w:sz="4" w:space="0" w:color="4F81BD" w:themeColor="accent1"/>
              <w:left w:val="single" w:sz="4" w:space="0" w:color="auto"/>
              <w:bottom w:val="single" w:sz="4" w:space="0" w:color="auto"/>
              <w:right w:val="single" w:sz="4" w:space="0" w:color="auto"/>
            </w:tcBorders>
          </w:tcPr>
          <w:p w:rsidR="002B5BFA" w:rsidRPr="00E20AE9" w:rsidRDefault="00C62B29" w:rsidP="00C62B29">
            <w:pPr>
              <w:tabs>
                <w:tab w:val="left" w:pos="360"/>
              </w:tabs>
              <w:rPr>
                <w:rFonts w:cs="Arial"/>
                <w:sz w:val="20"/>
              </w:rPr>
            </w:pPr>
            <w:r>
              <w:rPr>
                <w:rFonts w:cs="Arial"/>
                <w:sz w:val="20"/>
              </w:rPr>
              <w:t>32015L0849</w:t>
            </w:r>
          </w:p>
        </w:tc>
        <w:tc>
          <w:tcPr>
            <w:tcW w:w="1418" w:type="dxa"/>
            <w:tcBorders>
              <w:top w:val="dashSmallGap" w:sz="4" w:space="0" w:color="4F81BD" w:themeColor="accent1"/>
              <w:left w:val="single" w:sz="4" w:space="0" w:color="auto"/>
              <w:bottom w:val="single" w:sz="4" w:space="0" w:color="auto"/>
              <w:right w:val="single" w:sz="4" w:space="0" w:color="auto"/>
            </w:tcBorders>
            <w:shd w:val="clear" w:color="auto" w:fill="auto"/>
          </w:tcPr>
          <w:p w:rsidR="002B5BFA" w:rsidRPr="00E20AE9" w:rsidRDefault="00724313" w:rsidP="00C62B29">
            <w:pPr>
              <w:tabs>
                <w:tab w:val="left" w:pos="360"/>
              </w:tabs>
              <w:rPr>
                <w:rFonts w:cs="Arial"/>
                <w:sz w:val="20"/>
              </w:rPr>
            </w:pPr>
            <w:r>
              <w:rPr>
                <w:rFonts w:cs="Arial"/>
                <w:sz w:val="20"/>
              </w:rPr>
              <w:t>č</w:t>
            </w:r>
            <w:r w:rsidR="002B5BFA">
              <w:rPr>
                <w:rFonts w:cs="Arial"/>
                <w:sz w:val="20"/>
              </w:rPr>
              <w:t>l. 22</w:t>
            </w:r>
          </w:p>
        </w:tc>
        <w:tc>
          <w:tcPr>
            <w:tcW w:w="5103" w:type="dxa"/>
            <w:tcBorders>
              <w:top w:val="dashSmallGap" w:sz="4" w:space="0" w:color="4F81BD" w:themeColor="accent1"/>
              <w:left w:val="single" w:sz="4" w:space="0" w:color="auto"/>
              <w:bottom w:val="single" w:sz="4" w:space="0" w:color="auto"/>
              <w:right w:val="single" w:sz="4" w:space="0" w:color="auto"/>
            </w:tcBorders>
            <w:shd w:val="clear" w:color="auto" w:fill="auto"/>
          </w:tcPr>
          <w:p w:rsidR="002B5BFA" w:rsidRPr="00E20AE9" w:rsidRDefault="002B5BFA" w:rsidP="00F5403A">
            <w:pPr>
              <w:tabs>
                <w:tab w:val="left" w:pos="360"/>
              </w:tabs>
              <w:rPr>
                <w:rFonts w:cs="Arial"/>
                <w:sz w:val="20"/>
              </w:rPr>
            </w:pPr>
            <w:r w:rsidRPr="00E20AE9">
              <w:rPr>
                <w:rFonts w:cs="Arial"/>
                <w:sz w:val="20"/>
              </w:rPr>
              <w:t>22)</w:t>
            </w:r>
            <w:r w:rsidRPr="00E20AE9">
              <w:rPr>
                <w:rFonts w:cs="Arial"/>
              </w:rPr>
              <w:t xml:space="preserve"> </w:t>
            </w:r>
            <w:r w:rsidRPr="00E20AE9">
              <w:rPr>
                <w:rFonts w:cs="Arial"/>
                <w:sz w:val="20"/>
              </w:rPr>
              <w:t>Pokud politicky exponovaná osoba již nezastává významnou veřejnou funkci v členském státě, třetí zemi nebo mezinárodní organizaci, musí povinné osoby alespoň po dvanáct měsíců zohledňovat trvající riziko představované touto osobou a uplatní vhodná opatření při zohlednění míry rizika, dokud se nemá za to, že tato osoba již nepředstavuje žádné další riziko specifické pro politicky exponované osoby.</w:t>
            </w:r>
          </w:p>
        </w:tc>
      </w:tr>
      <w:tr w:rsidR="00A37FEE" w:rsidRPr="00E20AE9" w:rsidTr="004C3E28">
        <w:trPr>
          <w:trHeight w:val="277"/>
        </w:trPr>
        <w:tc>
          <w:tcPr>
            <w:tcW w:w="1629" w:type="dxa"/>
            <w:tcBorders>
              <w:top w:val="single" w:sz="4" w:space="0" w:color="auto"/>
            </w:tcBorders>
          </w:tcPr>
          <w:p w:rsidR="00A37FEE" w:rsidRPr="00E20AE9" w:rsidRDefault="00F5403A" w:rsidP="00C62B29">
            <w:pPr>
              <w:tabs>
                <w:tab w:val="left" w:pos="360"/>
              </w:tabs>
              <w:rPr>
                <w:rFonts w:cs="Arial"/>
              </w:rPr>
            </w:pPr>
            <w:r w:rsidRPr="00E20AE9">
              <w:rPr>
                <w:rFonts w:cs="Arial"/>
                <w:sz w:val="20"/>
              </w:rPr>
              <w:t>§ 4 odst. 7</w:t>
            </w:r>
          </w:p>
        </w:tc>
        <w:tc>
          <w:tcPr>
            <w:tcW w:w="4447" w:type="dxa"/>
            <w:tcBorders>
              <w:top w:val="single" w:sz="4" w:space="0" w:color="auto"/>
            </w:tcBorders>
          </w:tcPr>
          <w:p w:rsidR="00A37FEE" w:rsidRPr="00E20AE9" w:rsidRDefault="00C576E0" w:rsidP="00C62B29">
            <w:pPr>
              <w:tabs>
                <w:tab w:val="left" w:pos="360"/>
              </w:tabs>
              <w:rPr>
                <w:rFonts w:cs="Arial"/>
              </w:rPr>
            </w:pPr>
            <w:r>
              <w:rPr>
                <w:rFonts w:cs="Arial"/>
                <w:sz w:val="20"/>
              </w:rPr>
              <w:t xml:space="preserve">(7) </w:t>
            </w:r>
            <w:r w:rsidRPr="00C576E0">
              <w:rPr>
                <w:rFonts w:cs="Arial"/>
                <w:sz w:val="20"/>
              </w:rPr>
              <w:t>Korespondenčním vztahem se pro účely tohoto zákona rozumí poskytování bankovních služeb jednou bankou jako „korespondenční bankou“ jiné bance jako „respondenční bance“, včetně poskytování běžného nebo jiného závazkového účtu a souvisejících služeb, jako je řízení hotovosti, mezinárodní převody finančních prostředků, zúčtování šeků, průběžné korespondenční účty a devizové služby; vztahy mezi úvěrovými institucemi, mezi finančními institucemi a mezi úvěrovými institucemi a finančními institucemi navzájem, v nichž jsou korespondenční institucí respondenční instituci poskytovány obdobné služby, včetně vztahů vytvořených za účelem transakcí s cennými papíry a převodů finančních prostředků.</w:t>
            </w:r>
          </w:p>
        </w:tc>
        <w:tc>
          <w:tcPr>
            <w:tcW w:w="1412" w:type="dxa"/>
            <w:tcBorders>
              <w:top w:val="single" w:sz="4" w:space="0" w:color="auto"/>
            </w:tcBorders>
          </w:tcPr>
          <w:p w:rsidR="00A37FEE" w:rsidRPr="00E20AE9" w:rsidRDefault="00C62B29" w:rsidP="00C62B29">
            <w:pPr>
              <w:tabs>
                <w:tab w:val="left" w:pos="360"/>
              </w:tabs>
              <w:rPr>
                <w:rFonts w:cs="Arial"/>
              </w:rPr>
            </w:pPr>
            <w:r>
              <w:rPr>
                <w:rFonts w:cs="Arial"/>
                <w:sz w:val="20"/>
              </w:rPr>
              <w:t>32015L0849</w:t>
            </w:r>
          </w:p>
        </w:tc>
        <w:tc>
          <w:tcPr>
            <w:tcW w:w="1418" w:type="dxa"/>
            <w:tcBorders>
              <w:top w:val="single" w:sz="4" w:space="0" w:color="auto"/>
            </w:tcBorders>
            <w:shd w:val="clear" w:color="auto" w:fill="auto"/>
          </w:tcPr>
          <w:p w:rsidR="00A37FEE" w:rsidRPr="00E20AE9" w:rsidRDefault="00724313" w:rsidP="00F5403A">
            <w:pPr>
              <w:tabs>
                <w:tab w:val="left" w:pos="360"/>
              </w:tabs>
              <w:rPr>
                <w:rFonts w:cs="Arial"/>
                <w:sz w:val="20"/>
              </w:rPr>
            </w:pPr>
            <w:r>
              <w:rPr>
                <w:rFonts w:cs="Arial"/>
                <w:sz w:val="20"/>
              </w:rPr>
              <w:t>č</w:t>
            </w:r>
            <w:r w:rsidR="00F5403A" w:rsidRPr="00E20AE9">
              <w:rPr>
                <w:rFonts w:cs="Arial"/>
                <w:sz w:val="20"/>
              </w:rPr>
              <w:t>l. 3 odst. 8</w:t>
            </w:r>
          </w:p>
        </w:tc>
        <w:tc>
          <w:tcPr>
            <w:tcW w:w="5103" w:type="dxa"/>
            <w:tcBorders>
              <w:top w:val="single" w:sz="4" w:space="0" w:color="auto"/>
            </w:tcBorders>
            <w:shd w:val="clear" w:color="auto" w:fill="auto"/>
          </w:tcPr>
          <w:p w:rsidR="00F5403A" w:rsidRPr="00E20AE9" w:rsidRDefault="00F5403A" w:rsidP="00F5403A">
            <w:pPr>
              <w:tabs>
                <w:tab w:val="left" w:pos="360"/>
              </w:tabs>
              <w:rPr>
                <w:rFonts w:cs="Arial"/>
                <w:sz w:val="20"/>
              </w:rPr>
            </w:pPr>
            <w:r w:rsidRPr="00E20AE9">
              <w:rPr>
                <w:rFonts w:cs="Arial"/>
                <w:sz w:val="20"/>
              </w:rPr>
              <w:t>8)</w:t>
            </w:r>
            <w:r w:rsidRPr="00E20AE9">
              <w:rPr>
                <w:rFonts w:cs="Arial"/>
                <w:sz w:val="20"/>
              </w:rPr>
              <w:tab/>
              <w:t>„korespondenčním vztahem“:</w:t>
            </w:r>
          </w:p>
          <w:p w:rsidR="00F5403A" w:rsidRPr="00E20AE9" w:rsidRDefault="00F5403A" w:rsidP="00F5403A">
            <w:pPr>
              <w:tabs>
                <w:tab w:val="left" w:pos="360"/>
              </w:tabs>
              <w:rPr>
                <w:rFonts w:cs="Arial"/>
                <w:sz w:val="20"/>
              </w:rPr>
            </w:pPr>
            <w:r w:rsidRPr="00E20AE9">
              <w:rPr>
                <w:rFonts w:cs="Arial"/>
                <w:sz w:val="20"/>
              </w:rPr>
              <w:t>a)</w:t>
            </w:r>
            <w:r w:rsidRPr="00E20AE9">
              <w:rPr>
                <w:rFonts w:cs="Arial"/>
                <w:sz w:val="20"/>
              </w:rPr>
              <w:tab/>
              <w:t>poskytování bankovních služeb jednou bankou jako „korespondenční bankou“ jiné bance jako „respondenční bance“, včetně poskytování běžného nebo jiného závazkového účtu a souvisejících služeb, jako je řízení hotovosti, mezinárodní převody finančních prostředků, zúčtování šeků, průběžné korespondenční účty a devizové služby;</w:t>
            </w:r>
          </w:p>
          <w:p w:rsidR="00A37FEE" w:rsidRPr="00E20AE9" w:rsidRDefault="00F5403A" w:rsidP="00F5403A">
            <w:pPr>
              <w:tabs>
                <w:tab w:val="left" w:pos="360"/>
              </w:tabs>
              <w:rPr>
                <w:rFonts w:cs="Arial"/>
                <w:sz w:val="20"/>
              </w:rPr>
            </w:pPr>
            <w:r w:rsidRPr="00E20AE9">
              <w:rPr>
                <w:rFonts w:cs="Arial"/>
                <w:sz w:val="20"/>
              </w:rPr>
              <w:t>b)</w:t>
            </w:r>
            <w:r w:rsidRPr="00E20AE9">
              <w:rPr>
                <w:rFonts w:cs="Arial"/>
                <w:sz w:val="20"/>
              </w:rPr>
              <w:tab/>
              <w:t>vztahy mezi úvěrovými institucemi, mezi finančními institucemi a mezi úvěrovými institucemi a finančními institucemi navzájem, v nichž jsou korespondenční institucí respondenční instituci poskytovány obdobné služby, včetně vztahů vytvořených za účelem transakcí s cennými papíry a převodů finančních prostředků</w:t>
            </w:r>
          </w:p>
        </w:tc>
      </w:tr>
      <w:tr w:rsidR="00724313" w:rsidRPr="00E20AE9" w:rsidTr="004C3E28">
        <w:trPr>
          <w:trHeight w:val="277"/>
        </w:trPr>
        <w:tc>
          <w:tcPr>
            <w:tcW w:w="1629" w:type="dxa"/>
            <w:tcBorders>
              <w:bottom w:val="dashSmallGap" w:sz="4" w:space="0" w:color="4F81BD" w:themeColor="accent1"/>
            </w:tcBorders>
          </w:tcPr>
          <w:p w:rsidR="00724313" w:rsidRPr="002B5BFA" w:rsidRDefault="00724313" w:rsidP="00C62B29">
            <w:pPr>
              <w:tabs>
                <w:tab w:val="left" w:pos="360"/>
              </w:tabs>
              <w:rPr>
                <w:rFonts w:cs="Arial"/>
                <w:sz w:val="20"/>
              </w:rPr>
            </w:pPr>
            <w:r w:rsidRPr="002B5BFA">
              <w:rPr>
                <w:rFonts w:cs="Arial"/>
                <w:sz w:val="20"/>
              </w:rPr>
              <w:t>§ 9</w:t>
            </w:r>
            <w:r>
              <w:rPr>
                <w:rFonts w:cs="Arial"/>
                <w:sz w:val="20"/>
              </w:rPr>
              <w:t xml:space="preserve"> odst. 1 a 2</w:t>
            </w:r>
          </w:p>
        </w:tc>
        <w:tc>
          <w:tcPr>
            <w:tcW w:w="4447" w:type="dxa"/>
            <w:tcBorders>
              <w:bottom w:val="dashSmallGap" w:sz="4" w:space="0" w:color="4F81BD" w:themeColor="accent1"/>
            </w:tcBorders>
          </w:tcPr>
          <w:p w:rsidR="00C576E0" w:rsidRPr="00C576E0" w:rsidRDefault="00C576E0" w:rsidP="00C576E0">
            <w:pPr>
              <w:tabs>
                <w:tab w:val="left" w:pos="360"/>
              </w:tabs>
              <w:rPr>
                <w:rFonts w:cs="Arial"/>
                <w:sz w:val="20"/>
              </w:rPr>
            </w:pPr>
            <w:r w:rsidRPr="00C576E0">
              <w:rPr>
                <w:rFonts w:cs="Arial"/>
                <w:sz w:val="20"/>
              </w:rPr>
              <w:t>(1) Kontrolu klienta provádí povinná osoba:</w:t>
            </w:r>
          </w:p>
          <w:p w:rsidR="00C576E0" w:rsidRPr="00C576E0" w:rsidRDefault="00C576E0" w:rsidP="00C576E0">
            <w:pPr>
              <w:tabs>
                <w:tab w:val="left" w:pos="360"/>
              </w:tabs>
              <w:rPr>
                <w:rFonts w:cs="Arial"/>
                <w:sz w:val="20"/>
              </w:rPr>
            </w:pPr>
            <w:r w:rsidRPr="00C576E0">
              <w:rPr>
                <w:rFonts w:cs="Arial"/>
                <w:sz w:val="20"/>
              </w:rPr>
              <w:t>a)</w:t>
            </w:r>
            <w:r w:rsidRPr="00C576E0">
              <w:rPr>
                <w:rFonts w:cs="Arial"/>
                <w:sz w:val="20"/>
              </w:rPr>
              <w:tab/>
              <w:t xml:space="preserve">před uskutečněním obchodu mimo obchodní </w:t>
            </w:r>
            <w:r w:rsidRPr="00C576E0">
              <w:rPr>
                <w:rFonts w:cs="Arial"/>
                <w:sz w:val="20"/>
              </w:rPr>
              <w:lastRenderedPageBreak/>
              <w:t>vztah</w:t>
            </w:r>
          </w:p>
          <w:p w:rsidR="00C576E0" w:rsidRPr="00C576E0" w:rsidRDefault="00C576E0" w:rsidP="00C576E0">
            <w:pPr>
              <w:tabs>
                <w:tab w:val="left" w:pos="360"/>
              </w:tabs>
              <w:rPr>
                <w:rFonts w:cs="Arial"/>
                <w:sz w:val="20"/>
              </w:rPr>
            </w:pPr>
            <w:r w:rsidRPr="00C576E0">
              <w:rPr>
                <w:rFonts w:cs="Arial"/>
                <w:sz w:val="20"/>
              </w:rPr>
              <w:t xml:space="preserve">1. </w:t>
            </w:r>
            <w:r w:rsidRPr="00C576E0">
              <w:rPr>
                <w:rFonts w:cs="Arial"/>
                <w:sz w:val="20"/>
              </w:rPr>
              <w:tab/>
              <w:t xml:space="preserve">nebo nejpozději v době, kdy je zřejmé, že dosáhne hodnoty 15 000 EUR nebo vyšší, </w:t>
            </w:r>
          </w:p>
          <w:p w:rsidR="00C576E0" w:rsidRPr="00C576E0" w:rsidRDefault="00C576E0" w:rsidP="00C576E0">
            <w:pPr>
              <w:tabs>
                <w:tab w:val="left" w:pos="360"/>
              </w:tabs>
              <w:rPr>
                <w:rFonts w:cs="Arial"/>
                <w:sz w:val="20"/>
              </w:rPr>
            </w:pPr>
            <w:r w:rsidRPr="00C576E0">
              <w:rPr>
                <w:rFonts w:cs="Arial"/>
                <w:sz w:val="20"/>
              </w:rPr>
              <w:t xml:space="preserve">2. </w:t>
            </w:r>
            <w:r w:rsidRPr="00C576E0">
              <w:rPr>
                <w:rFonts w:cs="Arial"/>
                <w:sz w:val="20"/>
              </w:rPr>
              <w:tab/>
              <w:t>s politicky exponovanou osobou, nebo</w:t>
            </w:r>
          </w:p>
          <w:p w:rsidR="00C576E0" w:rsidRPr="00C576E0" w:rsidRDefault="00C576E0" w:rsidP="00C576E0">
            <w:pPr>
              <w:tabs>
                <w:tab w:val="left" w:pos="360"/>
              </w:tabs>
              <w:rPr>
                <w:rFonts w:cs="Arial"/>
                <w:sz w:val="20"/>
              </w:rPr>
            </w:pPr>
            <w:r w:rsidRPr="00C576E0">
              <w:rPr>
                <w:rFonts w:cs="Arial"/>
                <w:sz w:val="20"/>
              </w:rPr>
              <w:t xml:space="preserve">3. </w:t>
            </w:r>
            <w:r w:rsidRPr="00C576E0">
              <w:rPr>
                <w:rFonts w:cs="Arial"/>
                <w:sz w:val="20"/>
              </w:rPr>
              <w:tab/>
              <w:t>s osobou usazenou v zemi, kterou na základě označení Evropské komise nebo z jiného důvodu je třeba považovat za vysoce rizikovou,</w:t>
            </w:r>
          </w:p>
          <w:p w:rsidR="00C576E0" w:rsidRPr="00C576E0" w:rsidRDefault="00C576E0" w:rsidP="00C576E0">
            <w:pPr>
              <w:tabs>
                <w:tab w:val="left" w:pos="360"/>
              </w:tabs>
              <w:rPr>
                <w:rFonts w:cs="Arial"/>
                <w:sz w:val="20"/>
              </w:rPr>
            </w:pPr>
            <w:r w:rsidRPr="00C576E0">
              <w:rPr>
                <w:rFonts w:cs="Arial"/>
                <w:sz w:val="20"/>
              </w:rPr>
              <w:t>b)</w:t>
            </w:r>
            <w:r w:rsidRPr="00C576E0">
              <w:rPr>
                <w:rFonts w:cs="Arial"/>
                <w:sz w:val="20"/>
              </w:rPr>
              <w:tab/>
              <w:t>v situacích, na které se vztahuje povinnost identifikace podle § 7 odst. 2 písm. a) až c), a to nejpozději před uskutečněním transakce,</w:t>
            </w:r>
          </w:p>
          <w:p w:rsidR="00C576E0" w:rsidRPr="00C576E0" w:rsidRDefault="00C576E0" w:rsidP="00C576E0">
            <w:pPr>
              <w:tabs>
                <w:tab w:val="left" w:pos="360"/>
              </w:tabs>
              <w:rPr>
                <w:rFonts w:cs="Arial"/>
                <w:sz w:val="20"/>
              </w:rPr>
            </w:pPr>
            <w:r w:rsidRPr="00C576E0">
              <w:rPr>
                <w:rFonts w:cs="Arial"/>
                <w:sz w:val="20"/>
              </w:rPr>
              <w:t>c)</w:t>
            </w:r>
            <w:r w:rsidRPr="00C576E0">
              <w:rPr>
                <w:rFonts w:cs="Arial"/>
                <w:sz w:val="20"/>
              </w:rPr>
              <w:tab/>
              <w:t>v době trvání obchodního vztahu,</w:t>
            </w:r>
          </w:p>
          <w:p w:rsidR="00C576E0" w:rsidRPr="00C576E0" w:rsidRDefault="00C576E0" w:rsidP="00C576E0">
            <w:pPr>
              <w:tabs>
                <w:tab w:val="left" w:pos="360"/>
              </w:tabs>
              <w:rPr>
                <w:rFonts w:cs="Arial"/>
                <w:sz w:val="20"/>
              </w:rPr>
            </w:pPr>
            <w:r w:rsidRPr="00C576E0">
              <w:rPr>
                <w:rFonts w:cs="Arial"/>
                <w:sz w:val="20"/>
              </w:rPr>
              <w:t>d)</w:t>
            </w:r>
            <w:r w:rsidRPr="00C576E0">
              <w:rPr>
                <w:rFonts w:cs="Arial"/>
                <w:sz w:val="20"/>
              </w:rPr>
              <w:tab/>
              <w:t>uvedená v § 2 odst. 1 písm. c) při obc</w:t>
            </w:r>
            <w:r>
              <w:rPr>
                <w:rFonts w:cs="Arial"/>
                <w:sz w:val="20"/>
              </w:rPr>
              <w:t>hodu v </w:t>
            </w:r>
            <w:r w:rsidRPr="00C576E0">
              <w:rPr>
                <w:rFonts w:cs="Arial"/>
                <w:sz w:val="20"/>
              </w:rPr>
              <w:t>hodnotě 2 000 EUR nebo vyšší, nebo</w:t>
            </w:r>
          </w:p>
          <w:p w:rsidR="00C576E0" w:rsidRPr="00C576E0" w:rsidRDefault="00C576E0" w:rsidP="00C576E0">
            <w:pPr>
              <w:tabs>
                <w:tab w:val="left" w:pos="360"/>
              </w:tabs>
              <w:rPr>
                <w:rFonts w:cs="Arial"/>
                <w:sz w:val="20"/>
              </w:rPr>
            </w:pPr>
            <w:r w:rsidRPr="00C576E0">
              <w:rPr>
                <w:rFonts w:cs="Arial"/>
                <w:sz w:val="20"/>
              </w:rPr>
              <w:t>e)</w:t>
            </w:r>
            <w:r w:rsidRPr="00C576E0">
              <w:rPr>
                <w:rFonts w:cs="Arial"/>
                <w:sz w:val="20"/>
              </w:rPr>
              <w:tab/>
              <w:t xml:space="preserve">uvedená v § 2 odst. 2 písm. c) a d) při obchodu v hodnotě 10 000 EUR nebo vyšší. </w:t>
            </w:r>
          </w:p>
          <w:p w:rsidR="00C576E0" w:rsidRPr="00C576E0" w:rsidRDefault="00C576E0" w:rsidP="00C576E0">
            <w:pPr>
              <w:tabs>
                <w:tab w:val="left" w:pos="360"/>
              </w:tabs>
              <w:rPr>
                <w:rFonts w:cs="Arial"/>
                <w:sz w:val="20"/>
              </w:rPr>
            </w:pPr>
            <w:r w:rsidRPr="00C576E0">
              <w:rPr>
                <w:rFonts w:cs="Arial"/>
                <w:sz w:val="20"/>
              </w:rPr>
              <w:t>(2) Kontrola klienta zahrnuje zejména</w:t>
            </w:r>
          </w:p>
          <w:p w:rsidR="00C576E0" w:rsidRPr="00C576E0" w:rsidRDefault="00C576E0" w:rsidP="00C576E0">
            <w:pPr>
              <w:tabs>
                <w:tab w:val="left" w:pos="360"/>
              </w:tabs>
              <w:rPr>
                <w:rFonts w:cs="Arial"/>
                <w:sz w:val="20"/>
              </w:rPr>
            </w:pPr>
            <w:r w:rsidRPr="00C576E0">
              <w:rPr>
                <w:rFonts w:cs="Arial"/>
                <w:sz w:val="20"/>
              </w:rPr>
              <w:t>a)</w:t>
            </w:r>
            <w:r w:rsidRPr="00C576E0">
              <w:rPr>
                <w:rFonts w:cs="Arial"/>
                <w:sz w:val="20"/>
              </w:rPr>
              <w:tab/>
              <w:t xml:space="preserve">získání informací o účelu a zamýšlené povaze obchodu nebo obchodního vztahu, </w:t>
            </w:r>
          </w:p>
          <w:p w:rsidR="00C576E0" w:rsidRPr="00C576E0" w:rsidRDefault="00C576E0" w:rsidP="00C576E0">
            <w:pPr>
              <w:tabs>
                <w:tab w:val="left" w:pos="360"/>
              </w:tabs>
              <w:rPr>
                <w:rFonts w:cs="Arial"/>
                <w:sz w:val="20"/>
              </w:rPr>
            </w:pPr>
            <w:r w:rsidRPr="00C576E0">
              <w:rPr>
                <w:rFonts w:cs="Arial"/>
                <w:sz w:val="20"/>
              </w:rPr>
              <w:t>b)</w:t>
            </w:r>
            <w:r w:rsidRPr="00C576E0">
              <w:rPr>
                <w:rFonts w:cs="Arial"/>
                <w:sz w:val="20"/>
              </w:rPr>
              <w:tab/>
              <w:t xml:space="preserve">zjišťování vlastnické a řídící struktury klienta a jeho skutečného majitele, pokud je klientem právnická osoba, svěřenský fond nebo jiné právní uspořádání bez právní subjektivity, a přijetí opatření ke zjištění a ověření totožnosti skutečného majitele, </w:t>
            </w:r>
          </w:p>
          <w:p w:rsidR="00C576E0" w:rsidRPr="00C576E0" w:rsidRDefault="00C576E0" w:rsidP="00C576E0">
            <w:pPr>
              <w:tabs>
                <w:tab w:val="left" w:pos="360"/>
              </w:tabs>
              <w:rPr>
                <w:rFonts w:cs="Arial"/>
                <w:sz w:val="20"/>
              </w:rPr>
            </w:pPr>
            <w:r w:rsidRPr="00C576E0">
              <w:rPr>
                <w:rFonts w:cs="Arial"/>
                <w:sz w:val="20"/>
              </w:rPr>
              <w:t xml:space="preserve">c)  </w:t>
            </w:r>
            <w:r w:rsidRPr="00C576E0">
              <w:rPr>
                <w:rFonts w:cs="Arial"/>
                <w:sz w:val="20"/>
              </w:rPr>
              <w:tab/>
              <w:t>průběžné sledování obchodního vztahu včetně přezkoumávání obchodů prováděných v průběhu daného vztahu za účelem zjištění, zda obchody jsou v souladu s tím, co je povinné osobě známo o klientovi a jeho podnikatelském a rizikovém profilu,</w:t>
            </w:r>
          </w:p>
          <w:p w:rsidR="00C576E0" w:rsidRPr="00C576E0" w:rsidRDefault="00C576E0" w:rsidP="00C576E0">
            <w:pPr>
              <w:tabs>
                <w:tab w:val="left" w:pos="360"/>
              </w:tabs>
              <w:rPr>
                <w:rFonts w:cs="Arial"/>
                <w:sz w:val="20"/>
              </w:rPr>
            </w:pPr>
            <w:r w:rsidRPr="00C576E0">
              <w:rPr>
                <w:rFonts w:cs="Arial"/>
                <w:sz w:val="20"/>
              </w:rPr>
              <w:t>d)</w:t>
            </w:r>
            <w:r w:rsidRPr="00C576E0">
              <w:rPr>
                <w:rFonts w:cs="Arial"/>
                <w:sz w:val="20"/>
              </w:rPr>
              <w:tab/>
              <w:t>přezkoumávání zdrojů peněžních prostředků nebo jiného majetku, kterého se obchod nebo obchodní vztah týká, a</w:t>
            </w:r>
          </w:p>
          <w:p w:rsidR="00724313" w:rsidRPr="002B5BFA" w:rsidRDefault="00C576E0" w:rsidP="00C576E0">
            <w:pPr>
              <w:tabs>
                <w:tab w:val="left" w:pos="360"/>
              </w:tabs>
              <w:rPr>
                <w:rFonts w:cs="Arial"/>
                <w:sz w:val="20"/>
              </w:rPr>
            </w:pPr>
            <w:r w:rsidRPr="00C576E0">
              <w:rPr>
                <w:rFonts w:cs="Arial"/>
                <w:sz w:val="20"/>
              </w:rPr>
              <w:t>e)</w:t>
            </w:r>
            <w:r w:rsidRPr="00C576E0">
              <w:rPr>
                <w:rFonts w:cs="Arial"/>
                <w:sz w:val="20"/>
              </w:rPr>
              <w:tab/>
              <w:t>v rámci obchodního vztahu s politicky exponovanou osobou též přiměřená opatření ke zjištění původu jejího majetku.</w:t>
            </w:r>
          </w:p>
        </w:tc>
        <w:tc>
          <w:tcPr>
            <w:tcW w:w="1412" w:type="dxa"/>
            <w:tcBorders>
              <w:bottom w:val="dashSmallGap" w:sz="4" w:space="0" w:color="4F81BD" w:themeColor="accent1"/>
            </w:tcBorders>
          </w:tcPr>
          <w:p w:rsidR="00724313" w:rsidRPr="002B5BFA" w:rsidRDefault="00C62B29" w:rsidP="00C62B29">
            <w:pPr>
              <w:tabs>
                <w:tab w:val="left" w:pos="360"/>
              </w:tabs>
              <w:rPr>
                <w:rFonts w:cs="Arial"/>
                <w:sz w:val="20"/>
              </w:rPr>
            </w:pPr>
            <w:r>
              <w:rPr>
                <w:rFonts w:cs="Arial"/>
                <w:sz w:val="20"/>
              </w:rPr>
              <w:lastRenderedPageBreak/>
              <w:t>32015L0849</w:t>
            </w:r>
          </w:p>
        </w:tc>
        <w:tc>
          <w:tcPr>
            <w:tcW w:w="1418" w:type="dxa"/>
            <w:tcBorders>
              <w:bottom w:val="dashSmallGap" w:sz="4" w:space="0" w:color="4F81BD" w:themeColor="accent1"/>
            </w:tcBorders>
            <w:shd w:val="clear" w:color="auto" w:fill="auto"/>
          </w:tcPr>
          <w:p w:rsidR="00724313" w:rsidRPr="00724313" w:rsidRDefault="00724313" w:rsidP="00724313">
            <w:pPr>
              <w:tabs>
                <w:tab w:val="left" w:pos="360"/>
              </w:tabs>
              <w:rPr>
                <w:rFonts w:cs="Arial"/>
                <w:sz w:val="20"/>
              </w:rPr>
            </w:pPr>
            <w:r>
              <w:rPr>
                <w:rFonts w:cs="Arial"/>
                <w:sz w:val="20"/>
              </w:rPr>
              <w:t>čl. 11</w:t>
            </w:r>
          </w:p>
        </w:tc>
        <w:tc>
          <w:tcPr>
            <w:tcW w:w="5103" w:type="dxa"/>
            <w:tcBorders>
              <w:bottom w:val="dashSmallGap" w:sz="4" w:space="0" w:color="4F81BD" w:themeColor="accent1"/>
            </w:tcBorders>
            <w:shd w:val="clear" w:color="auto" w:fill="auto"/>
          </w:tcPr>
          <w:p w:rsidR="00724313" w:rsidRPr="00724313" w:rsidRDefault="00724313" w:rsidP="00724313">
            <w:pPr>
              <w:tabs>
                <w:tab w:val="left" w:pos="360"/>
              </w:tabs>
              <w:rPr>
                <w:rFonts w:cs="Arial"/>
                <w:sz w:val="20"/>
              </w:rPr>
            </w:pPr>
            <w:r w:rsidRPr="00724313">
              <w:rPr>
                <w:rFonts w:cs="Arial"/>
                <w:sz w:val="20"/>
              </w:rPr>
              <w:t>Členské státy zajistí, aby povinné osoby uplatnily opatření hloubkové kontroly klienta za těchto okolností:</w:t>
            </w:r>
          </w:p>
          <w:p w:rsidR="00724313" w:rsidRPr="00724313" w:rsidRDefault="00724313" w:rsidP="00724313">
            <w:pPr>
              <w:tabs>
                <w:tab w:val="left" w:pos="360"/>
              </w:tabs>
              <w:rPr>
                <w:rFonts w:cs="Arial"/>
                <w:sz w:val="20"/>
              </w:rPr>
            </w:pPr>
            <w:r w:rsidRPr="00724313">
              <w:rPr>
                <w:rFonts w:cs="Arial"/>
                <w:sz w:val="20"/>
              </w:rPr>
              <w:lastRenderedPageBreak/>
              <w:t>a) při vzniku obchodního vztahu;</w:t>
            </w:r>
          </w:p>
          <w:p w:rsidR="00724313" w:rsidRPr="00724313" w:rsidRDefault="00724313" w:rsidP="00724313">
            <w:pPr>
              <w:tabs>
                <w:tab w:val="left" w:pos="360"/>
              </w:tabs>
              <w:rPr>
                <w:rFonts w:cs="Arial"/>
                <w:sz w:val="20"/>
              </w:rPr>
            </w:pPr>
            <w:r w:rsidRPr="00724313">
              <w:rPr>
                <w:rFonts w:cs="Arial"/>
                <w:sz w:val="20"/>
              </w:rPr>
              <w:t>b) při provádění příležitostné transakce:</w:t>
            </w:r>
          </w:p>
          <w:p w:rsidR="00724313" w:rsidRPr="00724313" w:rsidRDefault="00724313" w:rsidP="00724313">
            <w:pPr>
              <w:tabs>
                <w:tab w:val="left" w:pos="360"/>
              </w:tabs>
              <w:rPr>
                <w:rFonts w:cs="Arial"/>
                <w:sz w:val="20"/>
              </w:rPr>
            </w:pPr>
            <w:r w:rsidRPr="00724313">
              <w:rPr>
                <w:rFonts w:cs="Arial"/>
                <w:sz w:val="20"/>
              </w:rPr>
              <w:t>i) ve výši 15 000 EUR nebo více, ať již je tato transakce prováděna jako jediná operace, nebo jako několik operací, které se zdají být spojeny; nebo</w:t>
            </w:r>
          </w:p>
          <w:p w:rsidR="00724313" w:rsidRPr="00724313" w:rsidRDefault="00724313" w:rsidP="00724313">
            <w:pPr>
              <w:tabs>
                <w:tab w:val="left" w:pos="360"/>
              </w:tabs>
              <w:rPr>
                <w:rFonts w:cs="Arial"/>
                <w:sz w:val="20"/>
              </w:rPr>
            </w:pPr>
            <w:proofErr w:type="spellStart"/>
            <w:r w:rsidRPr="00724313">
              <w:rPr>
                <w:rFonts w:cs="Arial"/>
                <w:sz w:val="20"/>
              </w:rPr>
              <w:t>ii</w:t>
            </w:r>
            <w:proofErr w:type="spellEnd"/>
            <w:r w:rsidRPr="00724313">
              <w:rPr>
                <w:rFonts w:cs="Arial"/>
                <w:sz w:val="20"/>
              </w:rPr>
              <w:t xml:space="preserve">) představujícího převod peněžních prostředků ve smyslu čl. 3 bodu 9 nařízení Evropského parlamentu a Rady (EU) </w:t>
            </w:r>
            <w:proofErr w:type="gramStart"/>
            <w:r w:rsidRPr="00724313">
              <w:rPr>
                <w:rFonts w:cs="Arial"/>
                <w:sz w:val="20"/>
              </w:rPr>
              <w:t>2015/...</w:t>
            </w:r>
            <w:proofErr w:type="gramEnd"/>
            <w:r w:rsidRPr="00724313">
              <w:rPr>
                <w:rFonts w:cs="Arial"/>
                <w:sz w:val="20"/>
              </w:rPr>
              <w:t xml:space="preserve"> * ve výši nad 1 000 EUR;</w:t>
            </w:r>
          </w:p>
          <w:p w:rsidR="00724313" w:rsidRPr="00724313" w:rsidRDefault="00724313" w:rsidP="00724313">
            <w:pPr>
              <w:tabs>
                <w:tab w:val="left" w:pos="360"/>
              </w:tabs>
              <w:rPr>
                <w:rFonts w:cs="Arial"/>
                <w:sz w:val="20"/>
              </w:rPr>
            </w:pPr>
            <w:r w:rsidRPr="00724313">
              <w:rPr>
                <w:rFonts w:cs="Arial"/>
                <w:sz w:val="20"/>
              </w:rPr>
              <w:t>c) v případě osob obchodujících se zbožím při provádění příležitostné transakce v hotovosti ve výši 10 000 EUR nebo více, ať již je tato transakce prováděna jako jediná operace, nebo jako několik operací, které se zdají být spojeny;</w:t>
            </w:r>
          </w:p>
          <w:p w:rsidR="00724313" w:rsidRPr="00724313" w:rsidRDefault="00724313" w:rsidP="00724313">
            <w:pPr>
              <w:tabs>
                <w:tab w:val="left" w:pos="360"/>
              </w:tabs>
              <w:rPr>
                <w:rFonts w:cs="Arial"/>
                <w:sz w:val="20"/>
              </w:rPr>
            </w:pPr>
            <w:r w:rsidRPr="00724313">
              <w:rPr>
                <w:rFonts w:cs="Arial"/>
                <w:sz w:val="20"/>
              </w:rPr>
              <w:t>d) v případě poskytovatelů služeb hazardních her při výběru výher, vsazení peněžité částky nebo obojím, pokud provádějí transakce ve výši 2 000 EUR nebo více, ať již je tato transakce prováděna jako jediná operace, nebo jako několik operací, které se zdají být spojeny;</w:t>
            </w:r>
          </w:p>
          <w:p w:rsidR="00724313" w:rsidRDefault="00724313" w:rsidP="00724313">
            <w:pPr>
              <w:tabs>
                <w:tab w:val="left" w:pos="360"/>
              </w:tabs>
              <w:rPr>
                <w:rFonts w:cs="Arial"/>
                <w:sz w:val="20"/>
              </w:rPr>
            </w:pPr>
            <w:r w:rsidRPr="00724313">
              <w:rPr>
                <w:rFonts w:cs="Arial"/>
                <w:sz w:val="20"/>
              </w:rPr>
              <w:t>e) při podezření na praní peněz nebo financování terorismu, bez ohledu na jakoukoli odchylku, výjimku nebo prahovou hodnotu;</w:t>
            </w:r>
          </w:p>
          <w:p w:rsidR="00724313" w:rsidRPr="00724313" w:rsidRDefault="00724313" w:rsidP="00724313">
            <w:pPr>
              <w:tabs>
                <w:tab w:val="left" w:pos="360"/>
              </w:tabs>
              <w:rPr>
                <w:rFonts w:cs="Arial"/>
                <w:sz w:val="20"/>
              </w:rPr>
            </w:pPr>
            <w:r w:rsidRPr="00724313">
              <w:rPr>
                <w:rFonts w:cs="Arial"/>
                <w:sz w:val="20"/>
              </w:rPr>
              <w:t>f) při pochybnostech o pravdivosti nebo adekvátnosti již dříve získaných údajů o totožnosti klienta</w:t>
            </w:r>
          </w:p>
        </w:tc>
      </w:tr>
      <w:tr w:rsidR="00724313" w:rsidRPr="00E20AE9" w:rsidTr="004C3E28">
        <w:trPr>
          <w:trHeight w:val="277"/>
        </w:trPr>
        <w:tc>
          <w:tcPr>
            <w:tcW w:w="1629" w:type="dxa"/>
            <w:tcBorders>
              <w:top w:val="dashSmallGap" w:sz="4" w:space="0" w:color="4F81BD" w:themeColor="accent1"/>
            </w:tcBorders>
          </w:tcPr>
          <w:p w:rsidR="00724313" w:rsidRPr="002B5BFA" w:rsidRDefault="00724313" w:rsidP="00C62B29">
            <w:pPr>
              <w:tabs>
                <w:tab w:val="left" w:pos="360"/>
              </w:tabs>
              <w:rPr>
                <w:rFonts w:cs="Arial"/>
                <w:sz w:val="20"/>
              </w:rPr>
            </w:pPr>
          </w:p>
        </w:tc>
        <w:tc>
          <w:tcPr>
            <w:tcW w:w="4447" w:type="dxa"/>
            <w:tcBorders>
              <w:top w:val="dashSmallGap" w:sz="4" w:space="0" w:color="4F81BD" w:themeColor="accent1"/>
            </w:tcBorders>
          </w:tcPr>
          <w:p w:rsidR="00724313" w:rsidRPr="002B5BFA" w:rsidRDefault="00724313" w:rsidP="00C62B29">
            <w:pPr>
              <w:tabs>
                <w:tab w:val="left" w:pos="360"/>
              </w:tabs>
              <w:rPr>
                <w:rFonts w:cs="Arial"/>
                <w:sz w:val="20"/>
              </w:rPr>
            </w:pPr>
          </w:p>
        </w:tc>
        <w:tc>
          <w:tcPr>
            <w:tcW w:w="1412" w:type="dxa"/>
            <w:tcBorders>
              <w:top w:val="dashSmallGap" w:sz="4" w:space="0" w:color="4F81BD" w:themeColor="accent1"/>
            </w:tcBorders>
          </w:tcPr>
          <w:p w:rsidR="00724313" w:rsidRPr="00E20AE9" w:rsidRDefault="00724313" w:rsidP="00C62B29">
            <w:pPr>
              <w:tabs>
                <w:tab w:val="left" w:pos="360"/>
              </w:tabs>
              <w:rPr>
                <w:rFonts w:cs="Arial"/>
                <w:sz w:val="20"/>
              </w:rPr>
            </w:pPr>
          </w:p>
        </w:tc>
        <w:tc>
          <w:tcPr>
            <w:tcW w:w="1418" w:type="dxa"/>
            <w:tcBorders>
              <w:top w:val="dashSmallGap" w:sz="4" w:space="0" w:color="4F81BD" w:themeColor="accent1"/>
            </w:tcBorders>
            <w:shd w:val="clear" w:color="auto" w:fill="auto"/>
          </w:tcPr>
          <w:p w:rsidR="00724313" w:rsidRPr="00724313" w:rsidRDefault="00724313" w:rsidP="00724313">
            <w:pPr>
              <w:tabs>
                <w:tab w:val="left" w:pos="360"/>
              </w:tabs>
              <w:rPr>
                <w:rFonts w:cs="Arial"/>
                <w:sz w:val="20"/>
              </w:rPr>
            </w:pPr>
            <w:r w:rsidRPr="00724313">
              <w:rPr>
                <w:rFonts w:cs="Arial"/>
                <w:sz w:val="20"/>
              </w:rPr>
              <w:t>čl. 13 odst. 1</w:t>
            </w:r>
          </w:p>
        </w:tc>
        <w:tc>
          <w:tcPr>
            <w:tcW w:w="5103" w:type="dxa"/>
            <w:tcBorders>
              <w:top w:val="dashSmallGap" w:sz="4" w:space="0" w:color="4F81BD" w:themeColor="accent1"/>
            </w:tcBorders>
            <w:shd w:val="clear" w:color="auto" w:fill="auto"/>
          </w:tcPr>
          <w:p w:rsidR="00724313" w:rsidRPr="00724313" w:rsidRDefault="00724313" w:rsidP="00724313">
            <w:pPr>
              <w:tabs>
                <w:tab w:val="left" w:pos="360"/>
              </w:tabs>
              <w:rPr>
                <w:rFonts w:cs="Arial"/>
                <w:sz w:val="20"/>
              </w:rPr>
            </w:pPr>
            <w:r w:rsidRPr="00724313">
              <w:rPr>
                <w:rFonts w:cs="Arial"/>
                <w:sz w:val="20"/>
              </w:rPr>
              <w:t>1. Opatření hloubkové kontroly klienta zahrnují:</w:t>
            </w:r>
          </w:p>
          <w:p w:rsidR="00724313" w:rsidRPr="00724313" w:rsidRDefault="00724313" w:rsidP="00724313">
            <w:pPr>
              <w:tabs>
                <w:tab w:val="left" w:pos="360"/>
              </w:tabs>
              <w:rPr>
                <w:rFonts w:cs="Arial"/>
                <w:sz w:val="20"/>
              </w:rPr>
            </w:pPr>
            <w:r w:rsidRPr="00724313">
              <w:rPr>
                <w:rFonts w:cs="Arial"/>
                <w:sz w:val="20"/>
              </w:rPr>
              <w:t xml:space="preserve">a) zjištění a ověření totožnosti klienta na základě dokumentů, údajů nebo informací získaných ze </w:t>
            </w:r>
            <w:r w:rsidRPr="00724313">
              <w:rPr>
                <w:rFonts w:cs="Arial"/>
                <w:sz w:val="20"/>
              </w:rPr>
              <w:lastRenderedPageBreak/>
              <w:t>spolehlivého a nezávislého zdroje;</w:t>
            </w:r>
          </w:p>
          <w:p w:rsidR="00724313" w:rsidRPr="00724313" w:rsidRDefault="00724313" w:rsidP="00724313">
            <w:pPr>
              <w:tabs>
                <w:tab w:val="left" w:pos="360"/>
              </w:tabs>
              <w:rPr>
                <w:rFonts w:cs="Arial"/>
                <w:sz w:val="20"/>
              </w:rPr>
            </w:pPr>
            <w:r w:rsidRPr="00724313">
              <w:rPr>
                <w:rFonts w:cs="Arial"/>
                <w:sz w:val="20"/>
              </w:rPr>
              <w:t>b) zjištění totožnosti skutečného majitele a přijetí náležitých opatření pro ověření jeho totožnosti, aby se povinná osoba ujistila, že skutečného majitele zná; to zahrnuje přijetí náležitých opatření k tomu, aby pochopila strukturu vlastnictví a kontroly klienta v případě právnických osob, svěřenských fondů, společností, nadací a podobných právních uspořádání;</w:t>
            </w:r>
          </w:p>
          <w:p w:rsidR="00724313" w:rsidRPr="00724313" w:rsidRDefault="00724313" w:rsidP="00724313">
            <w:pPr>
              <w:tabs>
                <w:tab w:val="left" w:pos="360"/>
              </w:tabs>
              <w:rPr>
                <w:rFonts w:cs="Arial"/>
                <w:sz w:val="20"/>
              </w:rPr>
            </w:pPr>
            <w:r w:rsidRPr="00724313">
              <w:rPr>
                <w:rFonts w:cs="Arial"/>
                <w:sz w:val="20"/>
              </w:rPr>
              <w:t>c) posouzení a případně získání informací o účelu a zamýšlené povaze obchodního vztahu;</w:t>
            </w:r>
          </w:p>
          <w:p w:rsidR="00724313" w:rsidRPr="00724313" w:rsidRDefault="00724313" w:rsidP="00724313">
            <w:pPr>
              <w:tabs>
                <w:tab w:val="left" w:pos="360"/>
              </w:tabs>
              <w:rPr>
                <w:rFonts w:cs="Arial"/>
                <w:sz w:val="20"/>
              </w:rPr>
            </w:pPr>
            <w:r w:rsidRPr="00724313">
              <w:rPr>
                <w:rFonts w:cs="Arial"/>
                <w:sz w:val="20"/>
              </w:rPr>
              <w:t>d) průběžné sledování obchodního vztahu včetně kontroly transakcí prováděných v jeho průběhu, aby bylo zajištěno, že prováděné transakce jsou v souladu s tím, co povinná osoba ví o klientovi, o jeho obchodním a rizikovém profilu včetně, je-li to třeba, zdrojů finančních prostředků, a zajištění průběžné aktualizace příslušných dokumentů, údajů nebo informací.</w:t>
            </w:r>
          </w:p>
          <w:p w:rsidR="00724313" w:rsidRPr="00724313" w:rsidRDefault="00724313" w:rsidP="00724313">
            <w:pPr>
              <w:tabs>
                <w:tab w:val="left" w:pos="360"/>
              </w:tabs>
              <w:rPr>
                <w:rFonts w:cs="Arial"/>
                <w:sz w:val="20"/>
              </w:rPr>
            </w:pPr>
            <w:r w:rsidRPr="00724313">
              <w:rPr>
                <w:rFonts w:cs="Arial"/>
                <w:sz w:val="20"/>
              </w:rPr>
              <w:t>Při provádění opatření uvedených v prvním pododstavci písm. a) a b) musí povinné osoby rovněž ověřit, že každá osoba, která prohlašuje, že jedná jménem klienta, je k tomu oprávněna, a zjistit a ověřit totožnost této osoby.</w:t>
            </w:r>
          </w:p>
        </w:tc>
      </w:tr>
      <w:tr w:rsidR="0002415F" w:rsidRPr="00E20AE9" w:rsidTr="004C3E28">
        <w:trPr>
          <w:trHeight w:val="277"/>
        </w:trPr>
        <w:tc>
          <w:tcPr>
            <w:tcW w:w="1629" w:type="dxa"/>
            <w:tcBorders>
              <w:top w:val="dashSmallGap" w:sz="4" w:space="0" w:color="4F81BD" w:themeColor="accent1"/>
            </w:tcBorders>
          </w:tcPr>
          <w:p w:rsidR="0002415F" w:rsidRPr="002B5BFA" w:rsidRDefault="0002415F" w:rsidP="00C62B29">
            <w:pPr>
              <w:tabs>
                <w:tab w:val="left" w:pos="360"/>
              </w:tabs>
              <w:rPr>
                <w:rFonts w:cs="Arial"/>
                <w:sz w:val="20"/>
              </w:rPr>
            </w:pPr>
          </w:p>
        </w:tc>
        <w:tc>
          <w:tcPr>
            <w:tcW w:w="4447" w:type="dxa"/>
            <w:tcBorders>
              <w:top w:val="dashSmallGap" w:sz="4" w:space="0" w:color="4F81BD" w:themeColor="accent1"/>
            </w:tcBorders>
          </w:tcPr>
          <w:p w:rsidR="0002415F" w:rsidRPr="002B5BFA" w:rsidRDefault="0002415F" w:rsidP="00C62B29">
            <w:pPr>
              <w:tabs>
                <w:tab w:val="left" w:pos="360"/>
              </w:tabs>
              <w:rPr>
                <w:rFonts w:cs="Arial"/>
                <w:sz w:val="20"/>
              </w:rPr>
            </w:pPr>
          </w:p>
        </w:tc>
        <w:tc>
          <w:tcPr>
            <w:tcW w:w="1412" w:type="dxa"/>
            <w:tcBorders>
              <w:top w:val="dashSmallGap" w:sz="4" w:space="0" w:color="4F81BD" w:themeColor="accent1"/>
            </w:tcBorders>
          </w:tcPr>
          <w:p w:rsidR="0002415F" w:rsidRPr="00E20AE9" w:rsidRDefault="0002415F" w:rsidP="00C62B29">
            <w:pPr>
              <w:tabs>
                <w:tab w:val="left" w:pos="360"/>
              </w:tabs>
              <w:rPr>
                <w:rFonts w:cs="Arial"/>
                <w:sz w:val="20"/>
              </w:rPr>
            </w:pPr>
          </w:p>
        </w:tc>
        <w:tc>
          <w:tcPr>
            <w:tcW w:w="1418" w:type="dxa"/>
            <w:tcBorders>
              <w:top w:val="dashSmallGap" w:sz="4" w:space="0" w:color="4F81BD" w:themeColor="accent1"/>
            </w:tcBorders>
            <w:shd w:val="clear" w:color="auto" w:fill="auto"/>
          </w:tcPr>
          <w:p w:rsidR="0002415F" w:rsidRPr="00724313" w:rsidRDefault="0002415F" w:rsidP="00724313">
            <w:pPr>
              <w:tabs>
                <w:tab w:val="left" w:pos="360"/>
              </w:tabs>
              <w:rPr>
                <w:rFonts w:cs="Arial"/>
                <w:sz w:val="20"/>
              </w:rPr>
            </w:pPr>
            <w:r>
              <w:rPr>
                <w:rFonts w:cs="Arial"/>
                <w:sz w:val="20"/>
              </w:rPr>
              <w:t>čl. 18</w:t>
            </w:r>
            <w:r w:rsidRPr="00724313">
              <w:rPr>
                <w:rFonts w:cs="Arial"/>
                <w:sz w:val="20"/>
              </w:rPr>
              <w:t xml:space="preserve"> odst. 1</w:t>
            </w:r>
          </w:p>
        </w:tc>
        <w:tc>
          <w:tcPr>
            <w:tcW w:w="5103" w:type="dxa"/>
            <w:tcBorders>
              <w:top w:val="dashSmallGap" w:sz="4" w:space="0" w:color="4F81BD" w:themeColor="accent1"/>
            </w:tcBorders>
            <w:shd w:val="clear" w:color="auto" w:fill="auto"/>
          </w:tcPr>
          <w:p w:rsidR="0002415F" w:rsidRPr="0002415F" w:rsidRDefault="0002415F" w:rsidP="0002415F">
            <w:pPr>
              <w:tabs>
                <w:tab w:val="left" w:pos="360"/>
              </w:tabs>
              <w:rPr>
                <w:rFonts w:cs="Arial"/>
                <w:sz w:val="20"/>
              </w:rPr>
            </w:pPr>
            <w:r w:rsidRPr="0002415F">
              <w:rPr>
                <w:rFonts w:cs="Arial"/>
                <w:sz w:val="20"/>
              </w:rPr>
              <w:t>1. V případech uvedených v článcích 19 až 24, při jednání s osobami usazenými v třetích zemích, které Komise označila za vysoce rizikové třetí země, a v jiných případech spojených s vyšším rizikem, které určí členské státy nebo povinné osoby, členské státy vyžadují, aby povinné osoby uplatňovaly opatření zesílené hloubkové kontroly klienta s cílem náležitě řídit a zmírnit uvedená rizika.</w:t>
            </w:r>
          </w:p>
          <w:p w:rsidR="0002415F" w:rsidRPr="00724313" w:rsidRDefault="0002415F" w:rsidP="0002415F">
            <w:pPr>
              <w:tabs>
                <w:tab w:val="left" w:pos="360"/>
              </w:tabs>
              <w:rPr>
                <w:rFonts w:cs="Arial"/>
                <w:sz w:val="20"/>
              </w:rPr>
            </w:pPr>
            <w:r w:rsidRPr="0002415F">
              <w:rPr>
                <w:rFonts w:cs="Arial"/>
                <w:sz w:val="20"/>
              </w:rPr>
              <w:t>Opatření zesílené hloubkové kontroly klienta není nutné uplatňovat automaticky na pobočky nebo většinově vlastněné dceřiné pod</w:t>
            </w:r>
            <w:r>
              <w:rPr>
                <w:rFonts w:cs="Arial"/>
                <w:sz w:val="20"/>
              </w:rPr>
              <w:t>niky povinných osob usazených v </w:t>
            </w:r>
            <w:r w:rsidRPr="0002415F">
              <w:rPr>
                <w:rFonts w:cs="Arial"/>
                <w:sz w:val="20"/>
              </w:rPr>
              <w:t>Unii, jež se nacháze</w:t>
            </w:r>
            <w:r>
              <w:rPr>
                <w:rFonts w:cs="Arial"/>
                <w:sz w:val="20"/>
              </w:rPr>
              <w:t>jí ve vysoce rizikových třetích </w:t>
            </w:r>
            <w:r w:rsidRPr="0002415F">
              <w:rPr>
                <w:rFonts w:cs="Arial"/>
                <w:sz w:val="20"/>
              </w:rPr>
              <w:t>zemích, jestliže tyto pobočky nebo většinově vlastněné dceřiné podniky plně dodržují skupinové strategie a postupy podle článku 45. Členské státy zajistí, aby povinné osoby tyto případy řešily použitím přístupu založeného na posouzení rizik.</w:t>
            </w:r>
          </w:p>
        </w:tc>
      </w:tr>
      <w:tr w:rsidR="007C3B51" w:rsidRPr="00E20AE9" w:rsidTr="004C3E28">
        <w:trPr>
          <w:trHeight w:val="277"/>
        </w:trPr>
        <w:tc>
          <w:tcPr>
            <w:tcW w:w="1629" w:type="dxa"/>
            <w:tcBorders>
              <w:bottom w:val="dashSmallGap" w:sz="4" w:space="0" w:color="4F81BD" w:themeColor="accent1"/>
            </w:tcBorders>
          </w:tcPr>
          <w:p w:rsidR="007C3B51" w:rsidRPr="002B5BFA" w:rsidRDefault="007C3B51" w:rsidP="00C62B29">
            <w:pPr>
              <w:tabs>
                <w:tab w:val="left" w:pos="360"/>
              </w:tabs>
              <w:rPr>
                <w:rFonts w:cs="Arial"/>
                <w:sz w:val="20"/>
              </w:rPr>
            </w:pPr>
            <w:r w:rsidRPr="002B5BFA">
              <w:rPr>
                <w:rFonts w:cs="Arial"/>
                <w:sz w:val="20"/>
              </w:rPr>
              <w:t>§ 9</w:t>
            </w:r>
            <w:r>
              <w:rPr>
                <w:rFonts w:cs="Arial"/>
                <w:sz w:val="20"/>
              </w:rPr>
              <w:t xml:space="preserve"> odst. 3</w:t>
            </w:r>
            <w:r w:rsidR="004C3E28">
              <w:rPr>
                <w:rFonts w:cs="Arial"/>
                <w:sz w:val="20"/>
              </w:rPr>
              <w:t xml:space="preserve"> až 5</w:t>
            </w:r>
          </w:p>
        </w:tc>
        <w:tc>
          <w:tcPr>
            <w:tcW w:w="4447" w:type="dxa"/>
            <w:tcBorders>
              <w:bottom w:val="dashSmallGap" w:sz="4" w:space="0" w:color="4F81BD" w:themeColor="accent1"/>
            </w:tcBorders>
          </w:tcPr>
          <w:p w:rsidR="00C576E0" w:rsidRPr="00C576E0" w:rsidRDefault="00C576E0" w:rsidP="00C576E0">
            <w:pPr>
              <w:tabs>
                <w:tab w:val="left" w:pos="360"/>
              </w:tabs>
              <w:rPr>
                <w:rFonts w:cs="Arial"/>
                <w:sz w:val="20"/>
              </w:rPr>
            </w:pPr>
            <w:r w:rsidRPr="00C576E0">
              <w:rPr>
                <w:rFonts w:cs="Arial"/>
                <w:sz w:val="20"/>
              </w:rPr>
              <w:t xml:space="preserve">(3) Povinná osoba provádí kontrolu klienta podle </w:t>
            </w:r>
            <w:r w:rsidRPr="00C576E0">
              <w:rPr>
                <w:rFonts w:cs="Arial"/>
                <w:sz w:val="20"/>
              </w:rPr>
              <w:lastRenderedPageBreak/>
              <w:t>odstavce 2 písm</w:t>
            </w:r>
            <w:r>
              <w:rPr>
                <w:rFonts w:cs="Arial"/>
                <w:sz w:val="20"/>
              </w:rPr>
              <w:t>. c) a d) v rozsahu potřebném k </w:t>
            </w:r>
            <w:r w:rsidRPr="00C576E0">
              <w:rPr>
                <w:rFonts w:cs="Arial"/>
                <w:sz w:val="20"/>
              </w:rPr>
              <w:t>posouzení mož</w:t>
            </w:r>
            <w:r>
              <w:rPr>
                <w:rFonts w:cs="Arial"/>
                <w:sz w:val="20"/>
              </w:rPr>
              <w:t>ného rizika legalizace výnosů z </w:t>
            </w:r>
            <w:r w:rsidRPr="00C576E0">
              <w:rPr>
                <w:rFonts w:cs="Arial"/>
                <w:sz w:val="20"/>
              </w:rPr>
              <w:t>trestné činnosti a financování terorismu v závislosti na typu klienta, obchodního vztahu, produktu ne</w:t>
            </w:r>
            <w:r>
              <w:rPr>
                <w:rFonts w:cs="Arial"/>
                <w:sz w:val="20"/>
              </w:rPr>
              <w:t>bo obchodu. Osobám oprávněným k </w:t>
            </w:r>
            <w:r w:rsidRPr="00C576E0">
              <w:rPr>
                <w:rFonts w:cs="Arial"/>
                <w:sz w:val="20"/>
              </w:rPr>
              <w:t>provádění kontroly plnění povinností podle § 35 odůvodní přiměřenost rozsahu kontroly klienta a doloží způsob jejího provádění nebo ověření splnění podmínek pro výjimku z identifikace a kontroly klienta podle § 13, a to s ohledem na výše uvedená rizika.</w:t>
            </w:r>
          </w:p>
          <w:p w:rsidR="00C576E0" w:rsidRPr="00C576E0" w:rsidRDefault="00C576E0" w:rsidP="00C576E0">
            <w:pPr>
              <w:tabs>
                <w:tab w:val="left" w:pos="360"/>
              </w:tabs>
              <w:rPr>
                <w:rFonts w:cs="Arial"/>
                <w:sz w:val="20"/>
              </w:rPr>
            </w:pPr>
            <w:r w:rsidRPr="00C576E0">
              <w:rPr>
                <w:rFonts w:cs="Arial"/>
                <w:sz w:val="20"/>
              </w:rPr>
              <w:t>(4) Při posuzování možného rizika podle odstavce 3 povinná osoba zohlední rizikové faktory uvedené v hodnocení rizik podle § 21a odst. 2.</w:t>
            </w:r>
          </w:p>
          <w:p w:rsidR="007C3B51" w:rsidRPr="002B5BFA" w:rsidRDefault="00C576E0" w:rsidP="00C576E0">
            <w:pPr>
              <w:tabs>
                <w:tab w:val="left" w:pos="360"/>
              </w:tabs>
              <w:rPr>
                <w:rFonts w:cs="Arial"/>
                <w:sz w:val="20"/>
              </w:rPr>
            </w:pPr>
            <w:r w:rsidRPr="00C576E0">
              <w:rPr>
                <w:rFonts w:cs="Arial"/>
                <w:sz w:val="20"/>
              </w:rPr>
              <w:t>(5) Povinná osoba stanoví na základě hodnocení rizik podle § 21a odst. 2 a s ohledem na odstavec 1 pro jednotlivé typy jí poskytovaných obchodů odpovídající hodnoty, při jejichž dosažení vždy provede kontrolu klienta.</w:t>
            </w:r>
          </w:p>
        </w:tc>
        <w:tc>
          <w:tcPr>
            <w:tcW w:w="1412" w:type="dxa"/>
            <w:tcBorders>
              <w:bottom w:val="dashSmallGap" w:sz="4" w:space="0" w:color="4F81BD" w:themeColor="accent1"/>
            </w:tcBorders>
          </w:tcPr>
          <w:p w:rsidR="007C3B51" w:rsidRPr="002B5BFA" w:rsidRDefault="00C62B29" w:rsidP="00C62B29">
            <w:pPr>
              <w:tabs>
                <w:tab w:val="left" w:pos="360"/>
              </w:tabs>
              <w:rPr>
                <w:rFonts w:cs="Arial"/>
                <w:sz w:val="20"/>
              </w:rPr>
            </w:pPr>
            <w:r>
              <w:rPr>
                <w:rFonts w:cs="Arial"/>
                <w:sz w:val="20"/>
              </w:rPr>
              <w:lastRenderedPageBreak/>
              <w:t>32015L0849</w:t>
            </w:r>
          </w:p>
        </w:tc>
        <w:tc>
          <w:tcPr>
            <w:tcW w:w="1418" w:type="dxa"/>
            <w:tcBorders>
              <w:bottom w:val="dashSmallGap" w:sz="4" w:space="0" w:color="4F81BD" w:themeColor="accent1"/>
            </w:tcBorders>
            <w:shd w:val="clear" w:color="auto" w:fill="auto"/>
          </w:tcPr>
          <w:p w:rsidR="007C3B51" w:rsidRPr="007C3B51" w:rsidRDefault="0002415F" w:rsidP="007C3B51">
            <w:pPr>
              <w:tabs>
                <w:tab w:val="left" w:pos="360"/>
              </w:tabs>
              <w:rPr>
                <w:rFonts w:cs="Arial"/>
                <w:sz w:val="20"/>
              </w:rPr>
            </w:pPr>
            <w:r>
              <w:rPr>
                <w:rFonts w:cs="Arial"/>
                <w:sz w:val="20"/>
              </w:rPr>
              <w:t>č</w:t>
            </w:r>
            <w:r w:rsidR="007C3B51" w:rsidRPr="007C3B51">
              <w:rPr>
                <w:rFonts w:cs="Arial"/>
                <w:sz w:val="20"/>
              </w:rPr>
              <w:t>l. 13 odst. 2</w:t>
            </w:r>
          </w:p>
        </w:tc>
        <w:tc>
          <w:tcPr>
            <w:tcW w:w="5103" w:type="dxa"/>
            <w:tcBorders>
              <w:bottom w:val="dashSmallGap" w:sz="4" w:space="0" w:color="4F81BD" w:themeColor="accent1"/>
            </w:tcBorders>
            <w:shd w:val="clear" w:color="auto" w:fill="auto"/>
          </w:tcPr>
          <w:p w:rsidR="007C3B51" w:rsidRPr="007C3B51" w:rsidRDefault="007C3B51" w:rsidP="007C3B51">
            <w:pPr>
              <w:tabs>
                <w:tab w:val="left" w:pos="360"/>
              </w:tabs>
              <w:rPr>
                <w:rFonts w:cs="Arial"/>
                <w:sz w:val="20"/>
              </w:rPr>
            </w:pPr>
            <w:r w:rsidRPr="007C3B51">
              <w:rPr>
                <w:rFonts w:cs="Arial"/>
                <w:sz w:val="20"/>
              </w:rPr>
              <w:t xml:space="preserve">2. Členské státy zajistí, aby povinné osoby uplatňovaly </w:t>
            </w:r>
            <w:r w:rsidRPr="007C3B51">
              <w:rPr>
                <w:rFonts w:cs="Arial"/>
                <w:sz w:val="20"/>
              </w:rPr>
              <w:lastRenderedPageBreak/>
              <w:t>všechny požadavky na hloubkovou kontrolu klienta stanovené v odstavci 1. Povinné osoby však mohou určit rozsah takových opatření při zohlednění míry rizika.</w:t>
            </w:r>
          </w:p>
        </w:tc>
      </w:tr>
      <w:tr w:rsidR="00C3177C" w:rsidRPr="00E20AE9" w:rsidTr="004C3E28">
        <w:trPr>
          <w:trHeight w:val="277"/>
        </w:trPr>
        <w:tc>
          <w:tcPr>
            <w:tcW w:w="1629" w:type="dxa"/>
            <w:tcBorders>
              <w:top w:val="dashSmallGap" w:sz="4" w:space="0" w:color="4F81BD" w:themeColor="accent1"/>
            </w:tcBorders>
          </w:tcPr>
          <w:p w:rsidR="00C3177C" w:rsidRPr="002B5BFA" w:rsidRDefault="00C3177C" w:rsidP="00C62B29">
            <w:pPr>
              <w:tabs>
                <w:tab w:val="left" w:pos="360"/>
              </w:tabs>
              <w:rPr>
                <w:rFonts w:cs="Arial"/>
                <w:sz w:val="20"/>
              </w:rPr>
            </w:pPr>
          </w:p>
        </w:tc>
        <w:tc>
          <w:tcPr>
            <w:tcW w:w="4447" w:type="dxa"/>
            <w:tcBorders>
              <w:top w:val="dashSmallGap" w:sz="4" w:space="0" w:color="4F81BD" w:themeColor="accent1"/>
            </w:tcBorders>
          </w:tcPr>
          <w:p w:rsidR="00C3177C" w:rsidRPr="00724313" w:rsidRDefault="00C3177C" w:rsidP="00724313">
            <w:pPr>
              <w:tabs>
                <w:tab w:val="left" w:pos="360"/>
              </w:tabs>
              <w:rPr>
                <w:rFonts w:cs="Arial"/>
                <w:sz w:val="20"/>
              </w:rPr>
            </w:pPr>
          </w:p>
        </w:tc>
        <w:tc>
          <w:tcPr>
            <w:tcW w:w="1412" w:type="dxa"/>
            <w:tcBorders>
              <w:top w:val="dashSmallGap" w:sz="4" w:space="0" w:color="4F81BD" w:themeColor="accent1"/>
            </w:tcBorders>
          </w:tcPr>
          <w:p w:rsidR="00C3177C" w:rsidRPr="00E20AE9" w:rsidRDefault="00C3177C" w:rsidP="00C62B29">
            <w:pPr>
              <w:tabs>
                <w:tab w:val="left" w:pos="360"/>
              </w:tabs>
              <w:rPr>
                <w:rFonts w:cs="Arial"/>
                <w:sz w:val="20"/>
              </w:rPr>
            </w:pPr>
          </w:p>
        </w:tc>
        <w:tc>
          <w:tcPr>
            <w:tcW w:w="1418" w:type="dxa"/>
            <w:tcBorders>
              <w:top w:val="dashSmallGap" w:sz="4" w:space="0" w:color="4F81BD" w:themeColor="accent1"/>
            </w:tcBorders>
            <w:shd w:val="clear" w:color="auto" w:fill="auto"/>
          </w:tcPr>
          <w:p w:rsidR="00C3177C" w:rsidRPr="00C3177C" w:rsidRDefault="00C3177C" w:rsidP="00C3177C">
            <w:pPr>
              <w:tabs>
                <w:tab w:val="left" w:pos="360"/>
              </w:tabs>
              <w:rPr>
                <w:rFonts w:cs="Arial"/>
                <w:sz w:val="20"/>
              </w:rPr>
            </w:pPr>
            <w:r w:rsidRPr="00C3177C">
              <w:rPr>
                <w:rFonts w:cs="Arial"/>
                <w:sz w:val="20"/>
              </w:rPr>
              <w:t>čl. 13 odst. 3</w:t>
            </w:r>
          </w:p>
        </w:tc>
        <w:tc>
          <w:tcPr>
            <w:tcW w:w="5103" w:type="dxa"/>
            <w:tcBorders>
              <w:top w:val="dashSmallGap" w:sz="4" w:space="0" w:color="4F81BD" w:themeColor="accent1"/>
            </w:tcBorders>
            <w:shd w:val="clear" w:color="auto" w:fill="auto"/>
          </w:tcPr>
          <w:p w:rsidR="00C3177C" w:rsidRPr="00C3177C" w:rsidRDefault="00C3177C" w:rsidP="00C3177C">
            <w:pPr>
              <w:tabs>
                <w:tab w:val="left" w:pos="360"/>
              </w:tabs>
              <w:rPr>
                <w:rFonts w:cs="Arial"/>
                <w:sz w:val="20"/>
              </w:rPr>
            </w:pPr>
            <w:r w:rsidRPr="00C3177C">
              <w:rPr>
                <w:rFonts w:cs="Arial"/>
                <w:sz w:val="20"/>
              </w:rPr>
              <w:t>3. Členské státy vyžadují, aby povinné osoby při posuzování rizik praní peněz a financování terorismu zohlednily alespoň proměnné uvedené v příloze I.</w:t>
            </w:r>
          </w:p>
          <w:p w:rsidR="00C3177C" w:rsidRPr="00C3177C" w:rsidRDefault="00C3177C" w:rsidP="00C3177C">
            <w:pPr>
              <w:tabs>
                <w:tab w:val="left" w:pos="360"/>
              </w:tabs>
              <w:rPr>
                <w:rFonts w:cs="Arial"/>
                <w:sz w:val="20"/>
              </w:rPr>
            </w:pPr>
            <w:r w:rsidRPr="00C3177C">
              <w:rPr>
                <w:rFonts w:cs="Arial"/>
                <w:sz w:val="20"/>
              </w:rPr>
              <w:t>(Příloha I</w:t>
            </w:r>
          </w:p>
          <w:p w:rsidR="00C3177C" w:rsidRPr="00C3177C" w:rsidRDefault="00C3177C" w:rsidP="00C3177C">
            <w:pPr>
              <w:tabs>
                <w:tab w:val="left" w:pos="360"/>
              </w:tabs>
              <w:rPr>
                <w:rFonts w:cs="Arial"/>
                <w:sz w:val="20"/>
              </w:rPr>
            </w:pPr>
            <w:r w:rsidRPr="00C3177C">
              <w:rPr>
                <w:rFonts w:cs="Arial"/>
                <w:sz w:val="20"/>
              </w:rPr>
              <w:t>Toto je demonstrativní výčet rizikových proměnných, které povinné osoby musí zohlednit při určování toho, do jaké míry uplatnit opatření hloubkové kontroly klienta podle čl. 13 odst. 3:</w:t>
            </w:r>
          </w:p>
          <w:p w:rsidR="00C3177C" w:rsidRPr="00C3177C" w:rsidRDefault="00C3177C" w:rsidP="00C3177C">
            <w:pPr>
              <w:tabs>
                <w:tab w:val="left" w:pos="360"/>
              </w:tabs>
              <w:rPr>
                <w:rFonts w:cs="Arial"/>
                <w:sz w:val="20"/>
              </w:rPr>
            </w:pPr>
            <w:r w:rsidRPr="00C3177C">
              <w:rPr>
                <w:rFonts w:cs="Arial"/>
                <w:sz w:val="20"/>
              </w:rPr>
              <w:t>i) účel účtu nebo obchodního vztahu;</w:t>
            </w:r>
          </w:p>
          <w:p w:rsidR="00C3177C" w:rsidRPr="00C3177C" w:rsidRDefault="00C3177C" w:rsidP="00C3177C">
            <w:pPr>
              <w:tabs>
                <w:tab w:val="left" w:pos="360"/>
              </w:tabs>
              <w:rPr>
                <w:rFonts w:cs="Arial"/>
                <w:sz w:val="20"/>
              </w:rPr>
            </w:pPr>
            <w:proofErr w:type="spellStart"/>
            <w:r w:rsidRPr="00C3177C">
              <w:rPr>
                <w:rFonts w:cs="Arial"/>
                <w:sz w:val="20"/>
              </w:rPr>
              <w:t>ii</w:t>
            </w:r>
            <w:proofErr w:type="spellEnd"/>
            <w:r w:rsidRPr="00C3177C">
              <w:rPr>
                <w:rFonts w:cs="Arial"/>
                <w:sz w:val="20"/>
              </w:rPr>
              <w:t>) výše aktiv, která mají být klientem uložena, nebo objem uskutečněných transakcí;</w:t>
            </w:r>
          </w:p>
          <w:p w:rsidR="00C3177C" w:rsidRPr="00C3177C" w:rsidRDefault="00C3177C" w:rsidP="00C3177C">
            <w:pPr>
              <w:tabs>
                <w:tab w:val="left" w:pos="360"/>
              </w:tabs>
              <w:rPr>
                <w:rFonts w:cs="Arial"/>
                <w:sz w:val="20"/>
              </w:rPr>
            </w:pPr>
            <w:proofErr w:type="spellStart"/>
            <w:r w:rsidRPr="00C3177C">
              <w:rPr>
                <w:rFonts w:cs="Arial"/>
                <w:sz w:val="20"/>
              </w:rPr>
              <w:t>iii</w:t>
            </w:r>
            <w:proofErr w:type="spellEnd"/>
            <w:r w:rsidRPr="00C3177C">
              <w:rPr>
                <w:rFonts w:cs="Arial"/>
                <w:sz w:val="20"/>
              </w:rPr>
              <w:t>) pravidelnost nebo délka trvání obchodního vztahu.)</w:t>
            </w:r>
          </w:p>
        </w:tc>
      </w:tr>
      <w:tr w:rsidR="00C3177C" w:rsidRPr="00E20AE9" w:rsidTr="004C3E28">
        <w:trPr>
          <w:trHeight w:val="277"/>
        </w:trPr>
        <w:tc>
          <w:tcPr>
            <w:tcW w:w="1629" w:type="dxa"/>
          </w:tcPr>
          <w:p w:rsidR="00C3177C" w:rsidRPr="002B5BFA" w:rsidRDefault="00C3177C" w:rsidP="00C62B29">
            <w:pPr>
              <w:tabs>
                <w:tab w:val="left" w:pos="360"/>
              </w:tabs>
              <w:rPr>
                <w:rFonts w:cs="Arial"/>
                <w:sz w:val="20"/>
              </w:rPr>
            </w:pPr>
            <w:r>
              <w:rPr>
                <w:rFonts w:cs="Arial"/>
                <w:sz w:val="20"/>
              </w:rPr>
              <w:t>§ 9 odst. 6 písm. b)</w:t>
            </w:r>
          </w:p>
        </w:tc>
        <w:tc>
          <w:tcPr>
            <w:tcW w:w="4447" w:type="dxa"/>
          </w:tcPr>
          <w:p w:rsidR="00C3177C" w:rsidRPr="00C3177C" w:rsidRDefault="00C3177C" w:rsidP="00C3177C">
            <w:pPr>
              <w:tabs>
                <w:tab w:val="left" w:pos="360"/>
              </w:tabs>
              <w:rPr>
                <w:rFonts w:cs="Arial"/>
                <w:sz w:val="20"/>
              </w:rPr>
            </w:pPr>
            <w:r w:rsidRPr="00C3177C">
              <w:rPr>
                <w:rFonts w:cs="Arial"/>
                <w:sz w:val="20"/>
              </w:rPr>
              <w:t>Kontrola klienta</w:t>
            </w:r>
          </w:p>
          <w:p w:rsidR="00C3177C" w:rsidRDefault="00C3177C" w:rsidP="00C3177C">
            <w:pPr>
              <w:tabs>
                <w:tab w:val="left" w:pos="360"/>
              </w:tabs>
              <w:rPr>
                <w:rFonts w:cs="Arial"/>
                <w:sz w:val="20"/>
              </w:rPr>
            </w:pPr>
            <w:r w:rsidRPr="00C3177C">
              <w:rPr>
                <w:rFonts w:cs="Arial"/>
                <w:sz w:val="20"/>
              </w:rPr>
              <w:t>(6) Při provádění kontroly klienta povinná osoba zjišťuje a zaznamenává u</w:t>
            </w:r>
          </w:p>
          <w:p w:rsidR="00C3177C" w:rsidRPr="00C3177C" w:rsidRDefault="00C3177C" w:rsidP="00C3177C">
            <w:pPr>
              <w:tabs>
                <w:tab w:val="left" w:pos="360"/>
              </w:tabs>
              <w:rPr>
                <w:rFonts w:cs="Arial"/>
                <w:sz w:val="20"/>
              </w:rPr>
            </w:pPr>
            <w:r>
              <w:rPr>
                <w:rFonts w:cs="Arial"/>
                <w:sz w:val="20"/>
              </w:rPr>
              <w:t>…</w:t>
            </w:r>
          </w:p>
          <w:p w:rsidR="00C3177C" w:rsidRPr="0002415F" w:rsidRDefault="00C576E0" w:rsidP="00C3177C">
            <w:pPr>
              <w:tabs>
                <w:tab w:val="left" w:pos="360"/>
              </w:tabs>
              <w:rPr>
                <w:rFonts w:cs="Arial"/>
                <w:sz w:val="20"/>
              </w:rPr>
            </w:pPr>
            <w:r w:rsidRPr="00C576E0">
              <w:rPr>
                <w:rFonts w:cs="Arial"/>
                <w:sz w:val="20"/>
              </w:rPr>
              <w:t xml:space="preserve">b)  </w:t>
            </w:r>
            <w:r w:rsidRPr="00C576E0">
              <w:rPr>
                <w:rFonts w:cs="Arial"/>
                <w:sz w:val="20"/>
              </w:rPr>
              <w:tab/>
              <w:t xml:space="preserve">obmyšlených svěřenských fondů nebo jiných právních uspořádání bez právní subjektivity, kteří jsou určeni na základě určitých vlastností nebo příslušnosti k určité kategorii, informace </w:t>
            </w:r>
            <w:r w:rsidRPr="00C576E0">
              <w:rPr>
                <w:rFonts w:cs="Arial"/>
                <w:sz w:val="20"/>
              </w:rPr>
              <w:lastRenderedPageBreak/>
              <w:t>dostatečné ke ztotožnění konkrétního obmyšleného v</w:t>
            </w:r>
            <w:r>
              <w:rPr>
                <w:rFonts w:cs="Arial"/>
                <w:sz w:val="20"/>
              </w:rPr>
              <w:t xml:space="preserve"> okamžiku výplaty výnosů nebo v </w:t>
            </w:r>
            <w:r w:rsidRPr="00C576E0">
              <w:rPr>
                <w:rFonts w:cs="Arial"/>
                <w:sz w:val="20"/>
              </w:rPr>
              <w:t xml:space="preserve">okamžiku, kdy obmyšlený uplatní svá nabytá práva,  </w:t>
            </w:r>
          </w:p>
        </w:tc>
        <w:tc>
          <w:tcPr>
            <w:tcW w:w="1412" w:type="dxa"/>
          </w:tcPr>
          <w:p w:rsidR="00C3177C" w:rsidRPr="00E20AE9" w:rsidRDefault="00C62B29" w:rsidP="00C62B29">
            <w:pPr>
              <w:tabs>
                <w:tab w:val="left" w:pos="360"/>
              </w:tabs>
              <w:rPr>
                <w:rFonts w:cs="Arial"/>
                <w:sz w:val="20"/>
              </w:rPr>
            </w:pPr>
            <w:r>
              <w:rPr>
                <w:rFonts w:cs="Arial"/>
                <w:sz w:val="20"/>
              </w:rPr>
              <w:lastRenderedPageBreak/>
              <w:t>32015L0849</w:t>
            </w:r>
          </w:p>
        </w:tc>
        <w:tc>
          <w:tcPr>
            <w:tcW w:w="1418" w:type="dxa"/>
            <w:shd w:val="clear" w:color="auto" w:fill="auto"/>
          </w:tcPr>
          <w:p w:rsidR="00C3177C" w:rsidRPr="00C3177C" w:rsidRDefault="00C3177C" w:rsidP="00C3177C">
            <w:pPr>
              <w:tabs>
                <w:tab w:val="left" w:pos="360"/>
              </w:tabs>
              <w:rPr>
                <w:rFonts w:cs="Arial"/>
                <w:sz w:val="20"/>
              </w:rPr>
            </w:pPr>
            <w:r w:rsidRPr="00C3177C">
              <w:rPr>
                <w:rFonts w:cs="Arial"/>
                <w:sz w:val="20"/>
              </w:rPr>
              <w:t>čl. 13 odst. 6</w:t>
            </w:r>
          </w:p>
        </w:tc>
        <w:tc>
          <w:tcPr>
            <w:tcW w:w="5103" w:type="dxa"/>
            <w:shd w:val="clear" w:color="auto" w:fill="auto"/>
          </w:tcPr>
          <w:p w:rsidR="00C3177C" w:rsidRPr="00C3177C" w:rsidRDefault="00C3177C" w:rsidP="00C3177C">
            <w:pPr>
              <w:tabs>
                <w:tab w:val="left" w:pos="360"/>
              </w:tabs>
              <w:rPr>
                <w:rFonts w:cs="Arial"/>
                <w:sz w:val="20"/>
              </w:rPr>
            </w:pPr>
            <w:r w:rsidRPr="00C3177C">
              <w:rPr>
                <w:rFonts w:cs="Arial"/>
                <w:sz w:val="20"/>
              </w:rPr>
              <w:t>6. V případě obmyšlených svěřenských fondů nebo podobných právních uspořádání, kteří jsou určeni na základě určitých vlastností nebo příslušnosti k určité kategorii, získá pov</w:t>
            </w:r>
            <w:r>
              <w:rPr>
                <w:rFonts w:cs="Arial"/>
                <w:sz w:val="20"/>
              </w:rPr>
              <w:t>inná osoba dostatek informací o </w:t>
            </w:r>
            <w:r w:rsidRPr="00C3177C">
              <w:rPr>
                <w:rFonts w:cs="Arial"/>
                <w:sz w:val="20"/>
              </w:rPr>
              <w:t>obmyšleném, aby se ujistila, že bude schopna zjistit totožnost obmyšleného v okamžiku výplaty výnosů nebo v okamžiku, kdy obmyšlený uplatní svá nabytá práva.</w:t>
            </w:r>
          </w:p>
        </w:tc>
      </w:tr>
      <w:tr w:rsidR="00C3177C" w:rsidRPr="00E20AE9" w:rsidTr="004C3E28">
        <w:trPr>
          <w:trHeight w:val="277"/>
        </w:trPr>
        <w:tc>
          <w:tcPr>
            <w:tcW w:w="1629" w:type="dxa"/>
            <w:tcBorders>
              <w:bottom w:val="dashSmallGap" w:sz="4" w:space="0" w:color="4F81BD" w:themeColor="accent1"/>
            </w:tcBorders>
          </w:tcPr>
          <w:p w:rsidR="00C3177C" w:rsidRDefault="00C3177C" w:rsidP="001B4438">
            <w:pPr>
              <w:tabs>
                <w:tab w:val="left" w:pos="360"/>
              </w:tabs>
              <w:rPr>
                <w:rFonts w:cs="Arial"/>
                <w:sz w:val="20"/>
              </w:rPr>
            </w:pPr>
            <w:r>
              <w:rPr>
                <w:rFonts w:cs="Arial"/>
                <w:sz w:val="20"/>
              </w:rPr>
              <w:lastRenderedPageBreak/>
              <w:t>§ 9 odst. 6 písm. c)</w:t>
            </w:r>
            <w:r w:rsidR="001B4438">
              <w:rPr>
                <w:rFonts w:cs="Arial"/>
                <w:sz w:val="20"/>
              </w:rPr>
              <w:t xml:space="preserve"> </w:t>
            </w:r>
          </w:p>
        </w:tc>
        <w:tc>
          <w:tcPr>
            <w:tcW w:w="4447" w:type="dxa"/>
            <w:tcBorders>
              <w:bottom w:val="dashSmallGap" w:sz="4" w:space="0" w:color="4F81BD" w:themeColor="accent1"/>
            </w:tcBorders>
          </w:tcPr>
          <w:p w:rsidR="00C3177C" w:rsidRDefault="00C3177C" w:rsidP="00C3177C">
            <w:pPr>
              <w:tabs>
                <w:tab w:val="left" w:pos="360"/>
              </w:tabs>
              <w:rPr>
                <w:rFonts w:cs="Arial"/>
                <w:sz w:val="20"/>
              </w:rPr>
            </w:pPr>
            <w:r w:rsidRPr="00C3177C">
              <w:rPr>
                <w:rFonts w:cs="Arial"/>
                <w:sz w:val="20"/>
              </w:rPr>
              <w:t>(6) Při provádění kontroly klienta povinná osoba zjišťuje a zaznamenává u</w:t>
            </w:r>
          </w:p>
          <w:p w:rsidR="00C3177C" w:rsidRPr="00C3177C" w:rsidRDefault="00C3177C" w:rsidP="00C3177C">
            <w:pPr>
              <w:tabs>
                <w:tab w:val="left" w:pos="360"/>
              </w:tabs>
              <w:rPr>
                <w:rFonts w:cs="Arial"/>
                <w:sz w:val="20"/>
              </w:rPr>
            </w:pPr>
            <w:r>
              <w:rPr>
                <w:rFonts w:cs="Arial"/>
                <w:sz w:val="20"/>
              </w:rPr>
              <w:t>…..</w:t>
            </w:r>
          </w:p>
          <w:p w:rsidR="00C576E0" w:rsidRPr="00C576E0" w:rsidRDefault="00C576E0" w:rsidP="00C576E0">
            <w:pPr>
              <w:tabs>
                <w:tab w:val="left" w:pos="360"/>
              </w:tabs>
              <w:rPr>
                <w:rFonts w:cs="Arial"/>
                <w:sz w:val="20"/>
              </w:rPr>
            </w:pPr>
            <w:r w:rsidRPr="00C576E0">
              <w:rPr>
                <w:rFonts w:cs="Arial"/>
                <w:sz w:val="20"/>
              </w:rPr>
              <w:t xml:space="preserve">c) </w:t>
            </w:r>
            <w:r w:rsidRPr="00C576E0">
              <w:rPr>
                <w:rFonts w:cs="Arial"/>
                <w:sz w:val="20"/>
              </w:rPr>
              <w:tab/>
              <w:t xml:space="preserve">oprávněné osoby ze životního pojištění, která je </w:t>
            </w:r>
          </w:p>
          <w:p w:rsidR="00C576E0" w:rsidRPr="00C576E0" w:rsidRDefault="00C576E0" w:rsidP="00C576E0">
            <w:pPr>
              <w:tabs>
                <w:tab w:val="left" w:pos="360"/>
              </w:tabs>
              <w:rPr>
                <w:rFonts w:cs="Arial"/>
                <w:sz w:val="20"/>
              </w:rPr>
            </w:pPr>
            <w:r w:rsidRPr="00C576E0">
              <w:rPr>
                <w:rFonts w:cs="Arial"/>
                <w:sz w:val="20"/>
              </w:rPr>
              <w:t>1.</w:t>
            </w:r>
            <w:r w:rsidRPr="00C576E0">
              <w:rPr>
                <w:rFonts w:cs="Arial"/>
                <w:sz w:val="20"/>
              </w:rPr>
              <w:tab/>
              <w:t>určena jako konkrétní osoba nebo právní uspořádání bez právní subjektivity, její jméno a příjmení nebo název,</w:t>
            </w:r>
          </w:p>
          <w:p w:rsidR="00C576E0" w:rsidRPr="00C576E0" w:rsidRDefault="00C576E0" w:rsidP="00C576E0">
            <w:pPr>
              <w:tabs>
                <w:tab w:val="left" w:pos="360"/>
              </w:tabs>
              <w:rPr>
                <w:rFonts w:cs="Arial"/>
                <w:sz w:val="20"/>
              </w:rPr>
            </w:pPr>
            <w:r w:rsidRPr="00C576E0">
              <w:rPr>
                <w:rFonts w:cs="Arial"/>
                <w:sz w:val="20"/>
              </w:rPr>
              <w:t>2.</w:t>
            </w:r>
            <w:r w:rsidRPr="00C576E0">
              <w:rPr>
                <w:rFonts w:cs="Arial"/>
                <w:sz w:val="20"/>
              </w:rPr>
              <w:tab/>
              <w:t>ur</w:t>
            </w:r>
            <w:r>
              <w:rPr>
                <w:rFonts w:cs="Arial"/>
                <w:sz w:val="20"/>
              </w:rPr>
              <w:t>čena na základě jejího vztahu k </w:t>
            </w:r>
            <w:r w:rsidRPr="00C576E0">
              <w:rPr>
                <w:rFonts w:cs="Arial"/>
                <w:sz w:val="20"/>
              </w:rPr>
              <w:t>pojištěnému anebo jinak, informace dostatečné ke ztotožn</w:t>
            </w:r>
            <w:r>
              <w:rPr>
                <w:rFonts w:cs="Arial"/>
                <w:sz w:val="20"/>
              </w:rPr>
              <w:t>ění konkrétní oprávněné osoby v </w:t>
            </w:r>
            <w:r w:rsidRPr="00C576E0">
              <w:rPr>
                <w:rFonts w:cs="Arial"/>
                <w:sz w:val="20"/>
              </w:rPr>
              <w:t xml:space="preserve">okamžiku výplaty plnění, </w:t>
            </w:r>
          </w:p>
          <w:p w:rsidR="00C3177C" w:rsidRPr="0002415F" w:rsidRDefault="00C576E0" w:rsidP="00C576E0">
            <w:pPr>
              <w:tabs>
                <w:tab w:val="left" w:pos="360"/>
              </w:tabs>
              <w:rPr>
                <w:rFonts w:cs="Arial"/>
                <w:sz w:val="20"/>
              </w:rPr>
            </w:pPr>
            <w:r w:rsidRPr="00C576E0">
              <w:rPr>
                <w:rFonts w:cs="Arial"/>
                <w:sz w:val="20"/>
              </w:rPr>
              <w:t>3.</w:t>
            </w:r>
            <w:r w:rsidRPr="00C576E0">
              <w:rPr>
                <w:rFonts w:cs="Arial"/>
                <w:sz w:val="20"/>
              </w:rPr>
              <w:tab/>
              <w:t>politicky exponovanou osobou, všechny významné okolnosti a průběh obchodního vztahu.</w:t>
            </w:r>
          </w:p>
        </w:tc>
        <w:tc>
          <w:tcPr>
            <w:tcW w:w="1412" w:type="dxa"/>
            <w:tcBorders>
              <w:bottom w:val="dashSmallGap" w:sz="4" w:space="0" w:color="4F81BD" w:themeColor="accent1"/>
            </w:tcBorders>
          </w:tcPr>
          <w:p w:rsidR="00C3177C" w:rsidRPr="00E20AE9" w:rsidRDefault="00C62B29" w:rsidP="00C62B29">
            <w:pPr>
              <w:tabs>
                <w:tab w:val="left" w:pos="360"/>
              </w:tabs>
              <w:rPr>
                <w:rFonts w:cs="Arial"/>
                <w:sz w:val="20"/>
              </w:rPr>
            </w:pPr>
            <w:r>
              <w:rPr>
                <w:rFonts w:cs="Arial"/>
                <w:sz w:val="20"/>
              </w:rPr>
              <w:t>32015L0849</w:t>
            </w:r>
          </w:p>
        </w:tc>
        <w:tc>
          <w:tcPr>
            <w:tcW w:w="1418" w:type="dxa"/>
            <w:tcBorders>
              <w:bottom w:val="dashSmallGap" w:sz="4" w:space="0" w:color="4F81BD" w:themeColor="accent1"/>
            </w:tcBorders>
            <w:shd w:val="clear" w:color="auto" w:fill="auto"/>
          </w:tcPr>
          <w:p w:rsidR="00C3177C" w:rsidRPr="00C3177C" w:rsidRDefault="00C3177C" w:rsidP="00C3177C">
            <w:pPr>
              <w:tabs>
                <w:tab w:val="left" w:pos="360"/>
              </w:tabs>
              <w:rPr>
                <w:rFonts w:cs="Arial"/>
                <w:sz w:val="20"/>
              </w:rPr>
            </w:pPr>
            <w:r w:rsidRPr="00C3177C">
              <w:rPr>
                <w:rFonts w:cs="Arial"/>
                <w:sz w:val="20"/>
              </w:rPr>
              <w:t>čl. 13 odst. 5</w:t>
            </w:r>
          </w:p>
        </w:tc>
        <w:tc>
          <w:tcPr>
            <w:tcW w:w="5103" w:type="dxa"/>
            <w:tcBorders>
              <w:bottom w:val="dashSmallGap" w:sz="4" w:space="0" w:color="4F81BD" w:themeColor="accent1"/>
            </w:tcBorders>
            <w:shd w:val="clear" w:color="auto" w:fill="auto"/>
          </w:tcPr>
          <w:p w:rsidR="00C3177C" w:rsidRDefault="00C3177C" w:rsidP="00C3177C">
            <w:pPr>
              <w:tabs>
                <w:tab w:val="left" w:pos="360"/>
              </w:tabs>
              <w:rPr>
                <w:rFonts w:cs="Arial"/>
                <w:sz w:val="20"/>
              </w:rPr>
            </w:pPr>
            <w:r w:rsidRPr="00C3177C">
              <w:rPr>
                <w:rFonts w:cs="Arial"/>
                <w:sz w:val="20"/>
              </w:rPr>
              <w:t>5. V případě životního nebo jiného investičního pojištění členské státy zajistí, aby úvěrové instituce a finanční instituce, vedle vyžadovaných opatření hloubkové kontroly klienta týkající se klienta a skutečného majitele, provedly následující opatření hloubkové kontroly klienta týkající se příjemců plnění ze životního pojištění a jiného investičního pojištění, jakmile jsou příjemci identifikováni nebo určeni:</w:t>
            </w:r>
          </w:p>
          <w:p w:rsidR="00C3177C" w:rsidRPr="00C3177C" w:rsidRDefault="00C3177C" w:rsidP="00C3177C">
            <w:pPr>
              <w:tabs>
                <w:tab w:val="left" w:pos="360"/>
              </w:tabs>
              <w:rPr>
                <w:rFonts w:cs="Arial"/>
                <w:sz w:val="20"/>
              </w:rPr>
            </w:pPr>
            <w:r w:rsidRPr="00C3177C">
              <w:rPr>
                <w:rFonts w:cs="Arial"/>
                <w:sz w:val="20"/>
              </w:rPr>
              <w:t>a) v případě příjemců, kteří jsou identifikováni jako jmenovité osoby nebo právní uspořádání, zjistí jejich jména;</w:t>
            </w:r>
          </w:p>
          <w:p w:rsidR="00C3177C" w:rsidRPr="00C3177C" w:rsidRDefault="00C3177C" w:rsidP="00C3177C">
            <w:pPr>
              <w:tabs>
                <w:tab w:val="left" w:pos="360"/>
              </w:tabs>
              <w:rPr>
                <w:rFonts w:cs="Arial"/>
                <w:sz w:val="20"/>
              </w:rPr>
            </w:pPr>
            <w:r w:rsidRPr="00C3177C">
              <w:rPr>
                <w:rFonts w:cs="Arial"/>
                <w:sz w:val="20"/>
              </w:rPr>
              <w:t>b) v případě příjemců, kteří jsou určeni na základě určitých vlastností nebo příslušnosti k určité kategorii anebo jinak, o nich získají dostatek informací, aby se úvěrová instituce nebo finanční instituce ujistila, že bude schopna zjistit totožnost příjemce v okamžiku výplaty plnění.</w:t>
            </w:r>
          </w:p>
          <w:p w:rsidR="00C3177C" w:rsidRPr="00C3177C" w:rsidRDefault="00C3177C" w:rsidP="00C3177C">
            <w:pPr>
              <w:tabs>
                <w:tab w:val="left" w:pos="360"/>
              </w:tabs>
              <w:rPr>
                <w:rFonts w:cs="Arial"/>
                <w:sz w:val="20"/>
              </w:rPr>
            </w:pPr>
            <w:r w:rsidRPr="00C3177C">
              <w:rPr>
                <w:rFonts w:cs="Arial"/>
                <w:sz w:val="20"/>
              </w:rPr>
              <w:t>S ohledem na první pododstavec písm. a) a b) se totožnost příjemců ověřuje v </w:t>
            </w:r>
            <w:r>
              <w:rPr>
                <w:rFonts w:cs="Arial"/>
                <w:sz w:val="20"/>
              </w:rPr>
              <w:t>okamžiku výplaty plnění. V </w:t>
            </w:r>
            <w:r w:rsidRPr="00C3177C">
              <w:rPr>
                <w:rFonts w:cs="Arial"/>
                <w:sz w:val="20"/>
              </w:rPr>
              <w:t>případě celkového nebo částečného postoupení životního nebo jiného investičního pojištění třetí osobě identifikují úvěrové instituce a fi</w:t>
            </w:r>
            <w:r>
              <w:rPr>
                <w:rFonts w:cs="Arial"/>
                <w:sz w:val="20"/>
              </w:rPr>
              <w:t>nanční instituce, které o </w:t>
            </w:r>
            <w:r w:rsidRPr="00C3177C">
              <w:rPr>
                <w:rFonts w:cs="Arial"/>
                <w:sz w:val="20"/>
              </w:rPr>
              <w:t>postoupení vědí, skutečného majitele v okamžiku postoupení fyzické nebo právnické osobě nebo právnímu uspořádání, v jejichž prospěch plyne hodnota postoupeného pojištění.</w:t>
            </w:r>
          </w:p>
        </w:tc>
      </w:tr>
      <w:tr w:rsidR="001B4438" w:rsidRPr="00E20AE9" w:rsidTr="004C3E28">
        <w:trPr>
          <w:trHeight w:val="277"/>
        </w:trPr>
        <w:tc>
          <w:tcPr>
            <w:tcW w:w="1629" w:type="dxa"/>
            <w:tcBorders>
              <w:top w:val="dashSmallGap" w:sz="4" w:space="0" w:color="4F81BD" w:themeColor="accent1"/>
              <w:bottom w:val="single" w:sz="4" w:space="0" w:color="auto"/>
            </w:tcBorders>
          </w:tcPr>
          <w:p w:rsidR="001B4438" w:rsidRDefault="001B4438" w:rsidP="00C62B29">
            <w:pPr>
              <w:tabs>
                <w:tab w:val="left" w:pos="360"/>
              </w:tabs>
              <w:rPr>
                <w:rFonts w:cs="Arial"/>
                <w:sz w:val="20"/>
              </w:rPr>
            </w:pPr>
          </w:p>
        </w:tc>
        <w:tc>
          <w:tcPr>
            <w:tcW w:w="4447" w:type="dxa"/>
            <w:tcBorders>
              <w:top w:val="dashSmallGap" w:sz="4" w:space="0" w:color="4F81BD" w:themeColor="accent1"/>
              <w:bottom w:val="single" w:sz="4" w:space="0" w:color="auto"/>
            </w:tcBorders>
          </w:tcPr>
          <w:p w:rsidR="001B4438" w:rsidRPr="00C3177C" w:rsidRDefault="001B4438" w:rsidP="00C3177C">
            <w:pPr>
              <w:tabs>
                <w:tab w:val="left" w:pos="360"/>
              </w:tabs>
              <w:rPr>
                <w:rFonts w:cs="Arial"/>
                <w:sz w:val="20"/>
              </w:rPr>
            </w:pPr>
          </w:p>
        </w:tc>
        <w:tc>
          <w:tcPr>
            <w:tcW w:w="1412" w:type="dxa"/>
            <w:tcBorders>
              <w:top w:val="dashSmallGap" w:sz="4" w:space="0" w:color="4F81BD" w:themeColor="accent1"/>
              <w:bottom w:val="single" w:sz="4" w:space="0" w:color="auto"/>
            </w:tcBorders>
          </w:tcPr>
          <w:p w:rsidR="001B4438" w:rsidRPr="00E20AE9" w:rsidRDefault="001B4438" w:rsidP="00C62B29">
            <w:pPr>
              <w:tabs>
                <w:tab w:val="left" w:pos="360"/>
              </w:tabs>
              <w:rPr>
                <w:rFonts w:cs="Arial"/>
                <w:sz w:val="20"/>
              </w:rPr>
            </w:pPr>
          </w:p>
        </w:tc>
        <w:tc>
          <w:tcPr>
            <w:tcW w:w="1418" w:type="dxa"/>
            <w:tcBorders>
              <w:top w:val="dashSmallGap" w:sz="4" w:space="0" w:color="4F81BD" w:themeColor="accent1"/>
              <w:bottom w:val="single" w:sz="4" w:space="0" w:color="auto"/>
            </w:tcBorders>
            <w:shd w:val="clear" w:color="auto" w:fill="auto"/>
          </w:tcPr>
          <w:p w:rsidR="001B4438" w:rsidRPr="00C3177C" w:rsidRDefault="001B4438" w:rsidP="00C3177C">
            <w:pPr>
              <w:tabs>
                <w:tab w:val="left" w:pos="360"/>
              </w:tabs>
              <w:rPr>
                <w:rFonts w:cs="Arial"/>
                <w:sz w:val="20"/>
              </w:rPr>
            </w:pPr>
            <w:r>
              <w:rPr>
                <w:rFonts w:cs="Arial"/>
                <w:sz w:val="20"/>
              </w:rPr>
              <w:t>čl. 21</w:t>
            </w:r>
          </w:p>
        </w:tc>
        <w:tc>
          <w:tcPr>
            <w:tcW w:w="5103" w:type="dxa"/>
            <w:tcBorders>
              <w:top w:val="dashSmallGap" w:sz="4" w:space="0" w:color="4F81BD" w:themeColor="accent1"/>
              <w:bottom w:val="single" w:sz="4" w:space="0" w:color="auto"/>
            </w:tcBorders>
            <w:shd w:val="clear" w:color="auto" w:fill="auto"/>
          </w:tcPr>
          <w:p w:rsidR="001B4438" w:rsidRPr="001B4438" w:rsidRDefault="001B4438" w:rsidP="001B4438">
            <w:pPr>
              <w:tabs>
                <w:tab w:val="left" w:pos="360"/>
              </w:tabs>
              <w:rPr>
                <w:rFonts w:cs="Arial"/>
                <w:sz w:val="20"/>
              </w:rPr>
            </w:pPr>
            <w:r w:rsidRPr="001B4438">
              <w:rPr>
                <w:rFonts w:cs="Arial"/>
                <w:sz w:val="20"/>
              </w:rPr>
              <w:t xml:space="preserve">Členské státy vyžadují, aby povinné osoby přijaly přiměřená opatření s cílem zjistit, zda příjemci plnění ze životního pojištění nebo jiného investičního pojištění, nebo je-li to vyžadováno, skutečný majitel příjemce plnění jsou politicky exponované osoby. Tato opatření se přijmou nejpozději v okamžiku výplaty nebo v okamžiku celkového nebo částečného postoupení pojištění. Pokud je zjištěno vyšší riziko, členské státy kromě uplatnění opatření hloubkové kontroly klienta stanovených v článku </w:t>
            </w:r>
            <w:r w:rsidRPr="001B4438">
              <w:rPr>
                <w:rFonts w:cs="Arial"/>
                <w:sz w:val="20"/>
              </w:rPr>
              <w:lastRenderedPageBreak/>
              <w:t>13 vyžadují, aby povinné osoby:</w:t>
            </w:r>
          </w:p>
          <w:p w:rsidR="001B4438" w:rsidRPr="001B4438" w:rsidRDefault="001B4438" w:rsidP="001B4438">
            <w:pPr>
              <w:tabs>
                <w:tab w:val="left" w:pos="360"/>
              </w:tabs>
              <w:rPr>
                <w:rFonts w:cs="Arial"/>
                <w:sz w:val="20"/>
              </w:rPr>
            </w:pPr>
            <w:r w:rsidRPr="001B4438">
              <w:rPr>
                <w:rFonts w:cs="Arial"/>
                <w:sz w:val="20"/>
              </w:rPr>
              <w:t>a) informovaly vrcholné vedení dříve, než je plnění vyplaceno;</w:t>
            </w:r>
          </w:p>
          <w:p w:rsidR="001B4438" w:rsidRPr="00C3177C" w:rsidRDefault="001B4438" w:rsidP="001B4438">
            <w:pPr>
              <w:tabs>
                <w:tab w:val="left" w:pos="360"/>
              </w:tabs>
              <w:rPr>
                <w:rFonts w:cs="Arial"/>
                <w:sz w:val="20"/>
              </w:rPr>
            </w:pPr>
            <w:r w:rsidRPr="001B4438">
              <w:rPr>
                <w:rFonts w:cs="Arial"/>
                <w:sz w:val="20"/>
              </w:rPr>
              <w:t>b) provedly zesílenou kontrolu celého obchodního vztahu s pojistníkem.</w:t>
            </w:r>
          </w:p>
        </w:tc>
      </w:tr>
      <w:tr w:rsidR="001B4438" w:rsidRPr="00E20AE9" w:rsidTr="004C3E28">
        <w:trPr>
          <w:trHeight w:val="277"/>
        </w:trPr>
        <w:tc>
          <w:tcPr>
            <w:tcW w:w="1629" w:type="dxa"/>
            <w:tcBorders>
              <w:top w:val="single" w:sz="4" w:space="0" w:color="auto"/>
              <w:bottom w:val="single" w:sz="4" w:space="0" w:color="auto"/>
            </w:tcBorders>
          </w:tcPr>
          <w:p w:rsidR="001B4438" w:rsidRDefault="001B4438" w:rsidP="00C62B29">
            <w:pPr>
              <w:tabs>
                <w:tab w:val="left" w:pos="360"/>
              </w:tabs>
              <w:rPr>
                <w:rFonts w:cs="Arial"/>
                <w:sz w:val="20"/>
              </w:rPr>
            </w:pPr>
            <w:r>
              <w:rPr>
                <w:rFonts w:cs="Arial"/>
                <w:sz w:val="20"/>
              </w:rPr>
              <w:lastRenderedPageBreak/>
              <w:t>§ 9 odst. 7</w:t>
            </w:r>
          </w:p>
        </w:tc>
        <w:tc>
          <w:tcPr>
            <w:tcW w:w="4447" w:type="dxa"/>
            <w:tcBorders>
              <w:top w:val="single" w:sz="4" w:space="0" w:color="auto"/>
              <w:bottom w:val="single" w:sz="4" w:space="0" w:color="auto"/>
            </w:tcBorders>
          </w:tcPr>
          <w:p w:rsidR="001B4438" w:rsidRPr="00C3177C" w:rsidRDefault="00C819CC" w:rsidP="00C3177C">
            <w:pPr>
              <w:tabs>
                <w:tab w:val="left" w:pos="360"/>
              </w:tabs>
              <w:rPr>
                <w:rFonts w:cs="Arial"/>
                <w:sz w:val="20"/>
              </w:rPr>
            </w:pPr>
            <w:r w:rsidRPr="00C819CC">
              <w:rPr>
                <w:rFonts w:cs="Arial"/>
                <w:sz w:val="20"/>
              </w:rPr>
              <w:t>(7) Klient poskytne povinné osobě informace, které jsou k provedení kontroly nezbytné, včetně předložení příslušných dokladů.</w:t>
            </w:r>
          </w:p>
        </w:tc>
        <w:tc>
          <w:tcPr>
            <w:tcW w:w="1412" w:type="dxa"/>
            <w:tcBorders>
              <w:top w:val="single" w:sz="4" w:space="0" w:color="auto"/>
              <w:bottom w:val="single" w:sz="4" w:space="0" w:color="auto"/>
            </w:tcBorders>
          </w:tcPr>
          <w:p w:rsidR="001B4438"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bottom w:val="single" w:sz="4" w:space="0" w:color="auto"/>
            </w:tcBorders>
            <w:shd w:val="clear" w:color="auto" w:fill="auto"/>
          </w:tcPr>
          <w:p w:rsidR="001B4438" w:rsidRPr="001B4438" w:rsidRDefault="001B4438" w:rsidP="001B4438">
            <w:pPr>
              <w:tabs>
                <w:tab w:val="left" w:pos="360"/>
              </w:tabs>
              <w:rPr>
                <w:rFonts w:cs="Arial"/>
                <w:sz w:val="20"/>
              </w:rPr>
            </w:pPr>
            <w:r w:rsidRPr="001B4438">
              <w:rPr>
                <w:rFonts w:cs="Arial"/>
                <w:sz w:val="20"/>
              </w:rPr>
              <w:t>čl. 30 odst. 1 pododstavec</w:t>
            </w:r>
          </w:p>
        </w:tc>
        <w:tc>
          <w:tcPr>
            <w:tcW w:w="5103" w:type="dxa"/>
            <w:tcBorders>
              <w:top w:val="single" w:sz="4" w:space="0" w:color="auto"/>
              <w:bottom w:val="single" w:sz="4" w:space="0" w:color="auto"/>
            </w:tcBorders>
            <w:shd w:val="clear" w:color="auto" w:fill="auto"/>
          </w:tcPr>
          <w:p w:rsidR="001B4438" w:rsidRPr="001B4438" w:rsidRDefault="001B4438" w:rsidP="001B4438">
            <w:pPr>
              <w:tabs>
                <w:tab w:val="left" w:pos="360"/>
              </w:tabs>
              <w:rPr>
                <w:rFonts w:cs="Arial"/>
                <w:sz w:val="20"/>
              </w:rPr>
            </w:pPr>
            <w:r w:rsidRPr="001B4438">
              <w:rPr>
                <w:rFonts w:cs="Arial"/>
                <w:sz w:val="20"/>
              </w:rPr>
              <w:t>Členské státy zajistí, aby tyto subjekty měly povinnost povinným osobám při provádění opatření hloubkové kontroly klienta v souladu s kapitolou II poskytnout kromě informací o svém právním majiteli i informace o svém skutečném majiteli.</w:t>
            </w:r>
          </w:p>
        </w:tc>
      </w:tr>
      <w:tr w:rsidR="00C819CC" w:rsidRPr="00E20AE9" w:rsidTr="004C3E28">
        <w:trPr>
          <w:trHeight w:val="277"/>
        </w:trPr>
        <w:tc>
          <w:tcPr>
            <w:tcW w:w="1629" w:type="dxa"/>
            <w:tcBorders>
              <w:top w:val="single" w:sz="4" w:space="0" w:color="auto"/>
              <w:bottom w:val="single" w:sz="4" w:space="0" w:color="auto"/>
            </w:tcBorders>
          </w:tcPr>
          <w:p w:rsidR="00C819CC" w:rsidRDefault="00C819CC" w:rsidP="00C62B29">
            <w:pPr>
              <w:tabs>
                <w:tab w:val="left" w:pos="360"/>
              </w:tabs>
              <w:rPr>
                <w:rFonts w:cs="Arial"/>
                <w:sz w:val="20"/>
              </w:rPr>
            </w:pPr>
            <w:r>
              <w:rPr>
                <w:rFonts w:cs="Arial"/>
                <w:sz w:val="20"/>
              </w:rPr>
              <w:t>§ 9 odst. 9</w:t>
            </w:r>
          </w:p>
        </w:tc>
        <w:tc>
          <w:tcPr>
            <w:tcW w:w="4447" w:type="dxa"/>
            <w:tcBorders>
              <w:top w:val="single" w:sz="4" w:space="0" w:color="auto"/>
              <w:bottom w:val="single" w:sz="4" w:space="0" w:color="auto"/>
            </w:tcBorders>
          </w:tcPr>
          <w:p w:rsidR="00C819CC" w:rsidRPr="00C819CC" w:rsidRDefault="00C819CC" w:rsidP="00C3177C">
            <w:pPr>
              <w:tabs>
                <w:tab w:val="left" w:pos="360"/>
              </w:tabs>
              <w:rPr>
                <w:rFonts w:cs="Arial"/>
                <w:sz w:val="20"/>
              </w:rPr>
            </w:pPr>
            <w:r w:rsidRPr="00C819CC">
              <w:rPr>
                <w:rFonts w:cs="Arial"/>
                <w:sz w:val="20"/>
              </w:rPr>
              <w:t xml:space="preserve">(9) Je-li v situaci popsané v odstavci 6 písm. c) bod 3. zjištěno zvýšené riziko zneužití pro legalizaci výnosů z trestné činnosti nebo financování terorismu, musí být před výplatou plnění nebo při byť i jen </w:t>
            </w:r>
            <w:proofErr w:type="gramStart"/>
            <w:r w:rsidRPr="00C819CC">
              <w:rPr>
                <w:rFonts w:cs="Arial"/>
                <w:sz w:val="20"/>
              </w:rPr>
              <w:t>částečném</w:t>
            </w:r>
            <w:proofErr w:type="gramEnd"/>
            <w:r w:rsidRPr="00C819CC">
              <w:rPr>
                <w:rFonts w:cs="Arial"/>
                <w:sz w:val="20"/>
              </w:rPr>
              <w:t xml:space="preserve"> postoupení pojištění informován statutární orgán povinné osoby nebo jím určená osoba s řídící pravomocí </w:t>
            </w:r>
            <w:r>
              <w:rPr>
                <w:rFonts w:cs="Arial"/>
                <w:sz w:val="20"/>
              </w:rPr>
              <w:t>v </w:t>
            </w:r>
            <w:r w:rsidRPr="00C819CC">
              <w:rPr>
                <w:rFonts w:cs="Arial"/>
                <w:sz w:val="20"/>
              </w:rPr>
              <w:t>oblasti opatření proti legalizaci výnosů z trestné činnosti a financování terorismu.</w:t>
            </w:r>
          </w:p>
        </w:tc>
        <w:tc>
          <w:tcPr>
            <w:tcW w:w="1412" w:type="dxa"/>
            <w:tcBorders>
              <w:top w:val="single" w:sz="4" w:space="0" w:color="auto"/>
              <w:bottom w:val="single" w:sz="4" w:space="0" w:color="auto"/>
            </w:tcBorders>
          </w:tcPr>
          <w:p w:rsidR="00C819CC" w:rsidRPr="00E20AE9" w:rsidRDefault="00C819CC" w:rsidP="00C62B29">
            <w:pPr>
              <w:tabs>
                <w:tab w:val="left" w:pos="360"/>
              </w:tabs>
              <w:rPr>
                <w:rFonts w:cs="Arial"/>
                <w:sz w:val="20"/>
              </w:rPr>
            </w:pPr>
            <w:r>
              <w:rPr>
                <w:rFonts w:cs="Arial"/>
                <w:sz w:val="20"/>
              </w:rPr>
              <w:t>32015L0849</w:t>
            </w:r>
          </w:p>
        </w:tc>
        <w:tc>
          <w:tcPr>
            <w:tcW w:w="1418" w:type="dxa"/>
            <w:tcBorders>
              <w:top w:val="single" w:sz="4" w:space="0" w:color="auto"/>
              <w:bottom w:val="single" w:sz="4" w:space="0" w:color="auto"/>
            </w:tcBorders>
            <w:shd w:val="clear" w:color="auto" w:fill="auto"/>
          </w:tcPr>
          <w:p w:rsidR="00C819CC" w:rsidRPr="001B4438" w:rsidRDefault="00C819CC" w:rsidP="001B4438">
            <w:pPr>
              <w:tabs>
                <w:tab w:val="left" w:pos="360"/>
              </w:tabs>
              <w:rPr>
                <w:rFonts w:cs="Arial"/>
                <w:sz w:val="20"/>
              </w:rPr>
            </w:pPr>
            <w:r>
              <w:rPr>
                <w:rFonts w:cs="Arial"/>
                <w:sz w:val="20"/>
              </w:rPr>
              <w:t>čl. 20</w:t>
            </w:r>
          </w:p>
        </w:tc>
        <w:tc>
          <w:tcPr>
            <w:tcW w:w="5103" w:type="dxa"/>
            <w:tcBorders>
              <w:top w:val="single" w:sz="4" w:space="0" w:color="auto"/>
              <w:bottom w:val="single" w:sz="4" w:space="0" w:color="auto"/>
            </w:tcBorders>
            <w:shd w:val="clear" w:color="auto" w:fill="auto"/>
          </w:tcPr>
          <w:p w:rsidR="00C819CC" w:rsidRDefault="00C819CC" w:rsidP="001B4438">
            <w:pPr>
              <w:tabs>
                <w:tab w:val="left" w:pos="360"/>
              </w:tabs>
              <w:rPr>
                <w:rFonts w:cs="Arial"/>
                <w:sz w:val="20"/>
              </w:rPr>
            </w:pPr>
            <w:r w:rsidRPr="00C819CC">
              <w:rPr>
                <w:rFonts w:cs="Arial"/>
                <w:sz w:val="20"/>
              </w:rPr>
              <w:t xml:space="preserve">Pokud jde o transakce nebo obchodní vztahy s politicky exponovanými osobami, členské státy kromě opatření hloubkové kontroly klienta stanovených v článku 13 po povinných osobách vyžadují, aby: a) měly zavedeny náležité systémy řízení rizik včetně postupů založených na posouzení rizik ke zjištění, zda klient nebo skutečný majitel klienta je politicky exponovanou osobou; </w:t>
            </w:r>
          </w:p>
          <w:p w:rsidR="00C819CC" w:rsidRDefault="00C819CC" w:rsidP="001B4438">
            <w:pPr>
              <w:tabs>
                <w:tab w:val="left" w:pos="360"/>
              </w:tabs>
              <w:rPr>
                <w:rFonts w:cs="Arial"/>
                <w:sz w:val="20"/>
              </w:rPr>
            </w:pPr>
            <w:r w:rsidRPr="00C819CC">
              <w:rPr>
                <w:rFonts w:cs="Arial"/>
                <w:sz w:val="20"/>
              </w:rPr>
              <w:t xml:space="preserve">b) v případě obchodních vztahů s politicky exponovanými osobami uplatňovaly tato opatření: </w:t>
            </w:r>
          </w:p>
          <w:p w:rsidR="00C819CC" w:rsidRDefault="00C819CC" w:rsidP="001B4438">
            <w:pPr>
              <w:tabs>
                <w:tab w:val="left" w:pos="360"/>
              </w:tabs>
              <w:rPr>
                <w:rFonts w:cs="Arial"/>
                <w:sz w:val="20"/>
              </w:rPr>
            </w:pPr>
            <w:r w:rsidRPr="00C819CC">
              <w:rPr>
                <w:rFonts w:cs="Arial"/>
                <w:sz w:val="20"/>
              </w:rPr>
              <w:t xml:space="preserve">i) získaly souhlas vrcholného vedení k navázání nebo rozvoji obchodních vztahů s takovými osobami; </w:t>
            </w:r>
          </w:p>
          <w:p w:rsidR="00C819CC" w:rsidRDefault="00C819CC" w:rsidP="001B4438">
            <w:pPr>
              <w:tabs>
                <w:tab w:val="left" w:pos="360"/>
              </w:tabs>
              <w:rPr>
                <w:rFonts w:cs="Arial"/>
                <w:sz w:val="20"/>
              </w:rPr>
            </w:pPr>
            <w:proofErr w:type="spellStart"/>
            <w:r w:rsidRPr="00C819CC">
              <w:rPr>
                <w:rFonts w:cs="Arial"/>
                <w:sz w:val="20"/>
              </w:rPr>
              <w:t>ii</w:t>
            </w:r>
            <w:proofErr w:type="spellEnd"/>
            <w:r w:rsidRPr="00C819CC">
              <w:rPr>
                <w:rFonts w:cs="Arial"/>
                <w:sz w:val="20"/>
              </w:rPr>
              <w:t xml:space="preserve">) přijaly přiměřená opatření s cílem zjistit zdroj majetku a zdroj finančních prostředků, které figurují v obchodních vztazích nebo transakcích s takovými osobami; </w:t>
            </w:r>
          </w:p>
          <w:p w:rsidR="00C819CC" w:rsidRPr="001B4438" w:rsidRDefault="00C819CC" w:rsidP="001B4438">
            <w:pPr>
              <w:tabs>
                <w:tab w:val="left" w:pos="360"/>
              </w:tabs>
              <w:rPr>
                <w:rFonts w:cs="Arial"/>
                <w:sz w:val="20"/>
              </w:rPr>
            </w:pPr>
            <w:proofErr w:type="spellStart"/>
            <w:r w:rsidRPr="00C819CC">
              <w:rPr>
                <w:rFonts w:cs="Arial"/>
                <w:sz w:val="20"/>
              </w:rPr>
              <w:t>iii</w:t>
            </w:r>
            <w:proofErr w:type="spellEnd"/>
            <w:r w:rsidRPr="00C819CC">
              <w:rPr>
                <w:rFonts w:cs="Arial"/>
                <w:sz w:val="20"/>
              </w:rPr>
              <w:t>) prováděly zesílené průběžné sledování těchto obchodních vztahů.</w:t>
            </w:r>
          </w:p>
        </w:tc>
      </w:tr>
      <w:tr w:rsidR="00446663" w:rsidRPr="00E20AE9" w:rsidTr="00446663">
        <w:trPr>
          <w:trHeight w:val="277"/>
        </w:trPr>
        <w:tc>
          <w:tcPr>
            <w:tcW w:w="1629" w:type="dxa"/>
            <w:tcBorders>
              <w:top w:val="single" w:sz="4" w:space="0" w:color="auto"/>
              <w:bottom w:val="dashSmallGap" w:sz="4" w:space="0" w:color="4F81BD" w:themeColor="accent1"/>
            </w:tcBorders>
          </w:tcPr>
          <w:p w:rsidR="00446663" w:rsidRDefault="00446663" w:rsidP="00C62B29">
            <w:pPr>
              <w:tabs>
                <w:tab w:val="left" w:pos="360"/>
              </w:tabs>
              <w:rPr>
                <w:rFonts w:cs="Arial"/>
                <w:sz w:val="20"/>
              </w:rPr>
            </w:pPr>
            <w:r>
              <w:rPr>
                <w:rFonts w:cs="Arial"/>
                <w:sz w:val="20"/>
              </w:rPr>
              <w:t>§ 11 odst. 2</w:t>
            </w:r>
          </w:p>
        </w:tc>
        <w:tc>
          <w:tcPr>
            <w:tcW w:w="4447" w:type="dxa"/>
            <w:tcBorders>
              <w:top w:val="single" w:sz="4" w:space="0" w:color="auto"/>
              <w:bottom w:val="dashSmallGap" w:sz="4" w:space="0" w:color="4F81BD" w:themeColor="accent1"/>
            </w:tcBorders>
          </w:tcPr>
          <w:p w:rsidR="00446663" w:rsidRPr="001B4438" w:rsidRDefault="002A602B" w:rsidP="00C3177C">
            <w:pPr>
              <w:tabs>
                <w:tab w:val="left" w:pos="360"/>
              </w:tabs>
              <w:rPr>
                <w:rFonts w:cs="Arial"/>
                <w:sz w:val="20"/>
              </w:rPr>
            </w:pPr>
            <w:r w:rsidRPr="002A602B">
              <w:rPr>
                <w:rFonts w:cs="Arial"/>
                <w:sz w:val="20"/>
              </w:rPr>
              <w:t>(2) Povinná osoba uvedená v § 2 odst. 1 písm. e) a g) nemusí provést identifikaci klienta, zjištění informací o účelu a zamýšlené povaze obchodu nebo obchodního vztahu podle § 9 odst. 2 písm. a) a zjištění vlastnické a řídící struktury klienta a jeho skutečného majitele podle § 9 odst. 2 písm. b), pokud tyto úkony byly provedeny osobou stejného typu působící na území státu, který jí ukládá v oblasti boje proti legalizaci výnosů z trestné činnosti a financování terorismu povinnosti rovnocenné pož</w:t>
            </w:r>
            <w:r>
              <w:rPr>
                <w:rFonts w:cs="Arial"/>
                <w:sz w:val="20"/>
              </w:rPr>
              <w:t>adavkům práva Evropské unie a v </w:t>
            </w:r>
            <w:r w:rsidRPr="002A602B">
              <w:rPr>
                <w:rFonts w:cs="Arial"/>
                <w:sz w:val="20"/>
              </w:rPr>
              <w:t>němž je vůči ní uplatňován dozor na úrovni odpovídající právu Evropské unie</w:t>
            </w:r>
            <w:r w:rsidR="005439AC">
              <w:rPr>
                <w:rFonts w:cs="Arial"/>
                <w:sz w:val="20"/>
              </w:rPr>
              <w:t>.</w:t>
            </w:r>
          </w:p>
        </w:tc>
        <w:tc>
          <w:tcPr>
            <w:tcW w:w="1412" w:type="dxa"/>
            <w:tcBorders>
              <w:top w:val="single" w:sz="4" w:space="0" w:color="auto"/>
              <w:bottom w:val="dashSmallGap" w:sz="4" w:space="0" w:color="4F81BD" w:themeColor="accent1"/>
            </w:tcBorders>
          </w:tcPr>
          <w:p w:rsidR="00446663"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bottom w:val="dashSmallGap" w:sz="4" w:space="0" w:color="4F81BD" w:themeColor="accent1"/>
            </w:tcBorders>
            <w:shd w:val="clear" w:color="auto" w:fill="auto"/>
          </w:tcPr>
          <w:p w:rsidR="00446663" w:rsidRPr="00446663" w:rsidRDefault="00446663" w:rsidP="00446663">
            <w:pPr>
              <w:tabs>
                <w:tab w:val="left" w:pos="360"/>
              </w:tabs>
              <w:rPr>
                <w:rFonts w:cs="Arial"/>
                <w:sz w:val="20"/>
              </w:rPr>
            </w:pPr>
            <w:r w:rsidRPr="00446663">
              <w:rPr>
                <w:rFonts w:cs="Arial"/>
                <w:sz w:val="20"/>
              </w:rPr>
              <w:t>čl. 25</w:t>
            </w:r>
          </w:p>
        </w:tc>
        <w:tc>
          <w:tcPr>
            <w:tcW w:w="5103" w:type="dxa"/>
            <w:tcBorders>
              <w:top w:val="single" w:sz="4" w:space="0" w:color="auto"/>
              <w:bottom w:val="dashSmallGap" w:sz="4" w:space="0" w:color="4F81BD" w:themeColor="accent1"/>
            </w:tcBorders>
            <w:shd w:val="clear" w:color="auto" w:fill="auto"/>
          </w:tcPr>
          <w:p w:rsidR="00446663" w:rsidRPr="00446663" w:rsidRDefault="00446663" w:rsidP="00446663">
            <w:pPr>
              <w:tabs>
                <w:tab w:val="left" w:pos="360"/>
              </w:tabs>
              <w:rPr>
                <w:rFonts w:cs="Arial"/>
                <w:sz w:val="20"/>
              </w:rPr>
            </w:pPr>
            <w:r w:rsidRPr="00446663">
              <w:rPr>
                <w:rFonts w:cs="Arial"/>
                <w:sz w:val="20"/>
              </w:rPr>
              <w:t>Členské státy mohou dovolit, aby se povinné osoby při plnění požadavků na hloubkovou kontrolu klienta stanovených v čl. 13 odst. 1 prvním pododstavci písm. a), b) a c) spoléhaly na třetí osoby. Konečná odpovědnost za splnění uvedených požadavků však zůstává na povinné osobě, jež se spoléhá na třetí osobu.</w:t>
            </w:r>
          </w:p>
        </w:tc>
      </w:tr>
      <w:tr w:rsidR="00446663" w:rsidRPr="00E20AE9" w:rsidTr="00446663">
        <w:trPr>
          <w:trHeight w:val="277"/>
        </w:trPr>
        <w:tc>
          <w:tcPr>
            <w:tcW w:w="1629" w:type="dxa"/>
            <w:tcBorders>
              <w:top w:val="dashSmallGap" w:sz="4" w:space="0" w:color="4F81BD" w:themeColor="accent1"/>
              <w:bottom w:val="single" w:sz="4" w:space="0" w:color="auto"/>
            </w:tcBorders>
          </w:tcPr>
          <w:p w:rsidR="00446663" w:rsidRDefault="00446663" w:rsidP="00C62B29">
            <w:pPr>
              <w:tabs>
                <w:tab w:val="left" w:pos="360"/>
              </w:tabs>
              <w:rPr>
                <w:rFonts w:cs="Arial"/>
                <w:sz w:val="20"/>
              </w:rPr>
            </w:pPr>
          </w:p>
        </w:tc>
        <w:tc>
          <w:tcPr>
            <w:tcW w:w="4447" w:type="dxa"/>
            <w:tcBorders>
              <w:top w:val="dashSmallGap" w:sz="4" w:space="0" w:color="4F81BD" w:themeColor="accent1"/>
              <w:bottom w:val="single" w:sz="4" w:space="0" w:color="auto"/>
            </w:tcBorders>
          </w:tcPr>
          <w:p w:rsidR="00446663" w:rsidRPr="00446663" w:rsidRDefault="00446663" w:rsidP="00C3177C">
            <w:pPr>
              <w:tabs>
                <w:tab w:val="left" w:pos="360"/>
              </w:tabs>
              <w:rPr>
                <w:rFonts w:cs="Arial"/>
                <w:sz w:val="20"/>
              </w:rPr>
            </w:pPr>
          </w:p>
        </w:tc>
        <w:tc>
          <w:tcPr>
            <w:tcW w:w="1412" w:type="dxa"/>
            <w:tcBorders>
              <w:top w:val="dashSmallGap" w:sz="4" w:space="0" w:color="4F81BD" w:themeColor="accent1"/>
              <w:bottom w:val="single" w:sz="4" w:space="0" w:color="auto"/>
            </w:tcBorders>
          </w:tcPr>
          <w:p w:rsidR="00446663" w:rsidRPr="00E20AE9" w:rsidRDefault="00446663" w:rsidP="00C62B29">
            <w:pPr>
              <w:tabs>
                <w:tab w:val="left" w:pos="360"/>
              </w:tabs>
              <w:rPr>
                <w:rFonts w:cs="Arial"/>
                <w:sz w:val="20"/>
              </w:rPr>
            </w:pPr>
          </w:p>
        </w:tc>
        <w:tc>
          <w:tcPr>
            <w:tcW w:w="1418" w:type="dxa"/>
            <w:tcBorders>
              <w:top w:val="dashSmallGap" w:sz="4" w:space="0" w:color="4F81BD" w:themeColor="accent1"/>
              <w:bottom w:val="single" w:sz="4" w:space="0" w:color="auto"/>
            </w:tcBorders>
            <w:shd w:val="clear" w:color="auto" w:fill="auto"/>
          </w:tcPr>
          <w:p w:rsidR="00446663" w:rsidRPr="00446663" w:rsidRDefault="00446663" w:rsidP="00446663">
            <w:pPr>
              <w:tabs>
                <w:tab w:val="left" w:pos="360"/>
              </w:tabs>
              <w:rPr>
                <w:rFonts w:cs="Arial"/>
                <w:sz w:val="20"/>
              </w:rPr>
            </w:pPr>
            <w:r>
              <w:rPr>
                <w:rFonts w:cs="Arial"/>
                <w:sz w:val="20"/>
              </w:rPr>
              <w:t>čl. 26 odst. 1</w:t>
            </w:r>
          </w:p>
        </w:tc>
        <w:tc>
          <w:tcPr>
            <w:tcW w:w="5103" w:type="dxa"/>
            <w:tcBorders>
              <w:top w:val="dashSmallGap" w:sz="4" w:space="0" w:color="4F81BD" w:themeColor="accent1"/>
              <w:bottom w:val="single" w:sz="4" w:space="0" w:color="auto"/>
            </w:tcBorders>
            <w:shd w:val="clear" w:color="auto" w:fill="auto"/>
          </w:tcPr>
          <w:p w:rsidR="00446663" w:rsidRPr="00446663" w:rsidRDefault="00446663" w:rsidP="00446663">
            <w:pPr>
              <w:tabs>
                <w:tab w:val="left" w:pos="360"/>
              </w:tabs>
              <w:rPr>
                <w:rFonts w:cs="Arial"/>
                <w:sz w:val="20"/>
              </w:rPr>
            </w:pPr>
            <w:r w:rsidRPr="00446663">
              <w:rPr>
                <w:rFonts w:cs="Arial"/>
                <w:sz w:val="20"/>
              </w:rPr>
              <w:t>1. Pro účely tohoto oddílu se „třetími osobami“ rozumějí povinné osoby, které jsou uvedeny v článku 2, členské organizace nebo sdružení těchto povinných osob, nebo jiné instituce či osoby, které se nacházejí v členském státě nebo třetí zemi a u nichž platí, že:</w:t>
            </w:r>
          </w:p>
          <w:p w:rsidR="00446663" w:rsidRPr="00446663" w:rsidRDefault="00446663" w:rsidP="00446663">
            <w:pPr>
              <w:tabs>
                <w:tab w:val="left" w:pos="360"/>
              </w:tabs>
              <w:rPr>
                <w:rFonts w:cs="Arial"/>
                <w:sz w:val="20"/>
              </w:rPr>
            </w:pPr>
            <w:r w:rsidRPr="00446663">
              <w:rPr>
                <w:rFonts w:cs="Arial"/>
                <w:sz w:val="20"/>
              </w:rPr>
              <w:t>a) uplatňují požadavky na hloubkovou kontrolu klienta a požadavky na vedení záznamů, které jsou v souladu s požadavky stanovenými touto směrnicí, a</w:t>
            </w:r>
          </w:p>
          <w:p w:rsidR="00446663" w:rsidRPr="00446663" w:rsidRDefault="00446663" w:rsidP="00446663">
            <w:pPr>
              <w:tabs>
                <w:tab w:val="left" w:pos="360"/>
              </w:tabs>
              <w:rPr>
                <w:rFonts w:cs="Arial"/>
                <w:sz w:val="20"/>
              </w:rPr>
            </w:pPr>
            <w:r w:rsidRPr="00446663">
              <w:rPr>
                <w:rFonts w:cs="Arial"/>
                <w:sz w:val="20"/>
              </w:rPr>
              <w:t>b) dodržování požadavků této směrnice z jejich strany je předmětem dozoru v souladu s kapitolou VI oddílem 2.</w:t>
            </w:r>
          </w:p>
        </w:tc>
      </w:tr>
      <w:tr w:rsidR="00446663" w:rsidRPr="00E20AE9" w:rsidTr="004C3E28">
        <w:trPr>
          <w:trHeight w:val="277"/>
        </w:trPr>
        <w:tc>
          <w:tcPr>
            <w:tcW w:w="1629" w:type="dxa"/>
            <w:tcBorders>
              <w:top w:val="single" w:sz="4" w:space="0" w:color="auto"/>
            </w:tcBorders>
          </w:tcPr>
          <w:p w:rsidR="00446663" w:rsidRDefault="00446663" w:rsidP="00C62B29">
            <w:pPr>
              <w:tabs>
                <w:tab w:val="left" w:pos="360"/>
              </w:tabs>
              <w:rPr>
                <w:rFonts w:cs="Arial"/>
                <w:sz w:val="20"/>
              </w:rPr>
            </w:pPr>
            <w:r>
              <w:rPr>
                <w:rFonts w:cs="Arial"/>
                <w:sz w:val="20"/>
              </w:rPr>
              <w:t>§ 11 odst. 3</w:t>
            </w:r>
          </w:p>
        </w:tc>
        <w:tc>
          <w:tcPr>
            <w:tcW w:w="4447" w:type="dxa"/>
            <w:tcBorders>
              <w:top w:val="single" w:sz="4" w:space="0" w:color="auto"/>
            </w:tcBorders>
          </w:tcPr>
          <w:p w:rsidR="00446663" w:rsidRPr="00446663" w:rsidRDefault="005439AC" w:rsidP="00C3177C">
            <w:pPr>
              <w:tabs>
                <w:tab w:val="left" w:pos="360"/>
              </w:tabs>
              <w:rPr>
                <w:rFonts w:cs="Arial"/>
                <w:sz w:val="20"/>
              </w:rPr>
            </w:pPr>
            <w:r w:rsidRPr="005439AC">
              <w:rPr>
                <w:rFonts w:cs="Arial"/>
                <w:sz w:val="20"/>
              </w:rPr>
              <w:t>(3) Povinná osoba, která postupuje podle odstavce 1 nebo 2, musí mít zajištěno poskytnutí informací, včetně kopií příslušných dokladů, o identifikaci klienta, účelu a zamýšlené povaze obchodního vztahu, vlastnické a řídící struktuře klienta a totožnosti skutečného majitele od úvěrové nebo finanční instituce nebo osoby, která identifikaci nebo zjiště</w:t>
            </w:r>
            <w:r>
              <w:rPr>
                <w:rFonts w:cs="Arial"/>
                <w:sz w:val="20"/>
              </w:rPr>
              <w:t>ní příslušných údajů provedla.</w:t>
            </w:r>
          </w:p>
        </w:tc>
        <w:tc>
          <w:tcPr>
            <w:tcW w:w="1412" w:type="dxa"/>
            <w:tcBorders>
              <w:top w:val="single" w:sz="4" w:space="0" w:color="auto"/>
            </w:tcBorders>
          </w:tcPr>
          <w:p w:rsidR="00446663"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tcBorders>
            <w:shd w:val="clear" w:color="auto" w:fill="auto"/>
          </w:tcPr>
          <w:p w:rsidR="00446663" w:rsidRPr="00446663" w:rsidRDefault="00446663" w:rsidP="00446663">
            <w:pPr>
              <w:tabs>
                <w:tab w:val="left" w:pos="360"/>
              </w:tabs>
              <w:rPr>
                <w:rFonts w:cs="Arial"/>
                <w:sz w:val="20"/>
              </w:rPr>
            </w:pPr>
            <w:r>
              <w:rPr>
                <w:rFonts w:cs="Arial"/>
                <w:sz w:val="20"/>
              </w:rPr>
              <w:t>čl. 27</w:t>
            </w:r>
          </w:p>
        </w:tc>
        <w:tc>
          <w:tcPr>
            <w:tcW w:w="5103" w:type="dxa"/>
            <w:tcBorders>
              <w:top w:val="single" w:sz="4" w:space="0" w:color="auto"/>
            </w:tcBorders>
            <w:shd w:val="clear" w:color="auto" w:fill="auto"/>
          </w:tcPr>
          <w:p w:rsidR="00446663" w:rsidRDefault="00446663" w:rsidP="00446663">
            <w:pPr>
              <w:tabs>
                <w:tab w:val="left" w:pos="360"/>
              </w:tabs>
              <w:rPr>
                <w:rFonts w:cs="Arial"/>
                <w:sz w:val="20"/>
              </w:rPr>
            </w:pPr>
            <w:r w:rsidRPr="00446663">
              <w:rPr>
                <w:rFonts w:cs="Arial"/>
                <w:sz w:val="20"/>
              </w:rPr>
              <w:t xml:space="preserve">1. Členské státy zajistí, aby povinné osoby získaly od třetí osoby, na niž se spoléhají, nezbytné informace týkající se požadavků na hloubkovou kontrolu klienta uvedených v čl. 13 odst. 1 prvním pododstavci písm. a), b) a c). </w:t>
            </w:r>
          </w:p>
          <w:p w:rsidR="00446663" w:rsidRPr="00446663" w:rsidRDefault="00446663" w:rsidP="00446663">
            <w:pPr>
              <w:tabs>
                <w:tab w:val="left" w:pos="360"/>
              </w:tabs>
              <w:rPr>
                <w:rFonts w:cs="Arial"/>
                <w:sz w:val="20"/>
              </w:rPr>
            </w:pPr>
            <w:r w:rsidRPr="00446663">
              <w:rPr>
                <w:rFonts w:cs="Arial"/>
                <w:sz w:val="20"/>
              </w:rPr>
              <w:t>2. Členské státy zajistí, aby povinné osoby, na které se klient obrátí, podnikly náležité kroky k zajištění toho, aby třetí osoby na vyžádání neprodleně poskytly příslušné kopie údajů o zjišťování a ověřování totožnosti a další příslušnou dokumentaci o totožnosti klienta nebo skutečného majitele.</w:t>
            </w:r>
          </w:p>
        </w:tc>
      </w:tr>
      <w:tr w:rsidR="00041CED" w:rsidRPr="00E20AE9" w:rsidTr="004C3E28">
        <w:trPr>
          <w:trHeight w:val="277"/>
        </w:trPr>
        <w:tc>
          <w:tcPr>
            <w:tcW w:w="1629" w:type="dxa"/>
            <w:tcBorders>
              <w:top w:val="single" w:sz="4" w:space="0" w:color="auto"/>
            </w:tcBorders>
          </w:tcPr>
          <w:p w:rsidR="00041CED" w:rsidRDefault="00041CED" w:rsidP="00C62B29">
            <w:pPr>
              <w:tabs>
                <w:tab w:val="left" w:pos="360"/>
              </w:tabs>
              <w:rPr>
                <w:rFonts w:cs="Arial"/>
                <w:sz w:val="20"/>
              </w:rPr>
            </w:pPr>
            <w:r>
              <w:rPr>
                <w:rFonts w:cs="Arial"/>
                <w:sz w:val="20"/>
              </w:rPr>
              <w:t>§ 11 odst. 4</w:t>
            </w:r>
          </w:p>
        </w:tc>
        <w:tc>
          <w:tcPr>
            <w:tcW w:w="4447" w:type="dxa"/>
            <w:tcBorders>
              <w:top w:val="single" w:sz="4" w:space="0" w:color="auto"/>
            </w:tcBorders>
          </w:tcPr>
          <w:p w:rsidR="00041CED" w:rsidRPr="00446663" w:rsidRDefault="00041CED" w:rsidP="00C576E0">
            <w:pPr>
              <w:tabs>
                <w:tab w:val="left" w:pos="360"/>
              </w:tabs>
              <w:rPr>
                <w:rFonts w:cs="Arial"/>
                <w:sz w:val="20"/>
              </w:rPr>
            </w:pPr>
            <w:r w:rsidRPr="00041CED">
              <w:rPr>
                <w:rFonts w:cs="Arial"/>
                <w:sz w:val="20"/>
              </w:rPr>
              <w:t xml:space="preserve">Za provedení úkonů podle odstavce 1 a 2 odpovídá povinná osoba, jako by je provedla sama. </w:t>
            </w:r>
          </w:p>
        </w:tc>
        <w:tc>
          <w:tcPr>
            <w:tcW w:w="1412" w:type="dxa"/>
            <w:tcBorders>
              <w:top w:val="single" w:sz="4" w:space="0" w:color="auto"/>
            </w:tcBorders>
          </w:tcPr>
          <w:p w:rsidR="00041CED" w:rsidRDefault="00041CED" w:rsidP="00C62B29">
            <w:pPr>
              <w:tabs>
                <w:tab w:val="left" w:pos="360"/>
              </w:tabs>
              <w:rPr>
                <w:rFonts w:cs="Arial"/>
                <w:sz w:val="20"/>
              </w:rPr>
            </w:pPr>
            <w:r>
              <w:rPr>
                <w:rFonts w:cs="Arial"/>
                <w:sz w:val="20"/>
              </w:rPr>
              <w:t>32015L0849</w:t>
            </w:r>
          </w:p>
        </w:tc>
        <w:tc>
          <w:tcPr>
            <w:tcW w:w="1418" w:type="dxa"/>
            <w:tcBorders>
              <w:top w:val="single" w:sz="4" w:space="0" w:color="auto"/>
            </w:tcBorders>
            <w:shd w:val="clear" w:color="auto" w:fill="auto"/>
          </w:tcPr>
          <w:p w:rsidR="00041CED" w:rsidRDefault="00041CED" w:rsidP="00446663">
            <w:pPr>
              <w:tabs>
                <w:tab w:val="left" w:pos="360"/>
              </w:tabs>
              <w:rPr>
                <w:rFonts w:cs="Arial"/>
                <w:sz w:val="20"/>
              </w:rPr>
            </w:pPr>
            <w:r>
              <w:rPr>
                <w:rFonts w:cs="Arial"/>
                <w:sz w:val="20"/>
              </w:rPr>
              <w:t>čl. 25</w:t>
            </w:r>
          </w:p>
        </w:tc>
        <w:tc>
          <w:tcPr>
            <w:tcW w:w="5103" w:type="dxa"/>
            <w:tcBorders>
              <w:top w:val="single" w:sz="4" w:space="0" w:color="auto"/>
            </w:tcBorders>
            <w:shd w:val="clear" w:color="auto" w:fill="auto"/>
          </w:tcPr>
          <w:p w:rsidR="00041CED" w:rsidRPr="00446663" w:rsidRDefault="00041CED" w:rsidP="00446663">
            <w:pPr>
              <w:tabs>
                <w:tab w:val="left" w:pos="360"/>
              </w:tabs>
              <w:rPr>
                <w:rFonts w:cs="Arial"/>
                <w:sz w:val="20"/>
              </w:rPr>
            </w:pPr>
            <w:r>
              <w:rPr>
                <w:sz w:val="19"/>
                <w:szCs w:val="19"/>
              </w:rPr>
              <w:t>Členské státy mohou dovolit, aby se povinné osoby při plnění požadavků na hloubkovou kontrolu klienta stanovených v čl. 13 odst. 1 prvním pododstavci písm. a), b) a c) spoléhaly na třetí osoby. Konečná odpovědnost za splnění uvedených požadavků však zůstává na povinné osobě, jež se spoléhá na třetí osobu.</w:t>
            </w:r>
          </w:p>
        </w:tc>
      </w:tr>
      <w:tr w:rsidR="00480A8E" w:rsidRPr="00E20AE9" w:rsidTr="00A20951">
        <w:trPr>
          <w:trHeight w:val="141"/>
        </w:trPr>
        <w:tc>
          <w:tcPr>
            <w:tcW w:w="1629" w:type="dxa"/>
            <w:tcBorders>
              <w:top w:val="single" w:sz="4" w:space="0" w:color="auto"/>
              <w:bottom w:val="dashSmallGap" w:sz="4" w:space="0" w:color="4F81BD" w:themeColor="accent1"/>
            </w:tcBorders>
          </w:tcPr>
          <w:p w:rsidR="00480A8E" w:rsidRDefault="00480A8E" w:rsidP="00C62B29">
            <w:pPr>
              <w:tabs>
                <w:tab w:val="left" w:pos="360"/>
              </w:tabs>
              <w:rPr>
                <w:rFonts w:cs="Arial"/>
                <w:sz w:val="20"/>
              </w:rPr>
            </w:pPr>
            <w:r>
              <w:rPr>
                <w:rFonts w:cs="Arial"/>
                <w:sz w:val="20"/>
              </w:rPr>
              <w:t xml:space="preserve">§ 11 odst. </w:t>
            </w:r>
            <w:r w:rsidR="00BE5293">
              <w:rPr>
                <w:rFonts w:cs="Arial"/>
                <w:sz w:val="20"/>
              </w:rPr>
              <w:t>7 a 8</w:t>
            </w:r>
          </w:p>
        </w:tc>
        <w:tc>
          <w:tcPr>
            <w:tcW w:w="4447" w:type="dxa"/>
            <w:tcBorders>
              <w:top w:val="single" w:sz="4" w:space="0" w:color="auto"/>
              <w:bottom w:val="dashSmallGap" w:sz="4" w:space="0" w:color="4F81BD" w:themeColor="accent1"/>
            </w:tcBorders>
          </w:tcPr>
          <w:p w:rsidR="00BE5293" w:rsidRPr="00BE5293" w:rsidRDefault="00B5442B" w:rsidP="00BE5293">
            <w:pPr>
              <w:tabs>
                <w:tab w:val="left" w:pos="360"/>
              </w:tabs>
              <w:rPr>
                <w:rFonts w:cs="Arial"/>
                <w:sz w:val="20"/>
              </w:rPr>
            </w:pPr>
            <w:r>
              <w:rPr>
                <w:rFonts w:cs="Arial"/>
                <w:sz w:val="20"/>
              </w:rPr>
              <w:t xml:space="preserve">(7) </w:t>
            </w:r>
            <w:r w:rsidR="00BE5293" w:rsidRPr="00BE5293">
              <w:rPr>
                <w:rFonts w:cs="Arial"/>
                <w:sz w:val="20"/>
              </w:rPr>
              <w:t xml:space="preserve">Povinná osoba uvedená v § 2 odst. 1 písm. a) a b) bodech 1 až 11, která uzavře s klientem písemnou smlouvu o poskytnutí finanční služby, může bez fyzické přítomnosti klienta, který je fyzickou osobou, nebo fyzické osoby jednající jménem klienta, je-li klient právnickou osobou, provést identifikaci klienta, jestliže </w:t>
            </w:r>
          </w:p>
          <w:p w:rsidR="00BE5293" w:rsidRPr="00BE5293" w:rsidRDefault="00BE5293" w:rsidP="00BE5293">
            <w:pPr>
              <w:tabs>
                <w:tab w:val="left" w:pos="360"/>
              </w:tabs>
              <w:rPr>
                <w:rFonts w:cs="Arial"/>
                <w:sz w:val="20"/>
              </w:rPr>
            </w:pPr>
            <w:r w:rsidRPr="00BE5293">
              <w:rPr>
                <w:rFonts w:cs="Arial"/>
                <w:sz w:val="20"/>
              </w:rPr>
              <w:t>a)</w:t>
            </w:r>
            <w:r w:rsidRPr="00BE5293">
              <w:rPr>
                <w:rFonts w:cs="Arial"/>
                <w:sz w:val="20"/>
              </w:rPr>
              <w:tab/>
              <w:t>klient zašle povinné osobě kopie pořízené způsobem uvedeným v § 10 odst. 4</w:t>
            </w:r>
          </w:p>
          <w:p w:rsidR="00BE5293" w:rsidRPr="00BE5293" w:rsidRDefault="00BE5293" w:rsidP="00BE5293">
            <w:pPr>
              <w:tabs>
                <w:tab w:val="left" w:pos="360"/>
              </w:tabs>
              <w:rPr>
                <w:rFonts w:cs="Arial"/>
                <w:sz w:val="20"/>
              </w:rPr>
            </w:pPr>
            <w:r w:rsidRPr="00BE5293">
              <w:rPr>
                <w:rFonts w:cs="Arial"/>
                <w:sz w:val="20"/>
              </w:rPr>
              <w:t>1.</w:t>
            </w:r>
            <w:r w:rsidRPr="00BE5293">
              <w:rPr>
                <w:rFonts w:cs="Arial"/>
                <w:sz w:val="20"/>
              </w:rPr>
              <w:tab/>
              <w:t>příslušných částí průkazu totožnosti a nejméně jednoho dalšího podpůrného dokladu, z</w:t>
            </w:r>
            <w:r w:rsidR="005439AC">
              <w:rPr>
                <w:rFonts w:cs="Arial"/>
                <w:sz w:val="20"/>
              </w:rPr>
              <w:t> </w:t>
            </w:r>
            <w:r w:rsidRPr="00BE5293">
              <w:rPr>
                <w:rFonts w:cs="Arial"/>
                <w:sz w:val="20"/>
              </w:rPr>
              <w:t xml:space="preserve">nichž lze zjistit identifikační údaje příslušné </w:t>
            </w:r>
            <w:r w:rsidRPr="00BE5293">
              <w:rPr>
                <w:rFonts w:cs="Arial"/>
                <w:sz w:val="20"/>
              </w:rPr>
              <w:lastRenderedPageBreak/>
              <w:t>fyzické osoby, druh a číslo průkazu totožnosti, stát, popřípadě orgán, který jej vydal, a dobu jeho platnosti,</w:t>
            </w:r>
          </w:p>
          <w:p w:rsidR="00BE5293" w:rsidRPr="00BE5293" w:rsidRDefault="00BE5293" w:rsidP="00BE5293">
            <w:pPr>
              <w:tabs>
                <w:tab w:val="left" w:pos="360"/>
              </w:tabs>
              <w:rPr>
                <w:rFonts w:cs="Arial"/>
                <w:sz w:val="20"/>
              </w:rPr>
            </w:pPr>
            <w:r w:rsidRPr="00BE5293">
              <w:rPr>
                <w:rFonts w:cs="Arial"/>
                <w:sz w:val="20"/>
              </w:rPr>
              <w:t>2.</w:t>
            </w:r>
            <w:r w:rsidRPr="00BE5293">
              <w:rPr>
                <w:rFonts w:cs="Arial"/>
                <w:sz w:val="20"/>
              </w:rPr>
              <w:tab/>
              <w:t xml:space="preserve">dokladu potvrzujícího existenci účtu vedeného na jméno klienta u úvěrové instituce nebo u zahraniční úvěrové instituce působící na území členského státu Evropské unie nebo </w:t>
            </w:r>
            <w:r w:rsidR="00B5442B">
              <w:rPr>
                <w:rFonts w:cs="Arial"/>
                <w:sz w:val="20"/>
              </w:rPr>
              <w:t xml:space="preserve">státu </w:t>
            </w:r>
            <w:r w:rsidRPr="00BE5293">
              <w:rPr>
                <w:rFonts w:cs="Arial"/>
                <w:sz w:val="20"/>
              </w:rPr>
              <w:t>Evropského hospodářského prostoru,</w:t>
            </w:r>
          </w:p>
          <w:p w:rsidR="00BE5293" w:rsidRPr="00BE5293" w:rsidRDefault="00BE5293" w:rsidP="00BE5293">
            <w:pPr>
              <w:tabs>
                <w:tab w:val="left" w:pos="360"/>
              </w:tabs>
              <w:rPr>
                <w:rFonts w:cs="Arial"/>
                <w:sz w:val="20"/>
              </w:rPr>
            </w:pPr>
            <w:r w:rsidRPr="00BE5293">
              <w:rPr>
                <w:rFonts w:cs="Arial"/>
                <w:sz w:val="20"/>
              </w:rPr>
              <w:t>b)</w:t>
            </w:r>
            <w:r w:rsidRPr="00BE5293">
              <w:rPr>
                <w:rFonts w:cs="Arial"/>
                <w:sz w:val="20"/>
              </w:rPr>
              <w:tab/>
              <w:t>první platba z této smlouvy se uskuteční prostřednictvím účtu podle písm. a) bodu 2 a</w:t>
            </w:r>
          </w:p>
          <w:p w:rsidR="00BE5293" w:rsidRPr="00BE5293" w:rsidRDefault="00BE5293" w:rsidP="00BE5293">
            <w:pPr>
              <w:tabs>
                <w:tab w:val="left" w:pos="360"/>
              </w:tabs>
              <w:rPr>
                <w:rFonts w:cs="Arial"/>
                <w:sz w:val="20"/>
              </w:rPr>
            </w:pPr>
            <w:r w:rsidRPr="00BE5293">
              <w:rPr>
                <w:rFonts w:cs="Arial"/>
                <w:sz w:val="20"/>
              </w:rPr>
              <w:t>c)</w:t>
            </w:r>
            <w:r w:rsidRPr="00BE5293">
              <w:rPr>
                <w:rFonts w:cs="Arial"/>
                <w:sz w:val="20"/>
              </w:rPr>
              <w:tab/>
              <w:t>povinná osoba nemá pochybnost o skutečné totožnosti klienta.</w:t>
            </w:r>
          </w:p>
          <w:p w:rsidR="00BE5293" w:rsidRPr="00BE5293" w:rsidRDefault="00BE5293" w:rsidP="00BE5293">
            <w:pPr>
              <w:tabs>
                <w:tab w:val="left" w:pos="360"/>
              </w:tabs>
              <w:rPr>
                <w:rFonts w:cs="Arial"/>
                <w:sz w:val="20"/>
              </w:rPr>
            </w:pPr>
            <w:r w:rsidRPr="00BE5293">
              <w:rPr>
                <w:rFonts w:cs="Arial"/>
                <w:sz w:val="20"/>
              </w:rPr>
              <w:t xml:space="preserve">(8) Bez fyzické přítomnosti klienta, který je fyzickou osobou, nebo fyzické osoby jednající jménem klienta, je-li klient právnickou osobou, může povinná osoba provést identifikaci klienta, jestliže </w:t>
            </w:r>
          </w:p>
          <w:p w:rsidR="00BE5293" w:rsidRPr="00BE5293" w:rsidRDefault="00BE5293" w:rsidP="00BE5293">
            <w:pPr>
              <w:tabs>
                <w:tab w:val="left" w:pos="360"/>
              </w:tabs>
              <w:rPr>
                <w:rFonts w:cs="Arial"/>
                <w:sz w:val="20"/>
              </w:rPr>
            </w:pPr>
            <w:r w:rsidRPr="00BE5293">
              <w:rPr>
                <w:rFonts w:cs="Arial"/>
                <w:sz w:val="20"/>
              </w:rPr>
              <w:t>a)</w:t>
            </w:r>
            <w:r w:rsidRPr="00BE5293">
              <w:rPr>
                <w:rFonts w:cs="Arial"/>
                <w:sz w:val="20"/>
              </w:rPr>
              <w:tab/>
              <w:t>klient sdělí povinné osobě identifikační údaje podle § 5 ods</w:t>
            </w:r>
            <w:r w:rsidR="005439AC">
              <w:rPr>
                <w:rFonts w:cs="Arial"/>
                <w:sz w:val="20"/>
              </w:rPr>
              <w:t>t. 1 a požadované další údaje k </w:t>
            </w:r>
            <w:r w:rsidRPr="00BE5293">
              <w:rPr>
                <w:rFonts w:cs="Arial"/>
                <w:sz w:val="20"/>
              </w:rPr>
              <w:t xml:space="preserve">identifikaci podle § 5 odst. 2 jí stanoveným způsobem a </w:t>
            </w:r>
          </w:p>
          <w:p w:rsidR="00BE5293" w:rsidRPr="00BE5293" w:rsidRDefault="005439AC" w:rsidP="00BE5293">
            <w:pPr>
              <w:tabs>
                <w:tab w:val="left" w:pos="360"/>
              </w:tabs>
              <w:rPr>
                <w:rFonts w:cs="Arial"/>
                <w:sz w:val="20"/>
              </w:rPr>
            </w:pPr>
            <w:r>
              <w:rPr>
                <w:rFonts w:cs="Arial"/>
                <w:sz w:val="20"/>
              </w:rPr>
              <w:t>b</w:t>
            </w:r>
            <w:r w:rsidR="00BE5293" w:rsidRPr="00BE5293">
              <w:rPr>
                <w:rFonts w:cs="Arial"/>
                <w:sz w:val="20"/>
              </w:rPr>
              <w:t>)</w:t>
            </w:r>
            <w:r w:rsidR="00BE5293" w:rsidRPr="00BE5293">
              <w:rPr>
                <w:rFonts w:cs="Arial"/>
                <w:sz w:val="20"/>
              </w:rPr>
              <w:tab/>
              <w:t>povinná osoba ověří totožnost příslušné fyzické osoby u kvalifikovaného poskytovatele služeb vytvářejících důvěru podle předpisu Evropské unie o elektronické identifikaci a službách vytvářejících důvěru pro elektronick</w:t>
            </w:r>
            <w:r>
              <w:rPr>
                <w:rFonts w:cs="Arial"/>
                <w:sz w:val="20"/>
              </w:rPr>
              <w:t>é transakce na vnitřním trhu</w:t>
            </w:r>
            <w:r w:rsidRPr="005439AC">
              <w:rPr>
                <w:rFonts w:cs="Arial"/>
                <w:sz w:val="20"/>
                <w:vertAlign w:val="superscript"/>
              </w:rPr>
              <w:t>30</w:t>
            </w:r>
            <w:r w:rsidR="00BE5293" w:rsidRPr="005439AC">
              <w:rPr>
                <w:rFonts w:cs="Arial"/>
                <w:sz w:val="20"/>
                <w:vertAlign w:val="superscript"/>
              </w:rPr>
              <w:t xml:space="preserve">) </w:t>
            </w:r>
            <w:r w:rsidR="00BE5293" w:rsidRPr="00BE5293">
              <w:rPr>
                <w:rFonts w:cs="Arial"/>
                <w:sz w:val="20"/>
              </w:rPr>
              <w:t>a</w:t>
            </w:r>
          </w:p>
          <w:p w:rsidR="00480A8E" w:rsidRPr="00446663" w:rsidRDefault="005439AC" w:rsidP="00BE5293">
            <w:pPr>
              <w:tabs>
                <w:tab w:val="left" w:pos="360"/>
              </w:tabs>
              <w:rPr>
                <w:rFonts w:cs="Arial"/>
                <w:sz w:val="20"/>
              </w:rPr>
            </w:pPr>
            <w:r>
              <w:rPr>
                <w:rFonts w:cs="Arial"/>
                <w:sz w:val="20"/>
              </w:rPr>
              <w:t>c)</w:t>
            </w:r>
            <w:r w:rsidR="00BE5293" w:rsidRPr="00BE5293">
              <w:rPr>
                <w:rFonts w:cs="Arial"/>
                <w:sz w:val="20"/>
              </w:rPr>
              <w:t>povinná osoba nemá pochybnost o skutečné totožnosti klienta.</w:t>
            </w:r>
          </w:p>
        </w:tc>
        <w:tc>
          <w:tcPr>
            <w:tcW w:w="1412" w:type="dxa"/>
            <w:tcBorders>
              <w:top w:val="single" w:sz="4" w:space="0" w:color="auto"/>
              <w:bottom w:val="dashSmallGap" w:sz="4" w:space="0" w:color="4F81BD" w:themeColor="accent1"/>
            </w:tcBorders>
          </w:tcPr>
          <w:p w:rsidR="00480A8E" w:rsidRPr="00E20AE9" w:rsidRDefault="00A20951" w:rsidP="00C62B29">
            <w:pPr>
              <w:tabs>
                <w:tab w:val="left" w:pos="360"/>
              </w:tabs>
              <w:rPr>
                <w:rFonts w:cs="Arial"/>
                <w:sz w:val="20"/>
              </w:rPr>
            </w:pPr>
            <w:r>
              <w:rPr>
                <w:rFonts w:cs="Arial"/>
                <w:sz w:val="20"/>
              </w:rPr>
              <w:lastRenderedPageBreak/>
              <w:t>32015L0849</w:t>
            </w:r>
          </w:p>
        </w:tc>
        <w:tc>
          <w:tcPr>
            <w:tcW w:w="1418" w:type="dxa"/>
            <w:tcBorders>
              <w:top w:val="single" w:sz="4" w:space="0" w:color="auto"/>
              <w:bottom w:val="dashSmallGap" w:sz="4" w:space="0" w:color="4F81BD" w:themeColor="accent1"/>
            </w:tcBorders>
            <w:shd w:val="clear" w:color="auto" w:fill="auto"/>
          </w:tcPr>
          <w:p w:rsidR="00480A8E" w:rsidRPr="00480A8E" w:rsidRDefault="00A20951" w:rsidP="00480A8E">
            <w:pPr>
              <w:tabs>
                <w:tab w:val="left" w:pos="360"/>
              </w:tabs>
              <w:rPr>
                <w:rFonts w:cs="Arial"/>
                <w:sz w:val="20"/>
              </w:rPr>
            </w:pPr>
            <w:r>
              <w:rPr>
                <w:rFonts w:cs="Arial"/>
                <w:sz w:val="20"/>
              </w:rPr>
              <w:t>čl. 25</w:t>
            </w:r>
          </w:p>
        </w:tc>
        <w:tc>
          <w:tcPr>
            <w:tcW w:w="5103" w:type="dxa"/>
            <w:tcBorders>
              <w:top w:val="single" w:sz="4" w:space="0" w:color="auto"/>
              <w:bottom w:val="dashSmallGap" w:sz="4" w:space="0" w:color="4F81BD" w:themeColor="accent1"/>
            </w:tcBorders>
            <w:shd w:val="clear" w:color="auto" w:fill="auto"/>
          </w:tcPr>
          <w:p w:rsidR="00480A8E" w:rsidRPr="00480A8E" w:rsidRDefault="00A20951" w:rsidP="00480A8E">
            <w:pPr>
              <w:tabs>
                <w:tab w:val="left" w:pos="360"/>
              </w:tabs>
              <w:rPr>
                <w:rFonts w:cs="Arial"/>
                <w:sz w:val="20"/>
              </w:rPr>
            </w:pPr>
            <w:r>
              <w:rPr>
                <w:sz w:val="19"/>
                <w:szCs w:val="19"/>
              </w:rPr>
              <w:t>Členské státy mohou dovolit, aby se povinné osoby při plnění požadavků na hloubkovou kontrolu klienta stanovených v čl. 13 odst. 1 prvním pododstavci písm. a), b) a c) spoléhaly na třetí osoby. Konečná odpovědnost za splnění uvedených požadavků však zůstává na povinné osobě, jež se spoléhá na třetí osobu.</w:t>
            </w:r>
          </w:p>
        </w:tc>
      </w:tr>
      <w:tr w:rsidR="00A20951" w:rsidRPr="00E20AE9" w:rsidTr="00A20951">
        <w:trPr>
          <w:trHeight w:val="141"/>
        </w:trPr>
        <w:tc>
          <w:tcPr>
            <w:tcW w:w="1629" w:type="dxa"/>
            <w:tcBorders>
              <w:top w:val="dashSmallGap" w:sz="4" w:space="0" w:color="4F81BD" w:themeColor="accent1"/>
              <w:left w:val="single" w:sz="4" w:space="0" w:color="auto"/>
              <w:bottom w:val="single" w:sz="4" w:space="0" w:color="auto"/>
              <w:right w:val="single" w:sz="4" w:space="0" w:color="auto"/>
            </w:tcBorders>
          </w:tcPr>
          <w:p w:rsidR="00A20951" w:rsidRDefault="00A20951" w:rsidP="00C62B29">
            <w:pPr>
              <w:tabs>
                <w:tab w:val="left" w:pos="360"/>
              </w:tabs>
              <w:rPr>
                <w:rFonts w:cs="Arial"/>
                <w:sz w:val="20"/>
              </w:rPr>
            </w:pPr>
          </w:p>
        </w:tc>
        <w:tc>
          <w:tcPr>
            <w:tcW w:w="4447" w:type="dxa"/>
            <w:tcBorders>
              <w:top w:val="dashSmallGap" w:sz="4" w:space="0" w:color="4F81BD" w:themeColor="accent1"/>
              <w:left w:val="single" w:sz="4" w:space="0" w:color="auto"/>
              <w:bottom w:val="single" w:sz="4" w:space="0" w:color="auto"/>
              <w:right w:val="single" w:sz="4" w:space="0" w:color="auto"/>
            </w:tcBorders>
          </w:tcPr>
          <w:p w:rsidR="00A20951" w:rsidRPr="00480A8E" w:rsidRDefault="00A20951" w:rsidP="00C3177C">
            <w:pPr>
              <w:tabs>
                <w:tab w:val="left" w:pos="360"/>
              </w:tabs>
              <w:rPr>
                <w:rFonts w:cs="Arial"/>
                <w:sz w:val="20"/>
              </w:rPr>
            </w:pPr>
          </w:p>
        </w:tc>
        <w:tc>
          <w:tcPr>
            <w:tcW w:w="1412" w:type="dxa"/>
            <w:tcBorders>
              <w:top w:val="dashSmallGap" w:sz="4" w:space="0" w:color="4F81BD" w:themeColor="accent1"/>
              <w:left w:val="single" w:sz="4" w:space="0" w:color="auto"/>
              <w:bottom w:val="single" w:sz="4" w:space="0" w:color="auto"/>
              <w:right w:val="single" w:sz="4" w:space="0" w:color="auto"/>
            </w:tcBorders>
          </w:tcPr>
          <w:p w:rsidR="00A20951" w:rsidRDefault="00A20951" w:rsidP="00C62B29">
            <w:pPr>
              <w:tabs>
                <w:tab w:val="left" w:pos="360"/>
              </w:tabs>
              <w:rPr>
                <w:rFonts w:cs="Arial"/>
                <w:sz w:val="20"/>
              </w:rPr>
            </w:pPr>
          </w:p>
        </w:tc>
        <w:tc>
          <w:tcPr>
            <w:tcW w:w="1418" w:type="dxa"/>
            <w:tcBorders>
              <w:top w:val="dashSmallGap" w:sz="4" w:space="0" w:color="4F81BD" w:themeColor="accent1"/>
              <w:left w:val="single" w:sz="4" w:space="0" w:color="auto"/>
              <w:bottom w:val="single" w:sz="4" w:space="0" w:color="auto"/>
              <w:right w:val="single" w:sz="4" w:space="0" w:color="auto"/>
            </w:tcBorders>
            <w:shd w:val="clear" w:color="auto" w:fill="auto"/>
          </w:tcPr>
          <w:p w:rsidR="00A20951" w:rsidRPr="00480A8E" w:rsidRDefault="00A20951" w:rsidP="004956EB">
            <w:pPr>
              <w:tabs>
                <w:tab w:val="left" w:pos="360"/>
              </w:tabs>
              <w:rPr>
                <w:rFonts w:cs="Arial"/>
                <w:sz w:val="20"/>
              </w:rPr>
            </w:pPr>
            <w:r>
              <w:rPr>
                <w:rFonts w:cs="Arial"/>
                <w:sz w:val="20"/>
              </w:rPr>
              <w:t>čl. 27</w:t>
            </w:r>
          </w:p>
        </w:tc>
        <w:tc>
          <w:tcPr>
            <w:tcW w:w="5103" w:type="dxa"/>
            <w:tcBorders>
              <w:top w:val="dashSmallGap" w:sz="4" w:space="0" w:color="4F81BD" w:themeColor="accent1"/>
              <w:left w:val="single" w:sz="4" w:space="0" w:color="auto"/>
              <w:bottom w:val="single" w:sz="4" w:space="0" w:color="auto"/>
              <w:right w:val="single" w:sz="4" w:space="0" w:color="auto"/>
            </w:tcBorders>
            <w:shd w:val="clear" w:color="auto" w:fill="auto"/>
          </w:tcPr>
          <w:p w:rsidR="00A20951" w:rsidRDefault="00A20951" w:rsidP="004956EB">
            <w:pPr>
              <w:tabs>
                <w:tab w:val="left" w:pos="360"/>
              </w:tabs>
              <w:rPr>
                <w:rFonts w:cs="Arial"/>
                <w:sz w:val="20"/>
              </w:rPr>
            </w:pPr>
            <w:r w:rsidRPr="00446663">
              <w:rPr>
                <w:rFonts w:cs="Arial"/>
                <w:sz w:val="20"/>
              </w:rPr>
              <w:t xml:space="preserve">1. Členské státy zajistí, aby povinné osoby získaly od třetí osoby, na niž se spoléhají, nezbytné informace týkající se požadavků na hloubkovou kontrolu klienta uvedených v čl. 13 odst. 1 prvním pododstavci písm. a), b) a c). </w:t>
            </w:r>
          </w:p>
          <w:p w:rsidR="00A20951" w:rsidRPr="00480A8E" w:rsidRDefault="00A20951" w:rsidP="004956EB">
            <w:pPr>
              <w:tabs>
                <w:tab w:val="left" w:pos="360"/>
              </w:tabs>
              <w:rPr>
                <w:rFonts w:cs="Arial"/>
                <w:sz w:val="20"/>
              </w:rPr>
            </w:pPr>
            <w:r w:rsidRPr="00446663">
              <w:rPr>
                <w:rFonts w:cs="Arial"/>
                <w:sz w:val="20"/>
              </w:rPr>
              <w:t xml:space="preserve">2. Členské státy zajistí, aby povinné osoby, na které se klient obrátí, podnikly náležité kroky k zajištění toho, aby třetí osoby na vyžádání neprodleně poskytly příslušné kopie údajů o zjišťování a ověřování totožnosti a další příslušnou dokumentaci o totožnosti klienta nebo </w:t>
            </w:r>
            <w:r w:rsidRPr="00446663">
              <w:rPr>
                <w:rFonts w:cs="Arial"/>
                <w:sz w:val="20"/>
              </w:rPr>
              <w:lastRenderedPageBreak/>
              <w:t>skutečného majitele.</w:t>
            </w:r>
          </w:p>
        </w:tc>
      </w:tr>
      <w:tr w:rsidR="00480A8E" w:rsidRPr="00E20AE9" w:rsidTr="00A20951">
        <w:trPr>
          <w:trHeight w:val="141"/>
        </w:trPr>
        <w:tc>
          <w:tcPr>
            <w:tcW w:w="1629" w:type="dxa"/>
            <w:tcBorders>
              <w:top w:val="single" w:sz="4" w:space="0" w:color="auto"/>
              <w:bottom w:val="dashSmallGap" w:sz="4" w:space="0" w:color="4F81BD" w:themeColor="accent1"/>
            </w:tcBorders>
          </w:tcPr>
          <w:p w:rsidR="00480A8E" w:rsidRDefault="00480A8E" w:rsidP="00C62B29">
            <w:pPr>
              <w:tabs>
                <w:tab w:val="left" w:pos="360"/>
              </w:tabs>
              <w:rPr>
                <w:rFonts w:cs="Arial"/>
                <w:sz w:val="20"/>
              </w:rPr>
            </w:pPr>
            <w:r>
              <w:rPr>
                <w:rFonts w:cs="Arial"/>
                <w:sz w:val="20"/>
              </w:rPr>
              <w:lastRenderedPageBreak/>
              <w:t>§ 11 odst. 10</w:t>
            </w:r>
          </w:p>
        </w:tc>
        <w:tc>
          <w:tcPr>
            <w:tcW w:w="4447" w:type="dxa"/>
            <w:tcBorders>
              <w:top w:val="single" w:sz="4" w:space="0" w:color="auto"/>
              <w:bottom w:val="dashSmallGap" w:sz="4" w:space="0" w:color="4F81BD" w:themeColor="accent1"/>
            </w:tcBorders>
          </w:tcPr>
          <w:p w:rsidR="00480A8E" w:rsidRPr="00480A8E" w:rsidRDefault="00BE5293" w:rsidP="00C576E0">
            <w:pPr>
              <w:tabs>
                <w:tab w:val="left" w:pos="360"/>
              </w:tabs>
              <w:rPr>
                <w:rFonts w:cs="Arial"/>
                <w:sz w:val="20"/>
              </w:rPr>
            </w:pPr>
            <w:r w:rsidRPr="00BE5293">
              <w:rPr>
                <w:rFonts w:cs="Arial"/>
                <w:sz w:val="20"/>
              </w:rPr>
              <w:t xml:space="preserve">„(10) </w:t>
            </w:r>
            <w:r w:rsidR="00C576E0">
              <w:rPr>
                <w:rFonts w:cs="Arial"/>
                <w:sz w:val="20"/>
              </w:rPr>
              <w:t>Povinné osoby</w:t>
            </w:r>
            <w:r w:rsidRPr="00BE5293">
              <w:rPr>
                <w:rFonts w:cs="Arial"/>
                <w:sz w:val="20"/>
              </w:rPr>
              <w:t xml:space="preserve"> si za účelem plnění povinností podle § 9 mohou </w:t>
            </w:r>
            <w:r w:rsidR="00B5442B">
              <w:rPr>
                <w:rFonts w:cs="Arial"/>
                <w:sz w:val="20"/>
              </w:rPr>
              <w:t xml:space="preserve">vzájemně </w:t>
            </w:r>
            <w:r w:rsidRPr="00BE5293">
              <w:rPr>
                <w:rFonts w:cs="Arial"/>
                <w:sz w:val="20"/>
              </w:rPr>
              <w:t>vyměňovat př</w:t>
            </w:r>
            <w:r w:rsidR="00B5442B">
              <w:rPr>
                <w:rFonts w:cs="Arial"/>
                <w:sz w:val="20"/>
              </w:rPr>
              <w:t>íslušné informace související s </w:t>
            </w:r>
            <w:r w:rsidRPr="00BE5293">
              <w:rPr>
                <w:rFonts w:cs="Arial"/>
                <w:sz w:val="20"/>
              </w:rPr>
              <w:t>obchody, jež se jejich prostřednictvím uskutečňují.  Výměna informací a spoléhání se na jinou osobu při činnostech po</w:t>
            </w:r>
            <w:r>
              <w:rPr>
                <w:rFonts w:cs="Arial"/>
                <w:sz w:val="20"/>
              </w:rPr>
              <w:t xml:space="preserve">dle odstavců 6 a 7 </w:t>
            </w:r>
            <w:r w:rsidR="00B5442B">
              <w:rPr>
                <w:rFonts w:cs="Arial"/>
                <w:sz w:val="20"/>
              </w:rPr>
              <w:t>není možná</w:t>
            </w:r>
            <w:r w:rsidR="00C576E0">
              <w:rPr>
                <w:rFonts w:cs="Arial"/>
                <w:sz w:val="20"/>
              </w:rPr>
              <w:t xml:space="preserve"> u </w:t>
            </w:r>
            <w:r w:rsidRPr="00BE5293">
              <w:rPr>
                <w:rFonts w:cs="Arial"/>
                <w:sz w:val="20"/>
              </w:rPr>
              <w:t>osob působících ve vysoce rizikových třetích zemích, s výjimkou poboček a většinově vlastněných dce</w:t>
            </w:r>
            <w:r>
              <w:rPr>
                <w:rFonts w:cs="Arial"/>
                <w:sz w:val="20"/>
              </w:rPr>
              <w:t xml:space="preserve">řiných </w:t>
            </w:r>
            <w:r w:rsidR="00B96E41">
              <w:rPr>
                <w:rFonts w:cs="Arial"/>
                <w:sz w:val="20"/>
              </w:rPr>
              <w:t>společností</w:t>
            </w:r>
            <w:r>
              <w:rPr>
                <w:rFonts w:cs="Arial"/>
                <w:sz w:val="20"/>
              </w:rPr>
              <w:t xml:space="preserve"> osob usazených v </w:t>
            </w:r>
            <w:r w:rsidRPr="00BE5293">
              <w:rPr>
                <w:rFonts w:cs="Arial"/>
                <w:sz w:val="20"/>
              </w:rPr>
              <w:t>některém z členských států Evropské unie, naplňujících v oblasti boje proti legalizaci výnosů z trestné činnosti a financování terorismu povinnosti rovnocenné požadavkům práva Evropské unie</w:t>
            </w:r>
            <w:r w:rsidR="00B5442B">
              <w:rPr>
                <w:rFonts w:cs="Arial"/>
                <w:sz w:val="20"/>
              </w:rPr>
              <w:t>.</w:t>
            </w:r>
          </w:p>
        </w:tc>
        <w:tc>
          <w:tcPr>
            <w:tcW w:w="1412" w:type="dxa"/>
            <w:tcBorders>
              <w:top w:val="single" w:sz="4" w:space="0" w:color="auto"/>
              <w:bottom w:val="dashSmallGap" w:sz="4" w:space="0" w:color="4F81BD" w:themeColor="accent1"/>
            </w:tcBorders>
          </w:tcPr>
          <w:p w:rsidR="00480A8E"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bottom w:val="dashSmallGap" w:sz="4" w:space="0" w:color="4F81BD" w:themeColor="accent1"/>
            </w:tcBorders>
            <w:shd w:val="clear" w:color="auto" w:fill="auto"/>
          </w:tcPr>
          <w:p w:rsidR="00480A8E" w:rsidRPr="00480A8E" w:rsidRDefault="00480A8E" w:rsidP="00C62B29">
            <w:pPr>
              <w:tabs>
                <w:tab w:val="left" w:pos="360"/>
              </w:tabs>
              <w:rPr>
                <w:rFonts w:cs="Arial"/>
                <w:sz w:val="20"/>
              </w:rPr>
            </w:pPr>
            <w:r w:rsidRPr="00480A8E">
              <w:rPr>
                <w:rFonts w:cs="Arial"/>
                <w:sz w:val="20"/>
              </w:rPr>
              <w:t>čl. 26 odst. 2</w:t>
            </w:r>
          </w:p>
        </w:tc>
        <w:tc>
          <w:tcPr>
            <w:tcW w:w="5103" w:type="dxa"/>
            <w:tcBorders>
              <w:top w:val="single" w:sz="4" w:space="0" w:color="auto"/>
              <w:bottom w:val="dashSmallGap" w:sz="4" w:space="0" w:color="4F81BD" w:themeColor="accent1"/>
            </w:tcBorders>
            <w:shd w:val="clear" w:color="auto" w:fill="auto"/>
          </w:tcPr>
          <w:p w:rsidR="00480A8E" w:rsidRPr="00480A8E" w:rsidRDefault="00480A8E" w:rsidP="00C62B29">
            <w:pPr>
              <w:tabs>
                <w:tab w:val="left" w:pos="360"/>
              </w:tabs>
              <w:rPr>
                <w:rFonts w:cs="Arial"/>
                <w:sz w:val="20"/>
              </w:rPr>
            </w:pPr>
            <w:r w:rsidRPr="00480A8E">
              <w:rPr>
                <w:rFonts w:cs="Arial"/>
                <w:sz w:val="20"/>
              </w:rPr>
              <w:t>2. Členské státy zakáží povinným osobám spoléhat se na třetí osoby usazené ve vysoce rizikových třetích zemích. Členské státy mohou z uvedeného zákazu vyjmout pobočky a většinově vlastněné dceřiné podniky povinných osob usazených v Unii, jestliže tyto pobočky a většinové vlastněné dceřiné podniky plně dodržují skupinové strategie a postupy podle článku 45.</w:t>
            </w:r>
          </w:p>
        </w:tc>
      </w:tr>
      <w:tr w:rsidR="00A20951" w:rsidRPr="00E20AE9" w:rsidTr="00480A8E">
        <w:trPr>
          <w:trHeight w:val="141"/>
        </w:trPr>
        <w:tc>
          <w:tcPr>
            <w:tcW w:w="1629" w:type="dxa"/>
            <w:tcBorders>
              <w:top w:val="dashSmallGap" w:sz="4" w:space="0" w:color="4F81BD" w:themeColor="accent1"/>
              <w:bottom w:val="single" w:sz="4" w:space="0" w:color="auto"/>
            </w:tcBorders>
          </w:tcPr>
          <w:p w:rsidR="00A20951" w:rsidRDefault="00A20951" w:rsidP="00C62B29">
            <w:pPr>
              <w:tabs>
                <w:tab w:val="left" w:pos="360"/>
              </w:tabs>
              <w:rPr>
                <w:rFonts w:cs="Arial"/>
                <w:sz w:val="20"/>
              </w:rPr>
            </w:pPr>
          </w:p>
        </w:tc>
        <w:tc>
          <w:tcPr>
            <w:tcW w:w="4447" w:type="dxa"/>
            <w:tcBorders>
              <w:top w:val="dashSmallGap" w:sz="4" w:space="0" w:color="4F81BD" w:themeColor="accent1"/>
              <w:bottom w:val="single" w:sz="4" w:space="0" w:color="auto"/>
            </w:tcBorders>
          </w:tcPr>
          <w:p w:rsidR="00A20951" w:rsidRPr="00480A8E" w:rsidRDefault="00A20951" w:rsidP="00C3177C">
            <w:pPr>
              <w:tabs>
                <w:tab w:val="left" w:pos="360"/>
              </w:tabs>
              <w:rPr>
                <w:rFonts w:cs="Arial"/>
                <w:sz w:val="20"/>
              </w:rPr>
            </w:pPr>
          </w:p>
        </w:tc>
        <w:tc>
          <w:tcPr>
            <w:tcW w:w="1412" w:type="dxa"/>
            <w:tcBorders>
              <w:top w:val="dashSmallGap" w:sz="4" w:space="0" w:color="4F81BD" w:themeColor="accent1"/>
              <w:bottom w:val="single" w:sz="4" w:space="0" w:color="auto"/>
            </w:tcBorders>
          </w:tcPr>
          <w:p w:rsidR="00A20951" w:rsidRPr="00E20AE9" w:rsidRDefault="00A20951" w:rsidP="00C62B29">
            <w:pPr>
              <w:tabs>
                <w:tab w:val="left" w:pos="360"/>
              </w:tabs>
              <w:rPr>
                <w:rFonts w:cs="Arial"/>
                <w:sz w:val="20"/>
              </w:rPr>
            </w:pPr>
          </w:p>
        </w:tc>
        <w:tc>
          <w:tcPr>
            <w:tcW w:w="1418" w:type="dxa"/>
            <w:tcBorders>
              <w:top w:val="dashSmallGap" w:sz="4" w:space="0" w:color="4F81BD" w:themeColor="accent1"/>
              <w:bottom w:val="single" w:sz="4" w:space="0" w:color="auto"/>
            </w:tcBorders>
            <w:shd w:val="clear" w:color="auto" w:fill="auto"/>
          </w:tcPr>
          <w:p w:rsidR="00A20951" w:rsidRPr="00480A8E" w:rsidRDefault="00A20951" w:rsidP="004956EB">
            <w:pPr>
              <w:tabs>
                <w:tab w:val="left" w:pos="360"/>
              </w:tabs>
              <w:rPr>
                <w:rFonts w:cs="Arial"/>
                <w:sz w:val="20"/>
              </w:rPr>
            </w:pPr>
            <w:r>
              <w:rPr>
                <w:rFonts w:cs="Arial"/>
                <w:sz w:val="20"/>
              </w:rPr>
              <w:t>čl. 27</w:t>
            </w:r>
          </w:p>
        </w:tc>
        <w:tc>
          <w:tcPr>
            <w:tcW w:w="5103" w:type="dxa"/>
            <w:tcBorders>
              <w:top w:val="dashSmallGap" w:sz="4" w:space="0" w:color="4F81BD" w:themeColor="accent1"/>
              <w:bottom w:val="single" w:sz="4" w:space="0" w:color="auto"/>
            </w:tcBorders>
            <w:shd w:val="clear" w:color="auto" w:fill="auto"/>
          </w:tcPr>
          <w:p w:rsidR="00A20951" w:rsidRDefault="00A20951" w:rsidP="004956EB">
            <w:pPr>
              <w:tabs>
                <w:tab w:val="left" w:pos="360"/>
              </w:tabs>
              <w:rPr>
                <w:rFonts w:cs="Arial"/>
                <w:sz w:val="20"/>
              </w:rPr>
            </w:pPr>
            <w:r w:rsidRPr="00446663">
              <w:rPr>
                <w:rFonts w:cs="Arial"/>
                <w:sz w:val="20"/>
              </w:rPr>
              <w:t xml:space="preserve">1. Členské státy zajistí, aby povinné osoby získaly od třetí osoby, na niž se spoléhají, nezbytné informace týkající se požadavků na hloubkovou kontrolu klienta uvedených v čl. 13 odst. 1 prvním pododstavci písm. a), b) a c). </w:t>
            </w:r>
          </w:p>
          <w:p w:rsidR="00A20951" w:rsidRPr="00480A8E" w:rsidRDefault="00A20951" w:rsidP="004956EB">
            <w:pPr>
              <w:tabs>
                <w:tab w:val="left" w:pos="360"/>
              </w:tabs>
              <w:rPr>
                <w:rFonts w:cs="Arial"/>
                <w:sz w:val="20"/>
              </w:rPr>
            </w:pPr>
            <w:r w:rsidRPr="00446663">
              <w:rPr>
                <w:rFonts w:cs="Arial"/>
                <w:sz w:val="20"/>
              </w:rPr>
              <w:t>2. Členské státy zajistí, aby povinné osoby, na které se klient obrátí, podnikly náležité kroky k zajištění toho, aby třetí osoby na vyžádání neprodleně poskytly příslušné kopie údajů o zjišťování a ověřování totožnosti a další příslušnou dokumentaci o totožnosti klienta nebo skutečného majitele.</w:t>
            </w:r>
          </w:p>
        </w:tc>
      </w:tr>
      <w:tr w:rsidR="00F8632B" w:rsidRPr="00E20AE9" w:rsidTr="00F8632B">
        <w:trPr>
          <w:trHeight w:val="141"/>
        </w:trPr>
        <w:tc>
          <w:tcPr>
            <w:tcW w:w="1629" w:type="dxa"/>
            <w:tcBorders>
              <w:top w:val="single" w:sz="4" w:space="0" w:color="auto"/>
              <w:bottom w:val="dashSmallGap" w:sz="4" w:space="0" w:color="4F81BD" w:themeColor="accent1"/>
            </w:tcBorders>
          </w:tcPr>
          <w:p w:rsidR="00F8632B" w:rsidRDefault="00F8632B" w:rsidP="00C62B29">
            <w:pPr>
              <w:tabs>
                <w:tab w:val="left" w:pos="360"/>
              </w:tabs>
              <w:rPr>
                <w:rFonts w:cs="Arial"/>
                <w:sz w:val="20"/>
              </w:rPr>
            </w:pPr>
            <w:r>
              <w:rPr>
                <w:rFonts w:cs="Arial"/>
                <w:sz w:val="20"/>
              </w:rPr>
              <w:t>§ 13 odst. 1</w:t>
            </w:r>
          </w:p>
        </w:tc>
        <w:tc>
          <w:tcPr>
            <w:tcW w:w="4447" w:type="dxa"/>
            <w:tcBorders>
              <w:top w:val="single" w:sz="4" w:space="0" w:color="auto"/>
              <w:bottom w:val="dashSmallGap" w:sz="4" w:space="0" w:color="4F81BD" w:themeColor="accent1"/>
            </w:tcBorders>
          </w:tcPr>
          <w:p w:rsidR="00F8632B" w:rsidRPr="00480A8E" w:rsidRDefault="00F8632B" w:rsidP="00C3177C">
            <w:pPr>
              <w:tabs>
                <w:tab w:val="left" w:pos="360"/>
              </w:tabs>
              <w:rPr>
                <w:rFonts w:cs="Arial"/>
                <w:sz w:val="20"/>
              </w:rPr>
            </w:pPr>
            <w:r w:rsidRPr="00480A8E">
              <w:rPr>
                <w:rFonts w:cs="Arial"/>
                <w:sz w:val="20"/>
              </w:rPr>
              <w:t xml:space="preserve">„Povinná osoba může provádět zjednodušenou identifikaci a kontrolu klienta ve vztahu ke kategoriím klientů s potenciálně nižším rizikem zneužití pro legalizaci výnosů z trestné činnosti nebo financování </w:t>
            </w:r>
            <w:r>
              <w:rPr>
                <w:rFonts w:cs="Arial"/>
                <w:sz w:val="20"/>
              </w:rPr>
              <w:t>terorismu, a to pokud je klient</w:t>
            </w:r>
            <w:proofErr w:type="gramStart"/>
            <w:r>
              <w:rPr>
                <w:rFonts w:cs="Arial"/>
                <w:sz w:val="20"/>
              </w:rPr>
              <w:t>…..</w:t>
            </w:r>
            <w:proofErr w:type="gramEnd"/>
          </w:p>
        </w:tc>
        <w:tc>
          <w:tcPr>
            <w:tcW w:w="1412" w:type="dxa"/>
            <w:tcBorders>
              <w:top w:val="single" w:sz="4" w:space="0" w:color="auto"/>
              <w:bottom w:val="dashSmallGap" w:sz="4" w:space="0" w:color="4F81BD" w:themeColor="accent1"/>
            </w:tcBorders>
          </w:tcPr>
          <w:p w:rsidR="00F8632B"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bottom w:val="dashSmallGap" w:sz="4" w:space="0" w:color="4F81BD" w:themeColor="accent1"/>
            </w:tcBorders>
            <w:shd w:val="clear" w:color="auto" w:fill="auto"/>
          </w:tcPr>
          <w:p w:rsidR="00F8632B" w:rsidRPr="00F8632B" w:rsidRDefault="00F8632B" w:rsidP="00F8632B">
            <w:pPr>
              <w:tabs>
                <w:tab w:val="left" w:pos="360"/>
              </w:tabs>
              <w:rPr>
                <w:rFonts w:cs="Arial"/>
                <w:sz w:val="20"/>
              </w:rPr>
            </w:pPr>
            <w:r w:rsidRPr="00F8632B">
              <w:rPr>
                <w:rFonts w:cs="Arial"/>
                <w:sz w:val="20"/>
              </w:rPr>
              <w:t>čl. 15 odst. 1</w:t>
            </w:r>
          </w:p>
        </w:tc>
        <w:tc>
          <w:tcPr>
            <w:tcW w:w="5103" w:type="dxa"/>
            <w:tcBorders>
              <w:top w:val="single" w:sz="4" w:space="0" w:color="auto"/>
              <w:bottom w:val="dashSmallGap" w:sz="4" w:space="0" w:color="4F81BD" w:themeColor="accent1"/>
            </w:tcBorders>
            <w:shd w:val="clear" w:color="auto" w:fill="auto"/>
          </w:tcPr>
          <w:p w:rsidR="00F8632B" w:rsidRPr="00F8632B" w:rsidRDefault="00F8632B" w:rsidP="00F8632B">
            <w:pPr>
              <w:tabs>
                <w:tab w:val="left" w:pos="360"/>
              </w:tabs>
              <w:rPr>
                <w:rFonts w:cs="Arial"/>
                <w:sz w:val="20"/>
              </w:rPr>
            </w:pPr>
            <w:r w:rsidRPr="00F8632B">
              <w:rPr>
                <w:rFonts w:cs="Arial"/>
                <w:sz w:val="20"/>
              </w:rPr>
              <w:t>1. Pokud členský stát ne</w:t>
            </w:r>
            <w:r>
              <w:rPr>
                <w:rFonts w:cs="Arial"/>
                <w:sz w:val="20"/>
              </w:rPr>
              <w:t>bo povinná osoba určí oblasti s </w:t>
            </w:r>
            <w:r w:rsidRPr="00F8632B">
              <w:rPr>
                <w:rFonts w:cs="Arial"/>
                <w:sz w:val="20"/>
              </w:rPr>
              <w:t>nižším rizikem, může tento členský stát povinným osobám povolit, aby uplatňovaly opatření zjednodušené hloubkové kontroly klienta.</w:t>
            </w:r>
          </w:p>
        </w:tc>
      </w:tr>
      <w:tr w:rsidR="00F8632B" w:rsidRPr="00E20AE9" w:rsidTr="00F8632B">
        <w:trPr>
          <w:trHeight w:val="141"/>
        </w:trPr>
        <w:tc>
          <w:tcPr>
            <w:tcW w:w="1629" w:type="dxa"/>
            <w:tcBorders>
              <w:top w:val="dashSmallGap" w:sz="4" w:space="0" w:color="4F81BD" w:themeColor="accent1"/>
              <w:bottom w:val="single" w:sz="4" w:space="0" w:color="auto"/>
            </w:tcBorders>
          </w:tcPr>
          <w:p w:rsidR="00F8632B" w:rsidRDefault="00F8632B" w:rsidP="00C62B29">
            <w:pPr>
              <w:tabs>
                <w:tab w:val="left" w:pos="360"/>
              </w:tabs>
              <w:rPr>
                <w:rFonts w:cs="Arial"/>
                <w:sz w:val="20"/>
              </w:rPr>
            </w:pPr>
          </w:p>
        </w:tc>
        <w:tc>
          <w:tcPr>
            <w:tcW w:w="4447" w:type="dxa"/>
            <w:tcBorders>
              <w:top w:val="dashSmallGap" w:sz="4" w:space="0" w:color="4F81BD" w:themeColor="accent1"/>
              <w:bottom w:val="single" w:sz="4" w:space="0" w:color="auto"/>
            </w:tcBorders>
          </w:tcPr>
          <w:p w:rsidR="00F8632B" w:rsidRPr="00480A8E" w:rsidRDefault="00F8632B" w:rsidP="00C3177C">
            <w:pPr>
              <w:tabs>
                <w:tab w:val="left" w:pos="360"/>
              </w:tabs>
              <w:rPr>
                <w:rFonts w:cs="Arial"/>
                <w:sz w:val="20"/>
              </w:rPr>
            </w:pPr>
          </w:p>
        </w:tc>
        <w:tc>
          <w:tcPr>
            <w:tcW w:w="1412" w:type="dxa"/>
            <w:tcBorders>
              <w:top w:val="dashSmallGap" w:sz="4" w:space="0" w:color="4F81BD" w:themeColor="accent1"/>
              <w:bottom w:val="single" w:sz="4" w:space="0" w:color="auto"/>
            </w:tcBorders>
          </w:tcPr>
          <w:p w:rsidR="00F8632B" w:rsidRPr="00E20AE9" w:rsidRDefault="00F8632B" w:rsidP="00C62B29">
            <w:pPr>
              <w:tabs>
                <w:tab w:val="left" w:pos="360"/>
              </w:tabs>
              <w:rPr>
                <w:rFonts w:cs="Arial"/>
                <w:sz w:val="20"/>
              </w:rPr>
            </w:pPr>
          </w:p>
        </w:tc>
        <w:tc>
          <w:tcPr>
            <w:tcW w:w="1418" w:type="dxa"/>
            <w:tcBorders>
              <w:top w:val="dashSmallGap" w:sz="4" w:space="0" w:color="4F81BD" w:themeColor="accent1"/>
              <w:bottom w:val="single" w:sz="4" w:space="0" w:color="auto"/>
            </w:tcBorders>
            <w:shd w:val="clear" w:color="auto" w:fill="auto"/>
          </w:tcPr>
          <w:p w:rsidR="00F8632B" w:rsidRPr="00F8632B" w:rsidRDefault="00F8632B" w:rsidP="00F8632B">
            <w:pPr>
              <w:tabs>
                <w:tab w:val="left" w:pos="360"/>
              </w:tabs>
              <w:rPr>
                <w:rFonts w:cs="Arial"/>
                <w:sz w:val="20"/>
              </w:rPr>
            </w:pPr>
            <w:r w:rsidRPr="00F8632B">
              <w:rPr>
                <w:rFonts w:cs="Arial"/>
                <w:sz w:val="20"/>
              </w:rPr>
              <w:t>čl. 16</w:t>
            </w:r>
          </w:p>
        </w:tc>
        <w:tc>
          <w:tcPr>
            <w:tcW w:w="5103" w:type="dxa"/>
            <w:tcBorders>
              <w:top w:val="dashSmallGap" w:sz="4" w:space="0" w:color="4F81BD" w:themeColor="accent1"/>
              <w:bottom w:val="single" w:sz="4" w:space="0" w:color="auto"/>
            </w:tcBorders>
            <w:shd w:val="clear" w:color="auto" w:fill="auto"/>
          </w:tcPr>
          <w:p w:rsidR="00F8632B" w:rsidRPr="00F8632B" w:rsidRDefault="00F8632B" w:rsidP="00F8632B">
            <w:pPr>
              <w:tabs>
                <w:tab w:val="left" w:pos="360"/>
                <w:tab w:val="left" w:pos="1240"/>
              </w:tabs>
              <w:rPr>
                <w:rFonts w:cs="Arial"/>
                <w:sz w:val="20"/>
              </w:rPr>
            </w:pPr>
            <w:r w:rsidRPr="00F8632B">
              <w:rPr>
                <w:rFonts w:cs="Arial"/>
                <w:sz w:val="20"/>
              </w:rPr>
              <w:t>Při posuzování rizik praní peněz a financování terorismu vztahujících se na typy klientů, zeměpisné oblasti a konkrétní produkty, služby, transakce nebo distribuční kanály zohlední členské státy a povinné osoby alespoň faktory pro situace s mož</w:t>
            </w:r>
            <w:r>
              <w:rPr>
                <w:rFonts w:cs="Arial"/>
                <w:sz w:val="20"/>
              </w:rPr>
              <w:t>ným nižším rizikem uvedené v </w:t>
            </w:r>
            <w:r w:rsidRPr="00F8632B">
              <w:rPr>
                <w:rFonts w:cs="Arial"/>
                <w:sz w:val="20"/>
              </w:rPr>
              <w:t>příloze II.</w:t>
            </w:r>
          </w:p>
          <w:p w:rsidR="00F8632B" w:rsidRPr="00F8632B" w:rsidRDefault="00F8632B" w:rsidP="00F8632B">
            <w:pPr>
              <w:tabs>
                <w:tab w:val="left" w:pos="360"/>
                <w:tab w:val="left" w:pos="1240"/>
              </w:tabs>
              <w:rPr>
                <w:rFonts w:cs="Arial"/>
                <w:sz w:val="20"/>
              </w:rPr>
            </w:pPr>
            <w:r w:rsidRPr="00F8632B">
              <w:rPr>
                <w:rFonts w:cs="Arial"/>
                <w:sz w:val="20"/>
              </w:rPr>
              <w:t>(Příloha II</w:t>
            </w:r>
          </w:p>
          <w:p w:rsidR="00F8632B" w:rsidRPr="00F8632B" w:rsidRDefault="00F8632B" w:rsidP="00F8632B">
            <w:pPr>
              <w:tabs>
                <w:tab w:val="left" w:pos="360"/>
                <w:tab w:val="left" w:pos="1240"/>
              </w:tabs>
              <w:rPr>
                <w:rFonts w:cs="Arial"/>
                <w:sz w:val="20"/>
              </w:rPr>
            </w:pPr>
            <w:r w:rsidRPr="00F8632B">
              <w:rPr>
                <w:rFonts w:cs="Arial"/>
                <w:sz w:val="20"/>
              </w:rPr>
              <w:lastRenderedPageBreak/>
              <w:t>Toto je demonstrativní výčet faktorů a typů důkazů možného nižšího rizika podle článku 16:</w:t>
            </w:r>
          </w:p>
          <w:p w:rsidR="00F8632B" w:rsidRPr="00F8632B" w:rsidRDefault="00F8632B" w:rsidP="00F8632B">
            <w:pPr>
              <w:tabs>
                <w:tab w:val="left" w:pos="360"/>
                <w:tab w:val="left" w:pos="1240"/>
              </w:tabs>
              <w:rPr>
                <w:rFonts w:cs="Arial"/>
                <w:sz w:val="20"/>
              </w:rPr>
            </w:pPr>
            <w:r w:rsidRPr="00F8632B">
              <w:rPr>
                <w:rFonts w:cs="Arial"/>
                <w:sz w:val="20"/>
              </w:rPr>
              <w:t>1) Rizikové faktory klienta:</w:t>
            </w:r>
          </w:p>
          <w:p w:rsidR="00F8632B" w:rsidRPr="00F8632B" w:rsidRDefault="00F8632B" w:rsidP="00F8632B">
            <w:pPr>
              <w:tabs>
                <w:tab w:val="left" w:pos="360"/>
                <w:tab w:val="left" w:pos="1240"/>
              </w:tabs>
              <w:rPr>
                <w:rFonts w:cs="Arial"/>
                <w:sz w:val="20"/>
              </w:rPr>
            </w:pPr>
            <w:r w:rsidRPr="00F8632B">
              <w:rPr>
                <w:rFonts w:cs="Arial"/>
                <w:sz w:val="20"/>
              </w:rPr>
              <w:t>a) akciové společnosti kotované na burze a podléhající požadavkům na zveřejnění (buď podle pravidel burzy, nebo právních předpisů nebo vynutitelných prostředků), které ukládají požadavky na zajištění přiměřené transparentnosti, pokud jde o skutečné vlastnictví;</w:t>
            </w:r>
          </w:p>
          <w:p w:rsidR="00F8632B" w:rsidRPr="00F8632B" w:rsidRDefault="00F8632B" w:rsidP="00F8632B">
            <w:pPr>
              <w:tabs>
                <w:tab w:val="left" w:pos="360"/>
                <w:tab w:val="left" w:pos="1240"/>
              </w:tabs>
              <w:rPr>
                <w:rFonts w:cs="Arial"/>
                <w:sz w:val="20"/>
              </w:rPr>
            </w:pPr>
            <w:r w:rsidRPr="00F8632B">
              <w:rPr>
                <w:rFonts w:cs="Arial"/>
                <w:sz w:val="20"/>
              </w:rPr>
              <w:t>b) orgány veřejné správy nebo státní podniky;</w:t>
            </w:r>
          </w:p>
          <w:p w:rsidR="00F8632B" w:rsidRPr="00F8632B" w:rsidRDefault="00F8632B" w:rsidP="00F8632B">
            <w:pPr>
              <w:tabs>
                <w:tab w:val="left" w:pos="360"/>
                <w:tab w:val="left" w:pos="1240"/>
              </w:tabs>
              <w:rPr>
                <w:rFonts w:cs="Arial"/>
                <w:sz w:val="20"/>
              </w:rPr>
            </w:pPr>
            <w:r w:rsidRPr="00F8632B">
              <w:rPr>
                <w:rFonts w:cs="Arial"/>
                <w:sz w:val="20"/>
              </w:rPr>
              <w:t>c) klienti usazení v zeměpisných oblastech s nižším rizikem, jak je stanoveno v bodě 3.</w:t>
            </w:r>
          </w:p>
          <w:p w:rsidR="00F8632B" w:rsidRPr="00F8632B" w:rsidRDefault="00F8632B" w:rsidP="00F8632B">
            <w:pPr>
              <w:tabs>
                <w:tab w:val="left" w:pos="360"/>
                <w:tab w:val="left" w:pos="1240"/>
              </w:tabs>
              <w:rPr>
                <w:rFonts w:cs="Arial"/>
                <w:sz w:val="20"/>
              </w:rPr>
            </w:pPr>
            <w:r w:rsidRPr="00F8632B">
              <w:rPr>
                <w:rFonts w:cs="Arial"/>
                <w:sz w:val="20"/>
              </w:rPr>
              <w:t>2) Faktory týkající se produktů, služeb, transakcí nebo distribučních kanálů:</w:t>
            </w:r>
          </w:p>
          <w:p w:rsidR="00F8632B" w:rsidRPr="00F8632B" w:rsidRDefault="00F8632B" w:rsidP="00F8632B">
            <w:pPr>
              <w:tabs>
                <w:tab w:val="left" w:pos="360"/>
                <w:tab w:val="left" w:pos="1240"/>
              </w:tabs>
              <w:rPr>
                <w:rFonts w:cs="Arial"/>
                <w:sz w:val="20"/>
              </w:rPr>
            </w:pPr>
            <w:r w:rsidRPr="00F8632B">
              <w:rPr>
                <w:rFonts w:cs="Arial"/>
                <w:sz w:val="20"/>
              </w:rPr>
              <w:t>a) životní pojištění, za něž je pojistné nízké;</w:t>
            </w:r>
          </w:p>
          <w:p w:rsidR="00F8632B" w:rsidRPr="00F8632B" w:rsidRDefault="00F8632B" w:rsidP="00F8632B">
            <w:pPr>
              <w:tabs>
                <w:tab w:val="left" w:pos="360"/>
                <w:tab w:val="left" w:pos="1240"/>
              </w:tabs>
              <w:rPr>
                <w:rFonts w:cs="Arial"/>
                <w:sz w:val="20"/>
              </w:rPr>
            </w:pPr>
            <w:r w:rsidRPr="00F8632B">
              <w:rPr>
                <w:rFonts w:cs="Arial"/>
                <w:sz w:val="20"/>
              </w:rPr>
              <w:t>b) pojištění v rámci systémů důchodového zabezpečení, jestliže neexistuje žádná možnost odkupu pojištění a pojištění nemůže být použito jako zajištění;</w:t>
            </w:r>
          </w:p>
          <w:p w:rsidR="00F8632B" w:rsidRPr="00F8632B" w:rsidRDefault="00F8632B" w:rsidP="00F8632B">
            <w:pPr>
              <w:tabs>
                <w:tab w:val="left" w:pos="360"/>
                <w:tab w:val="left" w:pos="1240"/>
              </w:tabs>
              <w:rPr>
                <w:rFonts w:cs="Arial"/>
                <w:sz w:val="20"/>
              </w:rPr>
            </w:pPr>
            <w:r w:rsidRPr="00F8632B">
              <w:rPr>
                <w:rFonts w:cs="Arial"/>
                <w:sz w:val="20"/>
              </w:rPr>
              <w:t>c) zaměstnanecký systém důchodového, výsluhového nebo podobného zabezpečení, z kterého se zaměstnancům vyplácí důchod, pokud jsou příspěvky placeny srážkou ze mzdy a pravidla systému nedovolují postoupení členského podílu v rámci systému;</w:t>
            </w:r>
          </w:p>
          <w:p w:rsidR="00F8632B" w:rsidRPr="00F8632B" w:rsidRDefault="00F8632B" w:rsidP="00F8632B">
            <w:pPr>
              <w:tabs>
                <w:tab w:val="left" w:pos="360"/>
                <w:tab w:val="left" w:pos="1240"/>
              </w:tabs>
              <w:rPr>
                <w:rFonts w:cs="Arial"/>
                <w:sz w:val="20"/>
              </w:rPr>
            </w:pPr>
            <w:r w:rsidRPr="00F8632B">
              <w:rPr>
                <w:rFonts w:cs="Arial"/>
                <w:sz w:val="20"/>
              </w:rPr>
              <w:t>d) finanční produkty nebo služby, které poskytují vhodně vymezené a omezené</w:t>
            </w:r>
            <w:r>
              <w:rPr>
                <w:rFonts w:cs="Arial"/>
                <w:sz w:val="20"/>
              </w:rPr>
              <w:t xml:space="preserve"> služby určitým typům klientů s </w:t>
            </w:r>
            <w:r w:rsidRPr="00F8632B">
              <w:rPr>
                <w:rFonts w:cs="Arial"/>
                <w:sz w:val="20"/>
              </w:rPr>
              <w:t>cílem zvýšit přístup za účelem finančního začlenění;</w:t>
            </w:r>
          </w:p>
          <w:p w:rsidR="00F8632B" w:rsidRPr="00F8632B" w:rsidRDefault="00F8632B" w:rsidP="00F8632B">
            <w:pPr>
              <w:tabs>
                <w:tab w:val="left" w:pos="360"/>
                <w:tab w:val="left" w:pos="1240"/>
              </w:tabs>
              <w:rPr>
                <w:rFonts w:cs="Arial"/>
                <w:sz w:val="20"/>
              </w:rPr>
            </w:pPr>
            <w:r w:rsidRPr="00F8632B">
              <w:rPr>
                <w:rFonts w:cs="Arial"/>
                <w:sz w:val="20"/>
              </w:rPr>
              <w:t>e) produkty, u nichž rizika praní peněz a financování terorismu snižují další fakto</w:t>
            </w:r>
            <w:r>
              <w:rPr>
                <w:rFonts w:cs="Arial"/>
                <w:sz w:val="20"/>
              </w:rPr>
              <w:t>ry, jako například limity u </w:t>
            </w:r>
            <w:r w:rsidRPr="00F8632B">
              <w:rPr>
                <w:rFonts w:cs="Arial"/>
                <w:sz w:val="20"/>
              </w:rPr>
              <w:t>elektronické peněženky nebo transparentnost vlastnictví (například některé typy elektronických peněz).</w:t>
            </w:r>
          </w:p>
          <w:p w:rsidR="00F8632B" w:rsidRPr="00F8632B" w:rsidRDefault="00F8632B" w:rsidP="00F8632B">
            <w:pPr>
              <w:tabs>
                <w:tab w:val="left" w:pos="360"/>
                <w:tab w:val="left" w:pos="1240"/>
              </w:tabs>
              <w:rPr>
                <w:rFonts w:cs="Arial"/>
                <w:sz w:val="20"/>
              </w:rPr>
            </w:pPr>
            <w:r w:rsidRPr="00F8632B">
              <w:rPr>
                <w:rFonts w:cs="Arial"/>
                <w:sz w:val="20"/>
              </w:rPr>
              <w:t>3) Faktory zeměpisného rizika:</w:t>
            </w:r>
          </w:p>
          <w:p w:rsidR="00F8632B" w:rsidRPr="00F8632B" w:rsidRDefault="00F8632B" w:rsidP="00F8632B">
            <w:pPr>
              <w:tabs>
                <w:tab w:val="left" w:pos="360"/>
                <w:tab w:val="left" w:pos="1240"/>
              </w:tabs>
              <w:rPr>
                <w:rFonts w:cs="Arial"/>
                <w:sz w:val="20"/>
              </w:rPr>
            </w:pPr>
            <w:r w:rsidRPr="00F8632B">
              <w:rPr>
                <w:rFonts w:cs="Arial"/>
                <w:sz w:val="20"/>
              </w:rPr>
              <w:t>a) členské státy;</w:t>
            </w:r>
          </w:p>
          <w:p w:rsidR="00F8632B" w:rsidRPr="00F8632B" w:rsidRDefault="00F8632B" w:rsidP="00F8632B">
            <w:pPr>
              <w:tabs>
                <w:tab w:val="left" w:pos="360"/>
                <w:tab w:val="left" w:pos="1240"/>
              </w:tabs>
              <w:rPr>
                <w:rFonts w:cs="Arial"/>
                <w:sz w:val="20"/>
              </w:rPr>
            </w:pPr>
            <w:r w:rsidRPr="00F8632B">
              <w:rPr>
                <w:rFonts w:cs="Arial"/>
                <w:sz w:val="20"/>
              </w:rPr>
              <w:t>b) třetí země uplatňující účinné systémy v boji proti praní peněz a financování terorismu;</w:t>
            </w:r>
          </w:p>
          <w:p w:rsidR="00F8632B" w:rsidRPr="00F8632B" w:rsidRDefault="00F8632B" w:rsidP="00F8632B">
            <w:pPr>
              <w:tabs>
                <w:tab w:val="left" w:pos="360"/>
                <w:tab w:val="left" w:pos="1240"/>
              </w:tabs>
              <w:rPr>
                <w:rFonts w:cs="Arial"/>
                <w:sz w:val="20"/>
              </w:rPr>
            </w:pPr>
            <w:r w:rsidRPr="00F8632B">
              <w:rPr>
                <w:rFonts w:cs="Arial"/>
                <w:sz w:val="20"/>
              </w:rPr>
              <w:t>c) třetí země, které byly ve věrohodných zdrojích označeny jako země s nízkou úrovní korupce nebo jiné trestné činnosti;</w:t>
            </w:r>
          </w:p>
          <w:p w:rsidR="00F8632B" w:rsidRPr="00F8632B" w:rsidRDefault="00F8632B" w:rsidP="00F8632B">
            <w:pPr>
              <w:tabs>
                <w:tab w:val="left" w:pos="360"/>
                <w:tab w:val="left" w:pos="1240"/>
              </w:tabs>
              <w:rPr>
                <w:rFonts w:cs="Arial"/>
                <w:sz w:val="20"/>
              </w:rPr>
            </w:pPr>
            <w:r w:rsidRPr="00F8632B">
              <w:rPr>
                <w:rFonts w:cs="Arial"/>
                <w:sz w:val="20"/>
              </w:rPr>
              <w:t>d)</w:t>
            </w:r>
            <w:r w:rsidRPr="00F8632B">
              <w:rPr>
                <w:rFonts w:cs="Arial"/>
                <w:sz w:val="20"/>
              </w:rPr>
              <w:tab/>
              <w:t xml:space="preserve">třetí země, které podle věrohodných zdrojů, jako jsou vzájemná hodnocení, zprávy z podrobného hodnocení nebo zveřejněné navazující zprávy, mají požadavky </w:t>
            </w:r>
            <w:r w:rsidRPr="00F8632B">
              <w:rPr>
                <w:rFonts w:cs="Arial"/>
                <w:sz w:val="20"/>
              </w:rPr>
              <w:lastRenderedPageBreak/>
              <w:t>týkající se boje proti praní peněz a financování terorismu v souladu s revidovanými doporučeními FATF a které tyto požadavky účinně uplatňují.)</w:t>
            </w:r>
          </w:p>
        </w:tc>
      </w:tr>
      <w:tr w:rsidR="00D64050" w:rsidRPr="00E20AE9" w:rsidTr="00D64050">
        <w:trPr>
          <w:trHeight w:val="549"/>
        </w:trPr>
        <w:tc>
          <w:tcPr>
            <w:tcW w:w="1629" w:type="dxa"/>
            <w:tcBorders>
              <w:top w:val="single" w:sz="4" w:space="0" w:color="auto"/>
              <w:bottom w:val="single" w:sz="4" w:space="0" w:color="auto"/>
            </w:tcBorders>
          </w:tcPr>
          <w:p w:rsidR="00D64050" w:rsidRDefault="00D64050" w:rsidP="00C62B29">
            <w:pPr>
              <w:tabs>
                <w:tab w:val="left" w:pos="360"/>
              </w:tabs>
              <w:rPr>
                <w:rFonts w:cs="Arial"/>
                <w:sz w:val="20"/>
              </w:rPr>
            </w:pPr>
            <w:r>
              <w:rPr>
                <w:rFonts w:cs="Arial"/>
                <w:sz w:val="20"/>
              </w:rPr>
              <w:lastRenderedPageBreak/>
              <w:t>§ 13 odst. 3</w:t>
            </w:r>
          </w:p>
        </w:tc>
        <w:tc>
          <w:tcPr>
            <w:tcW w:w="4447" w:type="dxa"/>
            <w:tcBorders>
              <w:top w:val="single" w:sz="4" w:space="0" w:color="auto"/>
              <w:bottom w:val="dashSmallGap" w:sz="4" w:space="0" w:color="4F81BD" w:themeColor="accent1"/>
            </w:tcBorders>
          </w:tcPr>
          <w:p w:rsidR="005439AC" w:rsidRPr="005439AC" w:rsidRDefault="005439AC" w:rsidP="005439AC">
            <w:pPr>
              <w:tabs>
                <w:tab w:val="left" w:pos="360"/>
              </w:tabs>
              <w:rPr>
                <w:rFonts w:cs="Arial"/>
                <w:sz w:val="20"/>
              </w:rPr>
            </w:pPr>
            <w:r w:rsidRPr="005439AC">
              <w:rPr>
                <w:rFonts w:cs="Arial"/>
                <w:sz w:val="20"/>
              </w:rPr>
              <w:t>(3) V případech uvedených v odstavcích 1 a 2 povinná osoba pouze</w:t>
            </w:r>
          </w:p>
          <w:p w:rsidR="005439AC" w:rsidRPr="005439AC" w:rsidRDefault="005439AC" w:rsidP="005439AC">
            <w:pPr>
              <w:tabs>
                <w:tab w:val="left" w:pos="360"/>
              </w:tabs>
              <w:rPr>
                <w:rFonts w:cs="Arial"/>
                <w:sz w:val="20"/>
              </w:rPr>
            </w:pPr>
            <w:r w:rsidRPr="005439AC">
              <w:rPr>
                <w:rFonts w:cs="Arial"/>
                <w:sz w:val="20"/>
              </w:rPr>
              <w:t>a)</w:t>
            </w:r>
            <w:r w:rsidRPr="005439AC">
              <w:rPr>
                <w:rFonts w:cs="Arial"/>
                <w:sz w:val="20"/>
              </w:rPr>
              <w:tab/>
              <w:t>ověří, zda jsou splněny uvedené podmínky,</w:t>
            </w:r>
          </w:p>
          <w:p w:rsidR="005439AC" w:rsidRPr="005439AC" w:rsidRDefault="005439AC" w:rsidP="005439AC">
            <w:pPr>
              <w:tabs>
                <w:tab w:val="left" w:pos="360"/>
              </w:tabs>
              <w:rPr>
                <w:rFonts w:cs="Arial"/>
                <w:sz w:val="20"/>
              </w:rPr>
            </w:pPr>
            <w:r w:rsidRPr="005439AC">
              <w:rPr>
                <w:rFonts w:cs="Arial"/>
                <w:sz w:val="20"/>
              </w:rPr>
              <w:t>b)</w:t>
            </w:r>
            <w:r w:rsidRPr="005439AC">
              <w:rPr>
                <w:rFonts w:cs="Arial"/>
                <w:sz w:val="20"/>
              </w:rPr>
              <w:tab/>
              <w:t>vhodným způsobem zjistí a zaznamená identifikační údaje klienta a</w:t>
            </w:r>
          </w:p>
          <w:p w:rsidR="00D64050" w:rsidRPr="00480A8E" w:rsidRDefault="005439AC" w:rsidP="005439AC">
            <w:pPr>
              <w:tabs>
                <w:tab w:val="left" w:pos="360"/>
              </w:tabs>
              <w:rPr>
                <w:rFonts w:cs="Arial"/>
                <w:sz w:val="20"/>
              </w:rPr>
            </w:pPr>
            <w:r w:rsidRPr="005439AC">
              <w:rPr>
                <w:rFonts w:cs="Arial"/>
                <w:sz w:val="20"/>
              </w:rPr>
              <w:t>c)</w:t>
            </w:r>
            <w:r w:rsidRPr="005439AC">
              <w:rPr>
                <w:rFonts w:cs="Arial"/>
                <w:sz w:val="20"/>
              </w:rPr>
              <w:tab/>
              <w:t>zjistí podle informací, které má k dispozici, zda některý z klientů, poskytovaný produkt nebo konkrétní obchod nepředstavuje zvýšené riziko zneužití pro legalizaci výnosů z trestné činnosti nebo financování terorismu; v případě pochybnosti se výjimka p</w:t>
            </w:r>
            <w:r>
              <w:rPr>
                <w:rFonts w:cs="Arial"/>
                <w:sz w:val="20"/>
              </w:rPr>
              <w:t>odle odstavců 1 a 2 neuplatní.</w:t>
            </w:r>
          </w:p>
        </w:tc>
        <w:tc>
          <w:tcPr>
            <w:tcW w:w="1412" w:type="dxa"/>
            <w:tcBorders>
              <w:top w:val="single" w:sz="4" w:space="0" w:color="auto"/>
              <w:bottom w:val="dashSmallGap" w:sz="4" w:space="0" w:color="4F81BD" w:themeColor="accent1"/>
            </w:tcBorders>
          </w:tcPr>
          <w:p w:rsidR="00D64050"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bottom w:val="dashSmallGap" w:sz="4" w:space="0" w:color="4F81BD" w:themeColor="accent1"/>
            </w:tcBorders>
            <w:shd w:val="clear" w:color="auto" w:fill="auto"/>
          </w:tcPr>
          <w:p w:rsidR="00D64050" w:rsidRPr="00D64050" w:rsidRDefault="00D64050" w:rsidP="00D64050">
            <w:pPr>
              <w:tabs>
                <w:tab w:val="left" w:pos="360"/>
                <w:tab w:val="left" w:pos="1240"/>
              </w:tabs>
              <w:rPr>
                <w:rFonts w:cs="Arial"/>
                <w:sz w:val="20"/>
              </w:rPr>
            </w:pPr>
            <w:r w:rsidRPr="00D64050">
              <w:rPr>
                <w:rFonts w:cs="Arial"/>
                <w:sz w:val="20"/>
              </w:rPr>
              <w:t>čl. 15 odst. 2</w:t>
            </w:r>
          </w:p>
        </w:tc>
        <w:tc>
          <w:tcPr>
            <w:tcW w:w="5103" w:type="dxa"/>
            <w:tcBorders>
              <w:top w:val="single" w:sz="4" w:space="0" w:color="auto"/>
              <w:bottom w:val="dashSmallGap" w:sz="4" w:space="0" w:color="4F81BD" w:themeColor="accent1"/>
            </w:tcBorders>
            <w:shd w:val="clear" w:color="auto" w:fill="auto"/>
          </w:tcPr>
          <w:p w:rsidR="00D64050" w:rsidRPr="00D64050" w:rsidRDefault="00D64050" w:rsidP="00D64050">
            <w:pPr>
              <w:tabs>
                <w:tab w:val="left" w:pos="360"/>
                <w:tab w:val="left" w:pos="1240"/>
              </w:tabs>
              <w:rPr>
                <w:rFonts w:cs="Arial"/>
                <w:sz w:val="20"/>
              </w:rPr>
            </w:pPr>
            <w:r w:rsidRPr="00D64050">
              <w:rPr>
                <w:rFonts w:cs="Arial"/>
                <w:sz w:val="20"/>
              </w:rPr>
              <w:t>2. Před použitím opatření zjednodušené hloubkové kontroly klienta povinné osoby ověří, zda daný obchodní vztah nebo daná transakce představuje nižší stupeň rizika.</w:t>
            </w:r>
          </w:p>
        </w:tc>
      </w:tr>
      <w:tr w:rsidR="00D64050" w:rsidRPr="00E20AE9" w:rsidTr="00D64050">
        <w:trPr>
          <w:trHeight w:val="141"/>
        </w:trPr>
        <w:tc>
          <w:tcPr>
            <w:tcW w:w="1629" w:type="dxa"/>
            <w:tcBorders>
              <w:top w:val="single" w:sz="4" w:space="0" w:color="auto"/>
              <w:bottom w:val="single" w:sz="4" w:space="0" w:color="auto"/>
            </w:tcBorders>
          </w:tcPr>
          <w:p w:rsidR="00D64050" w:rsidRDefault="00D64050" w:rsidP="00C62B29">
            <w:pPr>
              <w:tabs>
                <w:tab w:val="left" w:pos="360"/>
              </w:tabs>
              <w:rPr>
                <w:rFonts w:cs="Arial"/>
                <w:sz w:val="20"/>
              </w:rPr>
            </w:pPr>
          </w:p>
        </w:tc>
        <w:tc>
          <w:tcPr>
            <w:tcW w:w="4447" w:type="dxa"/>
            <w:tcBorders>
              <w:top w:val="dashSmallGap" w:sz="4" w:space="0" w:color="4F81BD" w:themeColor="accent1"/>
              <w:bottom w:val="single" w:sz="4" w:space="0" w:color="auto"/>
            </w:tcBorders>
          </w:tcPr>
          <w:p w:rsidR="00D64050" w:rsidRPr="00DF5023" w:rsidRDefault="00D64050" w:rsidP="00DF5023">
            <w:pPr>
              <w:tabs>
                <w:tab w:val="left" w:pos="360"/>
              </w:tabs>
              <w:rPr>
                <w:rFonts w:cs="Arial"/>
                <w:sz w:val="20"/>
              </w:rPr>
            </w:pPr>
          </w:p>
        </w:tc>
        <w:tc>
          <w:tcPr>
            <w:tcW w:w="1412" w:type="dxa"/>
            <w:tcBorders>
              <w:top w:val="dashSmallGap" w:sz="4" w:space="0" w:color="4F81BD" w:themeColor="accent1"/>
              <w:bottom w:val="single" w:sz="4" w:space="0" w:color="auto"/>
            </w:tcBorders>
          </w:tcPr>
          <w:p w:rsidR="00D64050" w:rsidRPr="00E20AE9" w:rsidRDefault="00D64050" w:rsidP="00C62B29">
            <w:pPr>
              <w:tabs>
                <w:tab w:val="left" w:pos="360"/>
              </w:tabs>
              <w:rPr>
                <w:rFonts w:cs="Arial"/>
                <w:sz w:val="20"/>
              </w:rPr>
            </w:pPr>
          </w:p>
        </w:tc>
        <w:tc>
          <w:tcPr>
            <w:tcW w:w="1418" w:type="dxa"/>
            <w:tcBorders>
              <w:top w:val="dashSmallGap" w:sz="4" w:space="0" w:color="4F81BD" w:themeColor="accent1"/>
              <w:bottom w:val="single" w:sz="4" w:space="0" w:color="auto"/>
            </w:tcBorders>
            <w:shd w:val="clear" w:color="auto" w:fill="auto"/>
          </w:tcPr>
          <w:p w:rsidR="00D64050" w:rsidRPr="00D64050" w:rsidRDefault="00D64050" w:rsidP="00D64050">
            <w:pPr>
              <w:tabs>
                <w:tab w:val="left" w:pos="360"/>
                <w:tab w:val="left" w:pos="1240"/>
              </w:tabs>
              <w:rPr>
                <w:rFonts w:cs="Arial"/>
                <w:sz w:val="20"/>
              </w:rPr>
            </w:pPr>
            <w:r>
              <w:rPr>
                <w:rFonts w:cs="Arial"/>
                <w:sz w:val="20"/>
              </w:rPr>
              <w:t>čl. 16</w:t>
            </w:r>
          </w:p>
        </w:tc>
        <w:tc>
          <w:tcPr>
            <w:tcW w:w="5103" w:type="dxa"/>
            <w:tcBorders>
              <w:top w:val="dashSmallGap" w:sz="4" w:space="0" w:color="4F81BD" w:themeColor="accent1"/>
              <w:bottom w:val="single" w:sz="4" w:space="0" w:color="auto"/>
            </w:tcBorders>
            <w:shd w:val="clear" w:color="auto" w:fill="auto"/>
          </w:tcPr>
          <w:p w:rsidR="00D64050" w:rsidRDefault="00D64050" w:rsidP="00D64050">
            <w:pPr>
              <w:tabs>
                <w:tab w:val="left" w:pos="1240"/>
              </w:tabs>
              <w:rPr>
                <w:sz w:val="16"/>
                <w:szCs w:val="16"/>
              </w:rPr>
            </w:pPr>
            <w:r w:rsidRPr="00D64050">
              <w:rPr>
                <w:rFonts w:cs="Arial"/>
                <w:sz w:val="20"/>
              </w:rPr>
              <w:t>Při posuzování rizik praní peněz a financování terorismu vztahujících se na typy klientů, zeměpisné oblasti a konkrétní produkty, služby, transakce nebo distribuční kanály zohlední členské státy a povinné osoby alespoň faktory pro situace s možným nižším rizikem uvedené v příloze II.</w:t>
            </w:r>
          </w:p>
          <w:p w:rsidR="00D64050" w:rsidRPr="00D64050" w:rsidRDefault="00D64050" w:rsidP="00D64050">
            <w:pPr>
              <w:tabs>
                <w:tab w:val="left" w:pos="360"/>
                <w:tab w:val="left" w:pos="1240"/>
              </w:tabs>
              <w:rPr>
                <w:rFonts w:cs="Arial"/>
                <w:sz w:val="20"/>
              </w:rPr>
            </w:pPr>
          </w:p>
        </w:tc>
      </w:tr>
      <w:tr w:rsidR="00D64050" w:rsidRPr="00E20AE9" w:rsidTr="00D64050">
        <w:trPr>
          <w:trHeight w:val="141"/>
        </w:trPr>
        <w:tc>
          <w:tcPr>
            <w:tcW w:w="1629" w:type="dxa"/>
            <w:tcBorders>
              <w:top w:val="single" w:sz="4" w:space="0" w:color="auto"/>
              <w:bottom w:val="single" w:sz="4" w:space="0" w:color="auto"/>
            </w:tcBorders>
          </w:tcPr>
          <w:p w:rsidR="00D64050" w:rsidRDefault="00D64050" w:rsidP="00C62B29">
            <w:pPr>
              <w:tabs>
                <w:tab w:val="left" w:pos="360"/>
              </w:tabs>
              <w:rPr>
                <w:rFonts w:cs="Arial"/>
                <w:sz w:val="20"/>
              </w:rPr>
            </w:pPr>
            <w:r>
              <w:rPr>
                <w:rFonts w:cs="Arial"/>
                <w:sz w:val="20"/>
              </w:rPr>
              <w:t>§ 13a</w:t>
            </w:r>
          </w:p>
        </w:tc>
        <w:tc>
          <w:tcPr>
            <w:tcW w:w="4447" w:type="dxa"/>
            <w:tcBorders>
              <w:top w:val="single" w:sz="4" w:space="0" w:color="auto"/>
              <w:bottom w:val="single" w:sz="4" w:space="0" w:color="auto"/>
            </w:tcBorders>
          </w:tcPr>
          <w:p w:rsidR="007E12B1" w:rsidRPr="007E12B1" w:rsidRDefault="007E12B1" w:rsidP="007E12B1">
            <w:pPr>
              <w:tabs>
                <w:tab w:val="left" w:pos="360"/>
              </w:tabs>
              <w:rPr>
                <w:rFonts w:cs="Arial"/>
                <w:sz w:val="20"/>
              </w:rPr>
            </w:pPr>
            <w:r w:rsidRPr="007E12B1">
              <w:rPr>
                <w:rFonts w:cs="Arial"/>
                <w:sz w:val="20"/>
              </w:rPr>
              <w:t>(1) Povinnost identifikovat a kontrolovat klienta není třeba plnit u</w:t>
            </w:r>
          </w:p>
          <w:p w:rsidR="007E12B1" w:rsidRPr="007E12B1" w:rsidRDefault="007E12B1" w:rsidP="007E12B1">
            <w:pPr>
              <w:tabs>
                <w:tab w:val="left" w:pos="360"/>
              </w:tabs>
              <w:rPr>
                <w:rFonts w:cs="Arial"/>
                <w:sz w:val="20"/>
              </w:rPr>
            </w:pPr>
            <w:r w:rsidRPr="007E12B1">
              <w:rPr>
                <w:rFonts w:cs="Arial"/>
                <w:sz w:val="20"/>
              </w:rPr>
              <w:t xml:space="preserve">a)  </w:t>
            </w:r>
            <w:r w:rsidRPr="007E12B1">
              <w:rPr>
                <w:rFonts w:cs="Arial"/>
                <w:sz w:val="20"/>
              </w:rPr>
              <w:tab/>
              <w:t xml:space="preserve">elektronických peněz uchovávaných na médiu, které nelze dobíjet, pokud nejvyšší uchovávaná částka nepřekročí 250 EUR, nebo 500 EUR, jde-li o elektronické peníze, které mohou být použity pouze k provedení vnitrostátní platební transakce, </w:t>
            </w:r>
          </w:p>
          <w:p w:rsidR="007E12B1" w:rsidRPr="007E12B1" w:rsidRDefault="007E12B1" w:rsidP="007E12B1">
            <w:pPr>
              <w:tabs>
                <w:tab w:val="left" w:pos="360"/>
              </w:tabs>
              <w:rPr>
                <w:rFonts w:cs="Arial"/>
                <w:sz w:val="20"/>
              </w:rPr>
            </w:pPr>
            <w:r w:rsidRPr="007E12B1">
              <w:rPr>
                <w:rFonts w:cs="Arial"/>
                <w:sz w:val="20"/>
              </w:rPr>
              <w:t>b)</w:t>
            </w:r>
            <w:r w:rsidRPr="007E12B1">
              <w:rPr>
                <w:rFonts w:cs="Arial"/>
                <w:sz w:val="20"/>
              </w:rPr>
              <w:tab/>
              <w:t xml:space="preserve">elektronických peněz uchovávaných na médiu, které lze dobíjet, pokud celkový měsíční limit pro platby nepřesahuje 250 EUR, nebo </w:t>
            </w:r>
          </w:p>
          <w:p w:rsidR="007E12B1" w:rsidRPr="007E12B1" w:rsidRDefault="007E12B1" w:rsidP="007E12B1">
            <w:pPr>
              <w:tabs>
                <w:tab w:val="left" w:pos="360"/>
              </w:tabs>
              <w:rPr>
                <w:rFonts w:cs="Arial"/>
                <w:sz w:val="20"/>
              </w:rPr>
            </w:pPr>
            <w:r w:rsidRPr="007E12B1">
              <w:rPr>
                <w:rFonts w:cs="Arial"/>
                <w:sz w:val="20"/>
              </w:rPr>
              <w:t>c)</w:t>
            </w:r>
            <w:r w:rsidRPr="007E12B1">
              <w:rPr>
                <w:rFonts w:cs="Arial"/>
                <w:sz w:val="20"/>
              </w:rPr>
              <w:tab/>
              <w:t xml:space="preserve">platebních služeb poskytovaných prostřednictvím veřejné mobilní telefonní sítě jinak než s využitím elektronických peněz, pokud hodnota jednotlivé transakce nepřesáhne 250 EUR a současně celkový limit plateb realizovaných z jednoho telefonního čísla pro </w:t>
            </w:r>
            <w:r w:rsidRPr="007E12B1">
              <w:rPr>
                <w:rFonts w:cs="Arial"/>
                <w:sz w:val="20"/>
              </w:rPr>
              <w:lastRenderedPageBreak/>
              <w:t>kalendářní rok nepřesahuje 2 500 EUR.</w:t>
            </w:r>
          </w:p>
          <w:p w:rsidR="007E12B1" w:rsidRPr="007E12B1" w:rsidRDefault="007E12B1" w:rsidP="007E12B1">
            <w:pPr>
              <w:tabs>
                <w:tab w:val="left" w:pos="360"/>
              </w:tabs>
              <w:rPr>
                <w:rFonts w:cs="Arial"/>
                <w:sz w:val="20"/>
              </w:rPr>
            </w:pPr>
            <w:r w:rsidRPr="007E12B1">
              <w:rPr>
                <w:rFonts w:cs="Arial"/>
                <w:sz w:val="20"/>
              </w:rPr>
              <w:t>(2) Nástroje uvedené v odstavci 1 lze používat výhradně k nákupu zboží či služeb a nesmí být financovány anonymními elektronickými penězi.</w:t>
            </w:r>
          </w:p>
          <w:p w:rsidR="007E12B1" w:rsidRPr="007E12B1" w:rsidRDefault="007E12B1" w:rsidP="007E12B1">
            <w:pPr>
              <w:tabs>
                <w:tab w:val="left" w:pos="360"/>
              </w:tabs>
              <w:rPr>
                <w:rFonts w:cs="Arial"/>
                <w:sz w:val="20"/>
              </w:rPr>
            </w:pPr>
            <w:r w:rsidRPr="007E12B1">
              <w:rPr>
                <w:rFonts w:cs="Arial"/>
                <w:sz w:val="20"/>
              </w:rPr>
              <w:t>(3) Výjimka podle odstavce 1 se nepoužije, když je na žádost držitele elektronických peněz zpětně vyměněna částka celkem 100 EUR nebo více.</w:t>
            </w:r>
          </w:p>
          <w:p w:rsidR="00D64050" w:rsidRPr="00DF5023" w:rsidRDefault="007E12B1" w:rsidP="007E12B1">
            <w:pPr>
              <w:tabs>
                <w:tab w:val="left" w:pos="360"/>
              </w:tabs>
              <w:rPr>
                <w:rFonts w:cs="Arial"/>
                <w:sz w:val="20"/>
              </w:rPr>
            </w:pPr>
            <w:r w:rsidRPr="007E12B1">
              <w:rPr>
                <w:rFonts w:cs="Arial"/>
                <w:sz w:val="20"/>
              </w:rPr>
              <w:t>(4) Povinná osoba sleduje transakce uskutečňované prostřednictvím nástroje uvedeného v odstavci 1 tak, aby bylo možné zjistit podezřelý obchod podle § 6.</w:t>
            </w:r>
          </w:p>
        </w:tc>
        <w:tc>
          <w:tcPr>
            <w:tcW w:w="1412" w:type="dxa"/>
            <w:tcBorders>
              <w:top w:val="single" w:sz="4" w:space="0" w:color="auto"/>
              <w:bottom w:val="single" w:sz="4" w:space="0" w:color="auto"/>
            </w:tcBorders>
          </w:tcPr>
          <w:p w:rsidR="00D64050" w:rsidRPr="00E20AE9" w:rsidRDefault="00C62B29" w:rsidP="00C62B29">
            <w:pPr>
              <w:tabs>
                <w:tab w:val="left" w:pos="360"/>
              </w:tabs>
              <w:rPr>
                <w:rFonts w:cs="Arial"/>
                <w:sz w:val="20"/>
              </w:rPr>
            </w:pPr>
            <w:r>
              <w:rPr>
                <w:rFonts w:cs="Arial"/>
                <w:sz w:val="20"/>
              </w:rPr>
              <w:lastRenderedPageBreak/>
              <w:t>32015L0849</w:t>
            </w:r>
          </w:p>
        </w:tc>
        <w:tc>
          <w:tcPr>
            <w:tcW w:w="1418" w:type="dxa"/>
            <w:tcBorders>
              <w:top w:val="single" w:sz="4" w:space="0" w:color="auto"/>
              <w:bottom w:val="single" w:sz="4" w:space="0" w:color="auto"/>
            </w:tcBorders>
            <w:shd w:val="clear" w:color="auto" w:fill="auto"/>
          </w:tcPr>
          <w:p w:rsidR="00D64050" w:rsidRPr="00D64050" w:rsidRDefault="00D64050" w:rsidP="00D64050">
            <w:pPr>
              <w:tabs>
                <w:tab w:val="left" w:pos="360"/>
                <w:tab w:val="left" w:pos="1240"/>
              </w:tabs>
              <w:rPr>
                <w:rFonts w:cs="Arial"/>
                <w:sz w:val="20"/>
              </w:rPr>
            </w:pPr>
            <w:r w:rsidRPr="00D64050">
              <w:rPr>
                <w:rFonts w:cs="Arial"/>
                <w:sz w:val="20"/>
              </w:rPr>
              <w:t>čl. 1</w:t>
            </w:r>
            <w:r>
              <w:rPr>
                <w:rFonts w:cs="Arial"/>
                <w:sz w:val="20"/>
              </w:rPr>
              <w:t>2</w:t>
            </w:r>
          </w:p>
        </w:tc>
        <w:tc>
          <w:tcPr>
            <w:tcW w:w="5103" w:type="dxa"/>
            <w:tcBorders>
              <w:top w:val="single" w:sz="4" w:space="0" w:color="auto"/>
              <w:bottom w:val="single" w:sz="4" w:space="0" w:color="auto"/>
            </w:tcBorders>
            <w:shd w:val="clear" w:color="auto" w:fill="auto"/>
          </w:tcPr>
          <w:p w:rsidR="00D64050" w:rsidRPr="00D64050" w:rsidRDefault="00D64050" w:rsidP="00D64050">
            <w:pPr>
              <w:tabs>
                <w:tab w:val="left" w:pos="1240"/>
              </w:tabs>
              <w:rPr>
                <w:rFonts w:cs="Arial"/>
                <w:sz w:val="20"/>
              </w:rPr>
            </w:pPr>
            <w:r>
              <w:rPr>
                <w:rFonts w:cs="Arial"/>
                <w:sz w:val="20"/>
              </w:rPr>
              <w:t xml:space="preserve">1. </w:t>
            </w:r>
            <w:r w:rsidRPr="00D64050">
              <w:rPr>
                <w:rFonts w:cs="Arial"/>
                <w:sz w:val="20"/>
              </w:rPr>
              <w:t>Odchylně od čl. 13 odst. 1 prvního pododstavce písm. a), b) a c) a článku 14 a na základě vhodného posouzení rizik, jež prokáže nízké riziko, může členský stát povinným osobám povolit, aby neuplatňovaly určitá opatření hloubkové kontroly klienta ve vztahu k elektronickým penězům, jsou-li splněny všechny tyto podmínky zmírňující riziko:</w:t>
            </w:r>
          </w:p>
          <w:p w:rsidR="00D64050" w:rsidRPr="00D64050" w:rsidRDefault="00D64050" w:rsidP="00D64050">
            <w:pPr>
              <w:tabs>
                <w:tab w:val="left" w:pos="1240"/>
              </w:tabs>
              <w:rPr>
                <w:rFonts w:cs="Arial"/>
                <w:sz w:val="20"/>
              </w:rPr>
            </w:pPr>
            <w:r>
              <w:rPr>
                <w:rFonts w:cs="Arial"/>
                <w:sz w:val="20"/>
              </w:rPr>
              <w:t xml:space="preserve">a) </w:t>
            </w:r>
            <w:r w:rsidRPr="00D64050">
              <w:rPr>
                <w:rFonts w:cs="Arial"/>
                <w:sz w:val="20"/>
              </w:rPr>
              <w:t>platební prostředek není dobíjecí nebo má stanoven měsíční limit pro platební transakce nejvýše 250 EUR, jejž lze čerpat jen v tomto členském státě;</w:t>
            </w:r>
          </w:p>
          <w:p w:rsidR="00D64050" w:rsidRPr="00D64050" w:rsidRDefault="00D64050" w:rsidP="00D64050">
            <w:pPr>
              <w:tabs>
                <w:tab w:val="left" w:pos="1240"/>
              </w:tabs>
              <w:rPr>
                <w:rFonts w:cs="Arial"/>
                <w:sz w:val="20"/>
              </w:rPr>
            </w:pPr>
            <w:r>
              <w:rPr>
                <w:rFonts w:cs="Arial"/>
                <w:sz w:val="20"/>
              </w:rPr>
              <w:t xml:space="preserve">b) </w:t>
            </w:r>
            <w:r w:rsidRPr="00D64050">
              <w:rPr>
                <w:rFonts w:cs="Arial"/>
                <w:sz w:val="20"/>
              </w:rPr>
              <w:t>maximální částka uchovávaná elektronicky nepřekračuje 250 EUR;</w:t>
            </w:r>
          </w:p>
          <w:p w:rsidR="00D64050" w:rsidRPr="00D64050" w:rsidRDefault="00D64050" w:rsidP="00D64050">
            <w:pPr>
              <w:tabs>
                <w:tab w:val="left" w:pos="1240"/>
              </w:tabs>
              <w:rPr>
                <w:rFonts w:cs="Arial"/>
                <w:sz w:val="20"/>
              </w:rPr>
            </w:pPr>
            <w:r>
              <w:rPr>
                <w:rFonts w:cs="Arial"/>
                <w:sz w:val="20"/>
              </w:rPr>
              <w:t xml:space="preserve">c) </w:t>
            </w:r>
            <w:r w:rsidRPr="00D64050">
              <w:rPr>
                <w:rFonts w:cs="Arial"/>
                <w:sz w:val="20"/>
              </w:rPr>
              <w:t>platební prostředek je používán výhradně k nákupu zboží nebo služeb;</w:t>
            </w:r>
          </w:p>
          <w:p w:rsidR="00D64050" w:rsidRPr="00D64050" w:rsidRDefault="00D64050" w:rsidP="00D64050">
            <w:pPr>
              <w:tabs>
                <w:tab w:val="left" w:pos="1240"/>
              </w:tabs>
              <w:rPr>
                <w:rFonts w:cs="Arial"/>
                <w:sz w:val="20"/>
              </w:rPr>
            </w:pPr>
            <w:r>
              <w:rPr>
                <w:rFonts w:cs="Arial"/>
                <w:sz w:val="20"/>
              </w:rPr>
              <w:t xml:space="preserve">d) </w:t>
            </w:r>
            <w:r w:rsidRPr="00D64050">
              <w:rPr>
                <w:rFonts w:cs="Arial"/>
                <w:sz w:val="20"/>
              </w:rPr>
              <w:t>platební prostředek nemůže být financován anonymními elektronickými penězi;</w:t>
            </w:r>
          </w:p>
          <w:p w:rsidR="00D64050" w:rsidRPr="00D64050" w:rsidRDefault="00D64050" w:rsidP="00D64050">
            <w:pPr>
              <w:tabs>
                <w:tab w:val="left" w:pos="1240"/>
              </w:tabs>
              <w:rPr>
                <w:rFonts w:cs="Arial"/>
                <w:sz w:val="20"/>
              </w:rPr>
            </w:pPr>
            <w:r>
              <w:rPr>
                <w:rFonts w:cs="Arial"/>
                <w:sz w:val="20"/>
              </w:rPr>
              <w:t xml:space="preserve">e) </w:t>
            </w:r>
            <w:r w:rsidRPr="00D64050">
              <w:rPr>
                <w:rFonts w:cs="Arial"/>
                <w:sz w:val="20"/>
              </w:rPr>
              <w:t xml:space="preserve">vydavatel dostatečně sleduje transakce nebo </w:t>
            </w:r>
            <w:r w:rsidRPr="00D64050">
              <w:rPr>
                <w:rFonts w:cs="Arial"/>
                <w:sz w:val="20"/>
              </w:rPr>
              <w:lastRenderedPageBreak/>
              <w:t>obchodní vztahy, aby bylo možné odhalit neobvyklé nebo podezřelé transakce.</w:t>
            </w:r>
          </w:p>
          <w:p w:rsidR="00D64050" w:rsidRPr="00D64050" w:rsidRDefault="00D64050" w:rsidP="00D64050">
            <w:pPr>
              <w:tabs>
                <w:tab w:val="left" w:pos="1240"/>
              </w:tabs>
              <w:rPr>
                <w:rFonts w:cs="Arial"/>
                <w:sz w:val="20"/>
              </w:rPr>
            </w:pPr>
            <w:r w:rsidRPr="00D64050">
              <w:rPr>
                <w:rFonts w:cs="Arial"/>
                <w:sz w:val="20"/>
              </w:rPr>
              <w:t>Maximální částku uvedenou v prvním pododstavci písm. b) může členský stát zvýšit až na 500 EUR u platebních prostředků, které mohou být používány pouze v tomto členském státě.</w:t>
            </w:r>
          </w:p>
          <w:p w:rsidR="00D64050" w:rsidRPr="00D64050" w:rsidRDefault="00D64050" w:rsidP="00D64050">
            <w:pPr>
              <w:tabs>
                <w:tab w:val="left" w:pos="1240"/>
              </w:tabs>
              <w:rPr>
                <w:rFonts w:cs="Arial"/>
                <w:sz w:val="20"/>
              </w:rPr>
            </w:pPr>
            <w:r>
              <w:rPr>
                <w:rFonts w:cs="Arial"/>
                <w:sz w:val="20"/>
              </w:rPr>
              <w:t xml:space="preserve">2. </w:t>
            </w:r>
            <w:r w:rsidRPr="00D64050">
              <w:rPr>
                <w:rFonts w:cs="Arial"/>
                <w:sz w:val="20"/>
              </w:rPr>
              <w:t>Členské státy zajis</w:t>
            </w:r>
            <w:r>
              <w:rPr>
                <w:rFonts w:cs="Arial"/>
                <w:sz w:val="20"/>
              </w:rPr>
              <w:t>tí, aby se odchylka stanovená v </w:t>
            </w:r>
            <w:r w:rsidRPr="00D64050">
              <w:rPr>
                <w:rFonts w:cs="Arial"/>
                <w:sz w:val="20"/>
              </w:rPr>
              <w:t>odstavci 1 nevztahovala na zpětnou výměnu peněžní hodnoty elektronických peněz za hotovost ani na výběr hotovosti z takové peněžní hodnoty, je-li vyměňovaná částka vyšší než 100 EUR.</w:t>
            </w:r>
          </w:p>
        </w:tc>
      </w:tr>
      <w:tr w:rsidR="00D64050" w:rsidRPr="00E20AE9" w:rsidTr="00D64050">
        <w:trPr>
          <w:trHeight w:val="141"/>
        </w:trPr>
        <w:tc>
          <w:tcPr>
            <w:tcW w:w="1629" w:type="dxa"/>
            <w:tcBorders>
              <w:top w:val="single" w:sz="4" w:space="0" w:color="auto"/>
              <w:bottom w:val="single" w:sz="4" w:space="0" w:color="auto"/>
            </w:tcBorders>
          </w:tcPr>
          <w:p w:rsidR="00D64050" w:rsidRDefault="00D64050" w:rsidP="00C62B29">
            <w:pPr>
              <w:tabs>
                <w:tab w:val="left" w:pos="360"/>
              </w:tabs>
              <w:rPr>
                <w:rFonts w:cs="Arial"/>
                <w:sz w:val="20"/>
              </w:rPr>
            </w:pPr>
            <w:r>
              <w:rPr>
                <w:rFonts w:cs="Arial"/>
                <w:sz w:val="20"/>
              </w:rPr>
              <w:lastRenderedPageBreak/>
              <w:t>§ 14</w:t>
            </w:r>
          </w:p>
        </w:tc>
        <w:tc>
          <w:tcPr>
            <w:tcW w:w="4447" w:type="dxa"/>
            <w:tcBorders>
              <w:top w:val="single" w:sz="4" w:space="0" w:color="auto"/>
              <w:bottom w:val="single" w:sz="4" w:space="0" w:color="auto"/>
            </w:tcBorders>
          </w:tcPr>
          <w:p w:rsidR="007E12B1" w:rsidRPr="007E12B1" w:rsidRDefault="007E12B1" w:rsidP="007E12B1">
            <w:pPr>
              <w:tabs>
                <w:tab w:val="left" w:pos="360"/>
              </w:tabs>
              <w:rPr>
                <w:rFonts w:cs="Arial"/>
                <w:sz w:val="20"/>
              </w:rPr>
            </w:pPr>
            <w:r w:rsidRPr="007E12B1">
              <w:rPr>
                <w:rFonts w:cs="Arial"/>
                <w:sz w:val="20"/>
              </w:rPr>
              <w:t>Povinnosti podle přímo použitelného předpisu Evropské unie upravujícího informace doprovázející bezhotovostní převody peněžních prostředků 20), se nevztahují na převody peněžních prostředků nebo peněžní služby, jimiž se provádí platba za dodávku zboží nebo poskytování služeb, pokud</w:t>
            </w:r>
          </w:p>
          <w:p w:rsidR="007E12B1" w:rsidRPr="007E12B1" w:rsidRDefault="007E12B1" w:rsidP="007E12B1">
            <w:pPr>
              <w:tabs>
                <w:tab w:val="left" w:pos="360"/>
              </w:tabs>
              <w:rPr>
                <w:rFonts w:cs="Arial"/>
                <w:sz w:val="20"/>
              </w:rPr>
            </w:pPr>
            <w:r>
              <w:rPr>
                <w:rFonts w:cs="Arial"/>
                <w:sz w:val="20"/>
              </w:rPr>
              <w:t xml:space="preserve">a) </w:t>
            </w:r>
            <w:r w:rsidRPr="007E12B1">
              <w:rPr>
                <w:rFonts w:cs="Arial"/>
                <w:sz w:val="20"/>
              </w:rPr>
              <w:t>se převod uskuteční v České republice,</w:t>
            </w:r>
          </w:p>
          <w:p w:rsidR="007E12B1" w:rsidRPr="007E12B1" w:rsidRDefault="007E12B1" w:rsidP="007E12B1">
            <w:pPr>
              <w:tabs>
                <w:tab w:val="left" w:pos="360"/>
              </w:tabs>
              <w:rPr>
                <w:rFonts w:cs="Arial"/>
                <w:sz w:val="20"/>
              </w:rPr>
            </w:pPr>
            <w:r>
              <w:rPr>
                <w:rFonts w:cs="Arial"/>
                <w:sz w:val="20"/>
              </w:rPr>
              <w:t xml:space="preserve">b) </w:t>
            </w:r>
            <w:r w:rsidRPr="007E12B1">
              <w:rPr>
                <w:rFonts w:cs="Arial"/>
                <w:sz w:val="20"/>
              </w:rPr>
              <w:t>poskytovatel platebních služeb příjemce je prostřednictvím příjemce platby vždy schopen pomocí jedinečného identifikátoru transakce vysledovat převod peněžních prostředků od fyzické nebo právnické osoby, která má s příjemcem dohodu o dodávce zboží nebo poskytnutí služeb, a</w:t>
            </w:r>
          </w:p>
          <w:p w:rsidR="00D64050" w:rsidRPr="00D64050" w:rsidRDefault="007E12B1" w:rsidP="007E12B1">
            <w:pPr>
              <w:tabs>
                <w:tab w:val="left" w:pos="360"/>
              </w:tabs>
              <w:rPr>
                <w:rFonts w:cs="Arial"/>
                <w:sz w:val="20"/>
              </w:rPr>
            </w:pPr>
            <w:r>
              <w:rPr>
                <w:rFonts w:cs="Arial"/>
                <w:sz w:val="20"/>
              </w:rPr>
              <w:t xml:space="preserve">c) </w:t>
            </w:r>
            <w:r w:rsidRPr="007E12B1">
              <w:rPr>
                <w:rFonts w:cs="Arial"/>
                <w:sz w:val="20"/>
              </w:rPr>
              <w:t>převáděná hodnota nepřekročí 1 000 EUR.</w:t>
            </w:r>
          </w:p>
        </w:tc>
        <w:tc>
          <w:tcPr>
            <w:tcW w:w="1412" w:type="dxa"/>
            <w:tcBorders>
              <w:top w:val="single" w:sz="4" w:space="0" w:color="auto"/>
              <w:bottom w:val="single" w:sz="4" w:space="0" w:color="auto"/>
            </w:tcBorders>
          </w:tcPr>
          <w:p w:rsidR="00D64050" w:rsidRPr="00E20AE9" w:rsidRDefault="00FC1C85" w:rsidP="00C62B29">
            <w:pPr>
              <w:tabs>
                <w:tab w:val="left" w:pos="360"/>
              </w:tabs>
              <w:rPr>
                <w:rFonts w:cs="Arial"/>
                <w:sz w:val="20"/>
              </w:rPr>
            </w:pPr>
            <w:r w:rsidRPr="00FC1C85">
              <w:rPr>
                <w:rFonts w:cs="Arial"/>
                <w:sz w:val="20"/>
              </w:rPr>
              <w:t>32015R0847</w:t>
            </w:r>
          </w:p>
        </w:tc>
        <w:tc>
          <w:tcPr>
            <w:tcW w:w="1418" w:type="dxa"/>
            <w:tcBorders>
              <w:top w:val="single" w:sz="4" w:space="0" w:color="auto"/>
              <w:bottom w:val="single" w:sz="4" w:space="0" w:color="auto"/>
            </w:tcBorders>
            <w:shd w:val="clear" w:color="auto" w:fill="auto"/>
          </w:tcPr>
          <w:p w:rsidR="00D64050" w:rsidRPr="00D64050" w:rsidRDefault="00FC1C85" w:rsidP="00D64050">
            <w:pPr>
              <w:tabs>
                <w:tab w:val="left" w:pos="360"/>
                <w:tab w:val="left" w:pos="1240"/>
              </w:tabs>
              <w:rPr>
                <w:rFonts w:cs="Arial"/>
                <w:sz w:val="20"/>
              </w:rPr>
            </w:pPr>
            <w:r>
              <w:rPr>
                <w:rFonts w:cs="Arial"/>
                <w:sz w:val="20"/>
              </w:rPr>
              <w:t>čl.</w:t>
            </w:r>
            <w:r w:rsidR="00E41452">
              <w:rPr>
                <w:rFonts w:cs="Arial"/>
                <w:sz w:val="20"/>
              </w:rPr>
              <w:t xml:space="preserve"> 2 odst.</w:t>
            </w:r>
            <w:r>
              <w:rPr>
                <w:rFonts w:cs="Arial"/>
                <w:sz w:val="20"/>
              </w:rPr>
              <w:t xml:space="preserve"> 5</w:t>
            </w:r>
          </w:p>
        </w:tc>
        <w:tc>
          <w:tcPr>
            <w:tcW w:w="5103" w:type="dxa"/>
            <w:tcBorders>
              <w:top w:val="single" w:sz="4" w:space="0" w:color="auto"/>
              <w:bottom w:val="single" w:sz="4" w:space="0" w:color="auto"/>
            </w:tcBorders>
            <w:shd w:val="clear" w:color="auto" w:fill="auto"/>
          </w:tcPr>
          <w:p w:rsidR="00D64050" w:rsidRDefault="00FC1C85" w:rsidP="00D64050">
            <w:pPr>
              <w:tabs>
                <w:tab w:val="left" w:pos="1240"/>
              </w:tabs>
              <w:rPr>
                <w:rFonts w:cs="Arial"/>
                <w:sz w:val="20"/>
              </w:rPr>
            </w:pPr>
            <w:r w:rsidRPr="00FC1C85">
              <w:rPr>
                <w:rFonts w:cs="Arial"/>
                <w:sz w:val="20"/>
              </w:rPr>
              <w:t>5.</w:t>
            </w:r>
            <w:r>
              <w:rPr>
                <w:rFonts w:cs="Arial"/>
                <w:sz w:val="20"/>
              </w:rPr>
              <w:t xml:space="preserve"> </w:t>
            </w:r>
            <w:r w:rsidRPr="00FC1C85">
              <w:rPr>
                <w:rFonts w:cs="Arial"/>
                <w:sz w:val="20"/>
              </w:rPr>
              <w:t>Členský stát se může rozhodnout neuplatňovat toto nařízení na převody peněžních prostředků na svém území na platební účet příjemce umožňující výhradně platby za dodání zboží nebo poskytnutí služeb, pokud jsou splněny všechny tyto podmínky: a) na poskytovatele platebních služeb příjemce se vztahuje směrnice (EU) 2015/849; b) poskytovatel platebních služeb příjemce je schopen pomocí jedinečného identifikátoru transakce vysledovat skrze příjemce převod peněžních prostředků od osoby, která má s příjemcem smlouvu o dodání zboží nebo poskytnutí služeb; c) hodnota převáděných peněžních prostředků nepřesahuje 1 000 EUR.</w:t>
            </w:r>
          </w:p>
        </w:tc>
      </w:tr>
      <w:tr w:rsidR="00D64050" w:rsidRPr="00E20AE9" w:rsidTr="00D64050">
        <w:trPr>
          <w:trHeight w:val="141"/>
        </w:trPr>
        <w:tc>
          <w:tcPr>
            <w:tcW w:w="1629" w:type="dxa"/>
            <w:tcBorders>
              <w:top w:val="single" w:sz="4" w:space="0" w:color="auto"/>
              <w:bottom w:val="dashSmallGap" w:sz="4" w:space="0" w:color="4F81BD" w:themeColor="accent1"/>
            </w:tcBorders>
          </w:tcPr>
          <w:p w:rsidR="00D64050" w:rsidRDefault="00D64050" w:rsidP="00C62B29">
            <w:pPr>
              <w:tabs>
                <w:tab w:val="left" w:pos="360"/>
              </w:tabs>
              <w:rPr>
                <w:rFonts w:cs="Arial"/>
                <w:sz w:val="20"/>
              </w:rPr>
            </w:pPr>
            <w:r>
              <w:rPr>
                <w:rFonts w:cs="Arial"/>
                <w:sz w:val="20"/>
              </w:rPr>
              <w:t>§ 15</w:t>
            </w:r>
          </w:p>
        </w:tc>
        <w:tc>
          <w:tcPr>
            <w:tcW w:w="4447" w:type="dxa"/>
            <w:tcBorders>
              <w:top w:val="single" w:sz="4" w:space="0" w:color="auto"/>
              <w:bottom w:val="dashSmallGap" w:sz="4" w:space="0" w:color="4F81BD" w:themeColor="accent1"/>
            </w:tcBorders>
          </w:tcPr>
          <w:p w:rsidR="007E12B1" w:rsidRPr="007E12B1" w:rsidRDefault="00176EE0" w:rsidP="007E12B1">
            <w:pPr>
              <w:tabs>
                <w:tab w:val="left" w:pos="360"/>
              </w:tabs>
              <w:rPr>
                <w:rFonts w:cs="Arial"/>
                <w:sz w:val="20"/>
              </w:rPr>
            </w:pPr>
            <w:r w:rsidRPr="00176EE0">
              <w:rPr>
                <w:rFonts w:cs="Arial"/>
                <w:sz w:val="20"/>
              </w:rPr>
              <w:t>(</w:t>
            </w:r>
            <w:r w:rsidR="007E12B1" w:rsidRPr="007E12B1">
              <w:rPr>
                <w:rFonts w:cs="Arial"/>
                <w:sz w:val="20"/>
              </w:rPr>
              <w:t xml:space="preserve">(1) Povinná osoba odmítne uskutečnění obchodu nebo navázání obchodního vztahu anebo ukončí obchodní vztah v případě, že je dána identifikační povinnost podle § 7 odst. 1 nebo 2 a </w:t>
            </w:r>
          </w:p>
          <w:p w:rsidR="007E12B1" w:rsidRPr="007E12B1" w:rsidRDefault="007E12B1" w:rsidP="007E12B1">
            <w:pPr>
              <w:tabs>
                <w:tab w:val="left" w:pos="360"/>
              </w:tabs>
              <w:rPr>
                <w:rFonts w:cs="Arial"/>
                <w:sz w:val="20"/>
              </w:rPr>
            </w:pPr>
            <w:r w:rsidRPr="007E12B1">
              <w:rPr>
                <w:rFonts w:cs="Arial"/>
                <w:sz w:val="20"/>
              </w:rPr>
              <w:t>a)</w:t>
            </w:r>
            <w:r w:rsidRPr="007E12B1">
              <w:rPr>
                <w:rFonts w:cs="Arial"/>
                <w:sz w:val="20"/>
              </w:rPr>
              <w:tab/>
              <w:t xml:space="preserve">klient </w:t>
            </w:r>
          </w:p>
          <w:p w:rsidR="007E12B1" w:rsidRPr="007E12B1" w:rsidRDefault="007E12B1" w:rsidP="007E12B1">
            <w:pPr>
              <w:tabs>
                <w:tab w:val="left" w:pos="360"/>
              </w:tabs>
              <w:rPr>
                <w:rFonts w:cs="Arial"/>
                <w:sz w:val="20"/>
              </w:rPr>
            </w:pPr>
            <w:r w:rsidRPr="007E12B1">
              <w:rPr>
                <w:rFonts w:cs="Arial"/>
                <w:sz w:val="20"/>
              </w:rPr>
              <w:t>1.</w:t>
            </w:r>
            <w:r w:rsidRPr="007E12B1">
              <w:rPr>
                <w:rFonts w:cs="Arial"/>
                <w:sz w:val="20"/>
              </w:rPr>
              <w:tab/>
              <w:t>se odmítne podrobit identifikaci,</w:t>
            </w:r>
          </w:p>
          <w:p w:rsidR="007E12B1" w:rsidRPr="007E12B1" w:rsidRDefault="007E12B1" w:rsidP="007E12B1">
            <w:pPr>
              <w:tabs>
                <w:tab w:val="left" w:pos="360"/>
              </w:tabs>
              <w:rPr>
                <w:rFonts w:cs="Arial"/>
                <w:sz w:val="20"/>
              </w:rPr>
            </w:pPr>
            <w:r w:rsidRPr="007E12B1">
              <w:rPr>
                <w:rFonts w:cs="Arial"/>
                <w:sz w:val="20"/>
              </w:rPr>
              <w:t>2.</w:t>
            </w:r>
            <w:r w:rsidRPr="007E12B1">
              <w:rPr>
                <w:rFonts w:cs="Arial"/>
                <w:sz w:val="20"/>
              </w:rPr>
              <w:tab/>
              <w:t>odmítne doložit plnou moc podle § 8 odst. 4, nebo</w:t>
            </w:r>
          </w:p>
          <w:p w:rsidR="007E12B1" w:rsidRPr="007E12B1" w:rsidRDefault="007E12B1" w:rsidP="007E12B1">
            <w:pPr>
              <w:tabs>
                <w:tab w:val="left" w:pos="360"/>
              </w:tabs>
              <w:rPr>
                <w:rFonts w:cs="Arial"/>
                <w:sz w:val="20"/>
              </w:rPr>
            </w:pPr>
            <w:r w:rsidRPr="007E12B1">
              <w:rPr>
                <w:rFonts w:cs="Arial"/>
                <w:sz w:val="20"/>
              </w:rPr>
              <w:t>3.</w:t>
            </w:r>
            <w:r w:rsidRPr="007E12B1">
              <w:rPr>
                <w:rFonts w:cs="Arial"/>
                <w:sz w:val="20"/>
              </w:rPr>
              <w:tab/>
              <w:t xml:space="preserve">neposkytne potřebnou součinnost při kontrole podle § 9, </w:t>
            </w:r>
          </w:p>
          <w:p w:rsidR="007E12B1" w:rsidRPr="007E12B1" w:rsidRDefault="007E12B1" w:rsidP="007E12B1">
            <w:pPr>
              <w:tabs>
                <w:tab w:val="left" w:pos="360"/>
              </w:tabs>
              <w:rPr>
                <w:rFonts w:cs="Arial"/>
                <w:sz w:val="20"/>
              </w:rPr>
            </w:pPr>
            <w:r w:rsidRPr="007E12B1">
              <w:rPr>
                <w:rFonts w:cs="Arial"/>
                <w:sz w:val="20"/>
              </w:rPr>
              <w:t>b)</w:t>
            </w:r>
            <w:r w:rsidRPr="007E12B1">
              <w:rPr>
                <w:rFonts w:cs="Arial"/>
                <w:sz w:val="20"/>
              </w:rPr>
              <w:tab/>
              <w:t xml:space="preserve">z jiného důvodu nelze provést identifikaci anebo kontrolu klienta, nebo </w:t>
            </w:r>
          </w:p>
          <w:p w:rsidR="007E12B1" w:rsidRPr="007E12B1" w:rsidRDefault="007E12B1" w:rsidP="007E12B1">
            <w:pPr>
              <w:tabs>
                <w:tab w:val="left" w:pos="360"/>
              </w:tabs>
              <w:rPr>
                <w:rFonts w:cs="Arial"/>
                <w:sz w:val="20"/>
              </w:rPr>
            </w:pPr>
            <w:r w:rsidRPr="007E12B1">
              <w:rPr>
                <w:rFonts w:cs="Arial"/>
                <w:sz w:val="20"/>
              </w:rPr>
              <w:lastRenderedPageBreak/>
              <w:t>c)</w:t>
            </w:r>
            <w:r w:rsidRPr="007E12B1">
              <w:rPr>
                <w:rFonts w:cs="Arial"/>
                <w:sz w:val="20"/>
              </w:rPr>
              <w:tab/>
              <w:t>má-li osoba provádějící identifikaci nebo kontrolu pochybnosti o pravdivosti informací poskytnutých klientem nebo o pravosti předložených dokladů.</w:t>
            </w:r>
          </w:p>
          <w:p w:rsidR="007E12B1" w:rsidRPr="007E12B1" w:rsidRDefault="007E12B1" w:rsidP="007E12B1">
            <w:pPr>
              <w:tabs>
                <w:tab w:val="left" w:pos="360"/>
              </w:tabs>
              <w:rPr>
                <w:rFonts w:cs="Arial"/>
                <w:sz w:val="20"/>
              </w:rPr>
            </w:pPr>
            <w:r w:rsidRPr="007E12B1">
              <w:rPr>
                <w:rFonts w:cs="Arial"/>
                <w:sz w:val="20"/>
              </w:rPr>
              <w:t xml:space="preserve">(2) Povinná osoba neuskuteční obchod s politicky exponovanou osobou, a to ani v rámci obchodního vztahu, pokud jí není znám původ majetku užitého v obchodu. </w:t>
            </w:r>
          </w:p>
          <w:p w:rsidR="00D64050" w:rsidRPr="00D64050" w:rsidRDefault="007E12B1" w:rsidP="00C576E0">
            <w:pPr>
              <w:tabs>
                <w:tab w:val="left" w:pos="360"/>
              </w:tabs>
              <w:rPr>
                <w:rFonts w:cs="Arial"/>
                <w:sz w:val="20"/>
              </w:rPr>
            </w:pPr>
            <w:r w:rsidRPr="007E12B1">
              <w:rPr>
                <w:rFonts w:cs="Arial"/>
                <w:sz w:val="20"/>
              </w:rPr>
              <w:t xml:space="preserve">(3) K obchodnímu vztahu s politicky exponovanou osobou je třeba souhlas statutárního orgánu nebo jím určené osoby s řídící pravomocí v oblasti opatření proti legalizaci výnosů z trestné činnosti a financování terorismu. </w:t>
            </w:r>
          </w:p>
        </w:tc>
        <w:tc>
          <w:tcPr>
            <w:tcW w:w="1412" w:type="dxa"/>
            <w:tcBorders>
              <w:top w:val="single" w:sz="4" w:space="0" w:color="auto"/>
              <w:bottom w:val="dashSmallGap" w:sz="4" w:space="0" w:color="4F81BD" w:themeColor="accent1"/>
            </w:tcBorders>
          </w:tcPr>
          <w:p w:rsidR="00D64050" w:rsidRPr="00E20AE9" w:rsidRDefault="00C62B29" w:rsidP="00C62B29">
            <w:pPr>
              <w:tabs>
                <w:tab w:val="left" w:pos="360"/>
              </w:tabs>
              <w:rPr>
                <w:rFonts w:cs="Arial"/>
                <w:sz w:val="20"/>
              </w:rPr>
            </w:pPr>
            <w:r>
              <w:rPr>
                <w:rFonts w:cs="Arial"/>
                <w:sz w:val="20"/>
              </w:rPr>
              <w:lastRenderedPageBreak/>
              <w:t>32015L0849</w:t>
            </w:r>
          </w:p>
        </w:tc>
        <w:tc>
          <w:tcPr>
            <w:tcW w:w="1418" w:type="dxa"/>
            <w:tcBorders>
              <w:top w:val="single" w:sz="4" w:space="0" w:color="auto"/>
              <w:bottom w:val="dashSmallGap" w:sz="4" w:space="0" w:color="4F81BD" w:themeColor="accent1"/>
            </w:tcBorders>
            <w:shd w:val="clear" w:color="auto" w:fill="auto"/>
          </w:tcPr>
          <w:p w:rsidR="00D64050" w:rsidRPr="00D64050" w:rsidRDefault="00D64050" w:rsidP="00D64050">
            <w:pPr>
              <w:tabs>
                <w:tab w:val="left" w:pos="360"/>
              </w:tabs>
              <w:rPr>
                <w:rFonts w:cs="Arial"/>
                <w:sz w:val="20"/>
              </w:rPr>
            </w:pPr>
            <w:r>
              <w:rPr>
                <w:rFonts w:cs="Arial"/>
                <w:sz w:val="20"/>
              </w:rPr>
              <w:t>čl. 14 odst. 4</w:t>
            </w:r>
          </w:p>
        </w:tc>
        <w:tc>
          <w:tcPr>
            <w:tcW w:w="5103" w:type="dxa"/>
            <w:tcBorders>
              <w:top w:val="single" w:sz="4" w:space="0" w:color="auto"/>
              <w:bottom w:val="dashSmallGap" w:sz="4" w:space="0" w:color="4F81BD" w:themeColor="accent1"/>
            </w:tcBorders>
            <w:shd w:val="clear" w:color="auto" w:fill="auto"/>
          </w:tcPr>
          <w:p w:rsidR="00D64050" w:rsidRPr="00D64050" w:rsidRDefault="00D64050" w:rsidP="00D64050">
            <w:pPr>
              <w:tabs>
                <w:tab w:val="left" w:pos="360"/>
              </w:tabs>
              <w:rPr>
                <w:rFonts w:cs="Arial"/>
                <w:sz w:val="20"/>
              </w:rPr>
            </w:pPr>
            <w:r w:rsidRPr="00D64050">
              <w:rPr>
                <w:rFonts w:cs="Arial"/>
                <w:sz w:val="20"/>
              </w:rPr>
              <w:t>4. Členské státy vyžadují, aby povinná osoba v případě, že není schopna splnit požadavky na hloubkovou kontrolu klienta podle čl. 13 odst. 1 prvního pododstavce písm. a), b) nebo c), neprovedla transakci prostřednictvím bankovního účtu, nenavázala obchodní vztah ani neuskutečnila transakci a aby ukončila obchodní vztah a zvážila podání oznámení podezřelé transakce finanční zpravodajské jednotce ve vztahu ke klientovi podle článku 33.</w:t>
            </w:r>
          </w:p>
        </w:tc>
      </w:tr>
      <w:tr w:rsidR="00D64050" w:rsidRPr="00E20AE9" w:rsidTr="00D64050">
        <w:trPr>
          <w:trHeight w:val="141"/>
        </w:trPr>
        <w:tc>
          <w:tcPr>
            <w:tcW w:w="1629" w:type="dxa"/>
            <w:tcBorders>
              <w:top w:val="dashSmallGap" w:sz="4" w:space="0" w:color="4F81BD" w:themeColor="accent1"/>
              <w:bottom w:val="single" w:sz="4" w:space="0" w:color="auto"/>
            </w:tcBorders>
          </w:tcPr>
          <w:p w:rsidR="00D64050" w:rsidRDefault="00D64050" w:rsidP="00C62B29">
            <w:pPr>
              <w:tabs>
                <w:tab w:val="left" w:pos="360"/>
              </w:tabs>
              <w:rPr>
                <w:rFonts w:cs="Arial"/>
                <w:sz w:val="20"/>
              </w:rPr>
            </w:pPr>
          </w:p>
        </w:tc>
        <w:tc>
          <w:tcPr>
            <w:tcW w:w="4447" w:type="dxa"/>
            <w:tcBorders>
              <w:top w:val="dashSmallGap" w:sz="4" w:space="0" w:color="4F81BD" w:themeColor="accent1"/>
              <w:bottom w:val="single" w:sz="4" w:space="0" w:color="auto"/>
            </w:tcBorders>
          </w:tcPr>
          <w:p w:rsidR="00D64050" w:rsidRPr="00D64050" w:rsidRDefault="00D64050" w:rsidP="00D64050">
            <w:pPr>
              <w:tabs>
                <w:tab w:val="left" w:pos="360"/>
              </w:tabs>
              <w:rPr>
                <w:rFonts w:cs="Arial"/>
                <w:sz w:val="20"/>
              </w:rPr>
            </w:pPr>
          </w:p>
        </w:tc>
        <w:tc>
          <w:tcPr>
            <w:tcW w:w="1412" w:type="dxa"/>
            <w:tcBorders>
              <w:top w:val="dashSmallGap" w:sz="4" w:space="0" w:color="4F81BD" w:themeColor="accent1"/>
              <w:bottom w:val="single" w:sz="4" w:space="0" w:color="auto"/>
            </w:tcBorders>
          </w:tcPr>
          <w:p w:rsidR="00D64050" w:rsidRPr="00E20AE9" w:rsidRDefault="00D64050" w:rsidP="00C62B29">
            <w:pPr>
              <w:tabs>
                <w:tab w:val="left" w:pos="360"/>
              </w:tabs>
              <w:rPr>
                <w:rFonts w:cs="Arial"/>
                <w:sz w:val="20"/>
              </w:rPr>
            </w:pPr>
          </w:p>
        </w:tc>
        <w:tc>
          <w:tcPr>
            <w:tcW w:w="1418" w:type="dxa"/>
            <w:tcBorders>
              <w:top w:val="dashSmallGap" w:sz="4" w:space="0" w:color="4F81BD" w:themeColor="accent1"/>
              <w:bottom w:val="single" w:sz="4" w:space="0" w:color="auto"/>
            </w:tcBorders>
            <w:shd w:val="clear" w:color="auto" w:fill="auto"/>
          </w:tcPr>
          <w:p w:rsidR="00D64050" w:rsidRDefault="00D64050" w:rsidP="00D64050">
            <w:pPr>
              <w:tabs>
                <w:tab w:val="left" w:pos="360"/>
              </w:tabs>
              <w:rPr>
                <w:rFonts w:cs="Arial"/>
                <w:sz w:val="20"/>
              </w:rPr>
            </w:pPr>
            <w:r>
              <w:rPr>
                <w:rFonts w:cs="Arial"/>
                <w:sz w:val="20"/>
              </w:rPr>
              <w:t>čl. 20</w:t>
            </w:r>
          </w:p>
        </w:tc>
        <w:tc>
          <w:tcPr>
            <w:tcW w:w="5103" w:type="dxa"/>
            <w:tcBorders>
              <w:top w:val="dashSmallGap" w:sz="4" w:space="0" w:color="4F81BD" w:themeColor="accent1"/>
              <w:bottom w:val="single" w:sz="4" w:space="0" w:color="auto"/>
            </w:tcBorders>
            <w:shd w:val="clear" w:color="auto" w:fill="auto"/>
          </w:tcPr>
          <w:p w:rsidR="00D64050" w:rsidRPr="00D64050" w:rsidRDefault="00D64050" w:rsidP="00D64050">
            <w:pPr>
              <w:tabs>
                <w:tab w:val="left" w:pos="360"/>
              </w:tabs>
              <w:rPr>
                <w:rFonts w:cs="Arial"/>
                <w:sz w:val="20"/>
              </w:rPr>
            </w:pPr>
            <w:r w:rsidRPr="00D64050">
              <w:rPr>
                <w:rFonts w:cs="Arial"/>
                <w:sz w:val="20"/>
              </w:rPr>
              <w:t>Pokud jde o transakce nebo obchodní vztahy s politicky exponovanými osobami, členské státy kromě opatření hloubkové kontroly klienta stanovených v článku 13 po povinných osobách vyžadují, aby:</w:t>
            </w:r>
          </w:p>
          <w:p w:rsidR="00D64050" w:rsidRPr="00D64050" w:rsidRDefault="00D64050" w:rsidP="00D64050">
            <w:pPr>
              <w:tabs>
                <w:tab w:val="left" w:pos="360"/>
              </w:tabs>
              <w:rPr>
                <w:rFonts w:cs="Arial"/>
                <w:sz w:val="20"/>
              </w:rPr>
            </w:pPr>
            <w:r w:rsidRPr="00D64050">
              <w:rPr>
                <w:rFonts w:cs="Arial"/>
                <w:sz w:val="20"/>
              </w:rPr>
              <w:t>a) měly zavedeny náležité systémy řízení rizik včetně postupů založených na posouzení rizik ke zjištění, zda klient nebo skutečný majitel klienta je politicky exponovanou osobou;</w:t>
            </w:r>
          </w:p>
          <w:p w:rsidR="00D64050" w:rsidRPr="00D64050" w:rsidRDefault="00D64050" w:rsidP="00D64050">
            <w:pPr>
              <w:tabs>
                <w:tab w:val="left" w:pos="360"/>
              </w:tabs>
              <w:rPr>
                <w:rFonts w:cs="Arial"/>
                <w:sz w:val="20"/>
              </w:rPr>
            </w:pPr>
            <w:r w:rsidRPr="00D64050">
              <w:rPr>
                <w:rFonts w:cs="Arial"/>
                <w:sz w:val="20"/>
              </w:rPr>
              <w:t>b) v případě obchodních vztahů s politicky exponovanými osobami uplatňovaly tato opatření:</w:t>
            </w:r>
          </w:p>
          <w:p w:rsidR="00D64050" w:rsidRPr="00D64050" w:rsidRDefault="00D64050" w:rsidP="00D64050">
            <w:pPr>
              <w:tabs>
                <w:tab w:val="left" w:pos="360"/>
              </w:tabs>
              <w:rPr>
                <w:rFonts w:cs="Arial"/>
                <w:sz w:val="20"/>
              </w:rPr>
            </w:pPr>
            <w:r w:rsidRPr="00D64050">
              <w:rPr>
                <w:rFonts w:cs="Arial"/>
                <w:sz w:val="20"/>
              </w:rPr>
              <w:t>i) získaly souhlas vrcholného vedení k navázání nebo rozvoji obchodních vztahů s takovými osobami;</w:t>
            </w:r>
          </w:p>
          <w:p w:rsidR="00D64050" w:rsidRPr="00D64050" w:rsidRDefault="00D64050" w:rsidP="00D64050">
            <w:pPr>
              <w:tabs>
                <w:tab w:val="left" w:pos="360"/>
              </w:tabs>
              <w:rPr>
                <w:rFonts w:cs="Arial"/>
                <w:sz w:val="20"/>
              </w:rPr>
            </w:pPr>
            <w:proofErr w:type="spellStart"/>
            <w:r w:rsidRPr="00D64050">
              <w:rPr>
                <w:rFonts w:cs="Arial"/>
                <w:sz w:val="20"/>
              </w:rPr>
              <w:t>ii</w:t>
            </w:r>
            <w:proofErr w:type="spellEnd"/>
            <w:r w:rsidRPr="00D64050">
              <w:rPr>
                <w:rFonts w:cs="Arial"/>
                <w:sz w:val="20"/>
              </w:rPr>
              <w:t>) přijaly přiměřená opatření s cílem zjistit zdroj majetku a zdroj finančních prostředků, které figurují v obchodních vztazích nebo transakcích s takovými osobami;</w:t>
            </w:r>
          </w:p>
          <w:p w:rsidR="00D64050" w:rsidRPr="00D64050" w:rsidRDefault="00D64050" w:rsidP="00D64050">
            <w:pPr>
              <w:tabs>
                <w:tab w:val="left" w:pos="360"/>
              </w:tabs>
              <w:rPr>
                <w:rFonts w:cs="Arial"/>
                <w:sz w:val="20"/>
              </w:rPr>
            </w:pPr>
            <w:proofErr w:type="spellStart"/>
            <w:r w:rsidRPr="00D64050">
              <w:rPr>
                <w:rFonts w:cs="Arial"/>
                <w:sz w:val="20"/>
              </w:rPr>
              <w:t>iii</w:t>
            </w:r>
            <w:proofErr w:type="spellEnd"/>
            <w:r w:rsidRPr="00D64050">
              <w:rPr>
                <w:rFonts w:cs="Arial"/>
                <w:sz w:val="20"/>
              </w:rPr>
              <w:t>) prováděly zesílené průběžné sledování těchto obchodních vztahů.</w:t>
            </w:r>
          </w:p>
        </w:tc>
      </w:tr>
      <w:tr w:rsidR="00D64050" w:rsidRPr="00E20AE9" w:rsidTr="000C519F">
        <w:trPr>
          <w:trHeight w:val="141"/>
        </w:trPr>
        <w:tc>
          <w:tcPr>
            <w:tcW w:w="1629" w:type="dxa"/>
            <w:tcBorders>
              <w:top w:val="single" w:sz="4" w:space="0" w:color="auto"/>
              <w:bottom w:val="single" w:sz="4" w:space="0" w:color="auto"/>
            </w:tcBorders>
          </w:tcPr>
          <w:p w:rsidR="00D64050" w:rsidRDefault="00D64050" w:rsidP="00C62B29">
            <w:pPr>
              <w:tabs>
                <w:tab w:val="left" w:pos="360"/>
              </w:tabs>
              <w:rPr>
                <w:rFonts w:cs="Arial"/>
                <w:sz w:val="20"/>
              </w:rPr>
            </w:pPr>
            <w:r>
              <w:rPr>
                <w:rFonts w:cs="Arial"/>
                <w:sz w:val="20"/>
              </w:rPr>
              <w:t>§ 21 odst. 1 a 2</w:t>
            </w:r>
          </w:p>
        </w:tc>
        <w:tc>
          <w:tcPr>
            <w:tcW w:w="4447" w:type="dxa"/>
            <w:tcBorders>
              <w:top w:val="single" w:sz="4" w:space="0" w:color="auto"/>
              <w:bottom w:val="single" w:sz="4" w:space="0" w:color="auto"/>
            </w:tcBorders>
          </w:tcPr>
          <w:p w:rsidR="00C576E0" w:rsidRPr="00C576E0" w:rsidRDefault="00C576E0" w:rsidP="00C576E0">
            <w:pPr>
              <w:tabs>
                <w:tab w:val="left" w:pos="360"/>
              </w:tabs>
              <w:rPr>
                <w:rFonts w:cs="Arial"/>
                <w:sz w:val="20"/>
              </w:rPr>
            </w:pPr>
            <w:r w:rsidRPr="00C576E0">
              <w:rPr>
                <w:rFonts w:cs="Arial"/>
                <w:sz w:val="20"/>
              </w:rPr>
              <w:t>(1) Povinná osoba zavede a uplatňuje odpovídající strategie a postupy vnitřní kontroly a komunikace ke zmírňování a účinnému řízení rizik legalizace výnosů z trestné činnosti a financování terorismu identifikovaných v hodnocení rizik podle § 21a odst. 2 a k naplnění dalších povinností stanovených tímto zákonem.</w:t>
            </w:r>
          </w:p>
          <w:p w:rsidR="00D64050" w:rsidRPr="00D64050" w:rsidRDefault="00C576E0" w:rsidP="00C576E0">
            <w:pPr>
              <w:tabs>
                <w:tab w:val="left" w:pos="360"/>
              </w:tabs>
              <w:rPr>
                <w:rFonts w:cs="Arial"/>
                <w:sz w:val="20"/>
              </w:rPr>
            </w:pPr>
            <w:r w:rsidRPr="00C576E0">
              <w:rPr>
                <w:rFonts w:cs="Arial"/>
                <w:sz w:val="20"/>
              </w:rPr>
              <w:t xml:space="preserve">(2) Povinná osoba uvedená v § 2 odst. 1 písm. a) až d) a h) vypracuje ve lhůtě do 60 dnů ode dne, </w:t>
            </w:r>
            <w:r w:rsidRPr="00C576E0">
              <w:rPr>
                <w:rFonts w:cs="Arial"/>
                <w:sz w:val="20"/>
              </w:rPr>
              <w:lastRenderedPageBreak/>
              <w:t>kdy se stala povinnou osobou, na základě hodnocení rizik podle § 21a a v rozsahu, ve kterém provádí činnosti podléhající působnosti tohoto zákona, písemně systém vnitřních zásad, postupů a kontrolních opatření k naplnění povinností stanovených tímto zákonem (dále jen „systém vnitřních zásad“). Součástí písemného systému vnitřních zásad je i písemné hodnocení rizik podle § 21a odst. 2. Systém vnitřních zásad včetně hodnocení rizik schvaluje statutární orgán povinné osoby.“.</w:t>
            </w:r>
          </w:p>
        </w:tc>
        <w:tc>
          <w:tcPr>
            <w:tcW w:w="1412" w:type="dxa"/>
            <w:tcBorders>
              <w:top w:val="single" w:sz="4" w:space="0" w:color="auto"/>
              <w:bottom w:val="single" w:sz="4" w:space="0" w:color="auto"/>
            </w:tcBorders>
          </w:tcPr>
          <w:p w:rsidR="00D64050" w:rsidRPr="00E20AE9" w:rsidRDefault="00C62B29" w:rsidP="00C62B29">
            <w:pPr>
              <w:tabs>
                <w:tab w:val="left" w:pos="360"/>
              </w:tabs>
              <w:rPr>
                <w:rFonts w:cs="Arial"/>
                <w:sz w:val="20"/>
              </w:rPr>
            </w:pPr>
            <w:r>
              <w:rPr>
                <w:rFonts w:cs="Arial"/>
                <w:sz w:val="20"/>
              </w:rPr>
              <w:lastRenderedPageBreak/>
              <w:t>32015L0849</w:t>
            </w:r>
          </w:p>
        </w:tc>
        <w:tc>
          <w:tcPr>
            <w:tcW w:w="1418" w:type="dxa"/>
            <w:tcBorders>
              <w:top w:val="single" w:sz="4" w:space="0" w:color="auto"/>
              <w:bottom w:val="single" w:sz="4" w:space="0" w:color="auto"/>
            </w:tcBorders>
            <w:shd w:val="clear" w:color="auto" w:fill="auto"/>
          </w:tcPr>
          <w:p w:rsidR="00D64050" w:rsidRDefault="000C519F" w:rsidP="00D64050">
            <w:pPr>
              <w:tabs>
                <w:tab w:val="left" w:pos="360"/>
              </w:tabs>
              <w:rPr>
                <w:rFonts w:cs="Arial"/>
                <w:sz w:val="20"/>
              </w:rPr>
            </w:pPr>
            <w:r>
              <w:rPr>
                <w:rFonts w:cs="Arial"/>
                <w:sz w:val="20"/>
              </w:rPr>
              <w:t>čl. 8 odst. 3 až 5</w:t>
            </w:r>
          </w:p>
        </w:tc>
        <w:tc>
          <w:tcPr>
            <w:tcW w:w="5103" w:type="dxa"/>
            <w:tcBorders>
              <w:top w:val="single" w:sz="4" w:space="0" w:color="auto"/>
              <w:bottom w:val="single" w:sz="4" w:space="0" w:color="auto"/>
            </w:tcBorders>
            <w:shd w:val="clear" w:color="auto" w:fill="auto"/>
          </w:tcPr>
          <w:p w:rsidR="000C519F" w:rsidRPr="000C519F" w:rsidRDefault="000C519F" w:rsidP="000C519F">
            <w:pPr>
              <w:tabs>
                <w:tab w:val="left" w:pos="360"/>
              </w:tabs>
              <w:rPr>
                <w:rFonts w:cs="Arial"/>
                <w:sz w:val="20"/>
              </w:rPr>
            </w:pPr>
            <w:r w:rsidRPr="000C519F">
              <w:rPr>
                <w:rFonts w:cs="Arial"/>
                <w:sz w:val="20"/>
              </w:rPr>
              <w:t>3. Členské státy zajistí, aby povinné osoby měly zavedeny strategie, kontroly a postupy ke zmírňování a účinnému řízení rizik praní peněz a financování terorismu identifikovaných na úrovni Unie, členského státu a povinné osoby. Tyto strategie, kontroly a postupy musí odpovídat povaze a velikosti povinných osob.</w:t>
            </w:r>
          </w:p>
          <w:p w:rsidR="000C519F" w:rsidRPr="000C519F" w:rsidRDefault="000C519F" w:rsidP="000C519F">
            <w:pPr>
              <w:tabs>
                <w:tab w:val="left" w:pos="360"/>
              </w:tabs>
              <w:rPr>
                <w:rFonts w:cs="Arial"/>
                <w:sz w:val="20"/>
              </w:rPr>
            </w:pPr>
            <w:r w:rsidRPr="000C519F">
              <w:rPr>
                <w:rFonts w:cs="Arial"/>
                <w:sz w:val="20"/>
              </w:rPr>
              <w:t>4. Strategie, kontroly a postupy uvedené v odstavci 3 zahrnují:</w:t>
            </w:r>
          </w:p>
          <w:p w:rsidR="000C519F" w:rsidRPr="000C519F" w:rsidRDefault="000C519F" w:rsidP="000C519F">
            <w:pPr>
              <w:tabs>
                <w:tab w:val="left" w:pos="360"/>
              </w:tabs>
              <w:rPr>
                <w:rFonts w:cs="Arial"/>
                <w:sz w:val="20"/>
              </w:rPr>
            </w:pPr>
            <w:r w:rsidRPr="000C519F">
              <w:rPr>
                <w:rFonts w:cs="Arial"/>
                <w:sz w:val="20"/>
              </w:rPr>
              <w:t xml:space="preserve">a) vypracování vnitřních strategií, kontrol a postupů, </w:t>
            </w:r>
            <w:r w:rsidRPr="000C519F">
              <w:rPr>
                <w:rFonts w:cs="Arial"/>
                <w:sz w:val="20"/>
              </w:rPr>
              <w:lastRenderedPageBreak/>
              <w:t>včetně modelových postupů řízení rizik, hloubkové kontroly klienta, oznamování, vedení záznamů, vnitřní kontroly, kontroly dodržování předpisů – včetně jmenování kontrolora dodržování předpisů na řídící úrovni, pokud je to vhodné vzhledem k rozsahu a povaze podnikání – a prověřování zaměstnanců;</w:t>
            </w:r>
          </w:p>
          <w:p w:rsidR="000C519F" w:rsidRPr="000C519F" w:rsidRDefault="000C519F" w:rsidP="000C519F">
            <w:pPr>
              <w:tabs>
                <w:tab w:val="left" w:pos="360"/>
              </w:tabs>
              <w:rPr>
                <w:rFonts w:cs="Arial"/>
                <w:sz w:val="20"/>
              </w:rPr>
            </w:pPr>
            <w:r w:rsidRPr="000C519F">
              <w:rPr>
                <w:rFonts w:cs="Arial"/>
                <w:sz w:val="20"/>
              </w:rPr>
              <w:t>b) pokud to odpovídá rozsahu a povaze podnikání, nezávislý útvar auditu pro ověřování vnitřních strategií, kontrol a postupů uvedených v písmeni a).</w:t>
            </w:r>
          </w:p>
          <w:p w:rsidR="00D64050" w:rsidRPr="00D64050" w:rsidRDefault="000C519F" w:rsidP="000C519F">
            <w:pPr>
              <w:tabs>
                <w:tab w:val="left" w:pos="360"/>
              </w:tabs>
              <w:rPr>
                <w:rFonts w:cs="Arial"/>
                <w:sz w:val="20"/>
              </w:rPr>
            </w:pPr>
            <w:r w:rsidRPr="000C519F">
              <w:rPr>
                <w:rFonts w:cs="Arial"/>
                <w:sz w:val="20"/>
              </w:rPr>
              <w:t>5. Členské státy vyžadují, aby povinné osoby získaly souhlas svého vrcholného vedení se strategiemi, kontrolami a postupy, které zavádějí, a tam, kde je to vhodné, sledovaly a posilovaly přijatá opatření.</w:t>
            </w:r>
          </w:p>
        </w:tc>
      </w:tr>
      <w:tr w:rsidR="000C519F" w:rsidRPr="00E20AE9" w:rsidTr="000C519F">
        <w:trPr>
          <w:trHeight w:val="141"/>
        </w:trPr>
        <w:tc>
          <w:tcPr>
            <w:tcW w:w="1629" w:type="dxa"/>
            <w:tcBorders>
              <w:top w:val="single" w:sz="4" w:space="0" w:color="auto"/>
              <w:bottom w:val="dashSmallGap" w:sz="4" w:space="0" w:color="4F81BD" w:themeColor="accent1"/>
            </w:tcBorders>
          </w:tcPr>
          <w:p w:rsidR="000C519F" w:rsidRDefault="000C519F" w:rsidP="00C62B29">
            <w:pPr>
              <w:tabs>
                <w:tab w:val="left" w:pos="360"/>
              </w:tabs>
              <w:rPr>
                <w:rFonts w:cs="Arial"/>
                <w:sz w:val="20"/>
              </w:rPr>
            </w:pPr>
            <w:r>
              <w:rPr>
                <w:rFonts w:cs="Arial"/>
                <w:sz w:val="20"/>
              </w:rPr>
              <w:lastRenderedPageBreak/>
              <w:t>§ 21a</w:t>
            </w:r>
          </w:p>
        </w:tc>
        <w:tc>
          <w:tcPr>
            <w:tcW w:w="4447" w:type="dxa"/>
            <w:tcBorders>
              <w:top w:val="single" w:sz="4" w:space="0" w:color="auto"/>
              <w:bottom w:val="dashSmallGap" w:sz="4" w:space="0" w:color="4F81BD" w:themeColor="accent1"/>
            </w:tcBorders>
          </w:tcPr>
          <w:p w:rsidR="000C519F" w:rsidRPr="000C519F" w:rsidRDefault="000C519F" w:rsidP="000C519F">
            <w:pPr>
              <w:tabs>
                <w:tab w:val="left" w:pos="360"/>
              </w:tabs>
              <w:rPr>
                <w:rFonts w:cs="Arial"/>
                <w:sz w:val="20"/>
              </w:rPr>
            </w:pPr>
            <w:r w:rsidRPr="000C519F">
              <w:rPr>
                <w:rFonts w:cs="Arial"/>
                <w:sz w:val="20"/>
              </w:rPr>
              <w:t>Hodnocení rizik</w:t>
            </w:r>
          </w:p>
          <w:p w:rsidR="00C576E0" w:rsidRPr="00C576E0" w:rsidRDefault="00C576E0" w:rsidP="00C576E0">
            <w:pPr>
              <w:tabs>
                <w:tab w:val="left" w:pos="360"/>
              </w:tabs>
              <w:rPr>
                <w:rFonts w:cs="Arial"/>
                <w:sz w:val="20"/>
              </w:rPr>
            </w:pPr>
            <w:r w:rsidRPr="00C576E0">
              <w:rPr>
                <w:rFonts w:cs="Arial"/>
                <w:sz w:val="20"/>
              </w:rPr>
              <w:t>(1) Povinná osoba identifikuje a posoudí rizika legalizace výnosů z trestné činnosti a financování terorismu, která mohou nastat v rámci její činnosti podléhající působnosti tohoto zákona.</w:t>
            </w:r>
          </w:p>
          <w:p w:rsidR="00C576E0" w:rsidRPr="00C576E0" w:rsidRDefault="00C576E0" w:rsidP="00C576E0">
            <w:pPr>
              <w:tabs>
                <w:tab w:val="left" w:pos="360"/>
              </w:tabs>
              <w:rPr>
                <w:rFonts w:cs="Arial"/>
                <w:sz w:val="20"/>
              </w:rPr>
            </w:pPr>
            <w:r w:rsidRPr="00C576E0">
              <w:rPr>
                <w:rFonts w:cs="Arial"/>
                <w:sz w:val="20"/>
              </w:rPr>
              <w:t>(2) Povinná osoba uvedená v § 2 odst. 1 písm. a) až d) a h) vypracuje nejpozději do 60 dnů ode dne, kdy se stala povinnou osobou písemné hodnocení rizik legalizace výnosů z trestné činnosti a financování terorismu pro typy poskytovaných obchodů a obchodních vztahů, a to v rozsahu, ve kterém provádí činnosti podléhající působ</w:t>
            </w:r>
            <w:r>
              <w:rPr>
                <w:rFonts w:cs="Arial"/>
                <w:sz w:val="20"/>
              </w:rPr>
              <w:t>nosti tohoto zákona. Zohlední v </w:t>
            </w:r>
            <w:r w:rsidRPr="00C576E0">
              <w:rPr>
                <w:rFonts w:cs="Arial"/>
                <w:sz w:val="20"/>
              </w:rPr>
              <w:t>něm rizikové faktory, zejména typ klienta, účel, pravidelnost a délku trvání obchodního vztahu nebo obchodu mimo obchodní vztah, typ produktu, hodnotu a způsob uskutečnění obchodu a rizikovost z</w:t>
            </w:r>
            <w:r>
              <w:rPr>
                <w:rFonts w:cs="Arial"/>
                <w:sz w:val="20"/>
              </w:rPr>
              <w:t>emí nebo zeměpisných oblastí, k </w:t>
            </w:r>
            <w:r w:rsidRPr="00C576E0">
              <w:rPr>
                <w:rFonts w:cs="Arial"/>
                <w:sz w:val="20"/>
              </w:rPr>
              <w:t xml:space="preserve">nimž se obchody vztahují. </w:t>
            </w:r>
          </w:p>
          <w:p w:rsidR="00C576E0" w:rsidRPr="00C576E0" w:rsidRDefault="00C576E0" w:rsidP="00C576E0">
            <w:pPr>
              <w:tabs>
                <w:tab w:val="left" w:pos="360"/>
              </w:tabs>
              <w:rPr>
                <w:rFonts w:cs="Arial"/>
                <w:sz w:val="20"/>
              </w:rPr>
            </w:pPr>
            <w:r w:rsidRPr="00C576E0">
              <w:rPr>
                <w:rFonts w:cs="Arial"/>
                <w:sz w:val="20"/>
              </w:rPr>
              <w:t xml:space="preserve">(3) Součástí hodnocení rizik podle odstavců 1 a 2 jsou i opatření pro vnitřní kontrolu a prověřování zaměstnanců povinné osoby a podle rozsahu a povahy činností povinné osoby i zřízení specializované vnitřní kontroly nebo auditu. </w:t>
            </w:r>
          </w:p>
          <w:p w:rsidR="00C576E0" w:rsidRPr="00C576E0" w:rsidRDefault="00C576E0" w:rsidP="00C576E0">
            <w:pPr>
              <w:tabs>
                <w:tab w:val="left" w:pos="360"/>
              </w:tabs>
              <w:rPr>
                <w:rFonts w:cs="Arial"/>
                <w:sz w:val="20"/>
              </w:rPr>
            </w:pPr>
            <w:r w:rsidRPr="00C576E0">
              <w:rPr>
                <w:rFonts w:cs="Arial"/>
                <w:sz w:val="20"/>
              </w:rPr>
              <w:t xml:space="preserve">(4) Povinná osoba hodnocení rizik podle odstavce 2 pravidelně aktualizuje, a to zejména před </w:t>
            </w:r>
            <w:r w:rsidRPr="00C576E0">
              <w:rPr>
                <w:rFonts w:cs="Arial"/>
                <w:sz w:val="20"/>
              </w:rPr>
              <w:lastRenderedPageBreak/>
              <w:t>zahájením poskytování nových produktů.</w:t>
            </w:r>
          </w:p>
          <w:p w:rsidR="000C519F" w:rsidRPr="00D64050" w:rsidRDefault="00C576E0" w:rsidP="00C576E0">
            <w:pPr>
              <w:tabs>
                <w:tab w:val="left" w:pos="360"/>
              </w:tabs>
              <w:rPr>
                <w:rFonts w:cs="Arial"/>
                <w:sz w:val="20"/>
              </w:rPr>
            </w:pPr>
            <w:r w:rsidRPr="00C576E0">
              <w:rPr>
                <w:rFonts w:cs="Arial"/>
                <w:sz w:val="20"/>
              </w:rPr>
              <w:t>(5) Povinné osoby, které jsou součástí skupiny, uplatňují skupinové strategie a postupy pro boj proti legalizaci výnosů z trestné činnosti a financování terorismu, včetně postupů ochrany údajů v rozsahu, který právo třetího státu umožňuje, a strategií a postupů pro sdílení informací v rámci skupiny. Uvedené strategie a postupy se rovněž uplatňují v pobočkách a dceřiných společnostech v jiných členských státech a třetích zemích.</w:t>
            </w:r>
          </w:p>
        </w:tc>
        <w:tc>
          <w:tcPr>
            <w:tcW w:w="1412" w:type="dxa"/>
            <w:tcBorders>
              <w:top w:val="single" w:sz="4" w:space="0" w:color="auto"/>
              <w:bottom w:val="dashSmallGap" w:sz="4" w:space="0" w:color="4F81BD" w:themeColor="accent1"/>
            </w:tcBorders>
          </w:tcPr>
          <w:p w:rsidR="000C519F" w:rsidRPr="00E20AE9" w:rsidRDefault="00C62B29" w:rsidP="00C62B29">
            <w:pPr>
              <w:tabs>
                <w:tab w:val="left" w:pos="360"/>
              </w:tabs>
              <w:rPr>
                <w:rFonts w:cs="Arial"/>
                <w:sz w:val="20"/>
              </w:rPr>
            </w:pPr>
            <w:r>
              <w:rPr>
                <w:rFonts w:cs="Arial"/>
                <w:sz w:val="20"/>
              </w:rPr>
              <w:lastRenderedPageBreak/>
              <w:t>32015L0849</w:t>
            </w:r>
          </w:p>
        </w:tc>
        <w:tc>
          <w:tcPr>
            <w:tcW w:w="1418" w:type="dxa"/>
            <w:tcBorders>
              <w:top w:val="single" w:sz="4" w:space="0" w:color="auto"/>
              <w:bottom w:val="dashSmallGap" w:sz="4" w:space="0" w:color="4F81BD" w:themeColor="accent1"/>
            </w:tcBorders>
            <w:shd w:val="clear" w:color="auto" w:fill="auto"/>
          </w:tcPr>
          <w:p w:rsidR="000C519F" w:rsidRDefault="000C519F" w:rsidP="00D64050">
            <w:pPr>
              <w:tabs>
                <w:tab w:val="left" w:pos="360"/>
              </w:tabs>
              <w:rPr>
                <w:rFonts w:cs="Arial"/>
                <w:sz w:val="20"/>
              </w:rPr>
            </w:pPr>
            <w:r>
              <w:rPr>
                <w:rFonts w:cs="Arial"/>
                <w:sz w:val="20"/>
              </w:rPr>
              <w:t>čl. 8</w:t>
            </w:r>
          </w:p>
        </w:tc>
        <w:tc>
          <w:tcPr>
            <w:tcW w:w="5103" w:type="dxa"/>
            <w:tcBorders>
              <w:top w:val="single" w:sz="4" w:space="0" w:color="auto"/>
              <w:bottom w:val="dashSmallGap" w:sz="4" w:space="0" w:color="4F81BD" w:themeColor="accent1"/>
            </w:tcBorders>
            <w:shd w:val="clear" w:color="auto" w:fill="auto"/>
          </w:tcPr>
          <w:p w:rsidR="000C519F" w:rsidRPr="000C519F" w:rsidRDefault="000C519F" w:rsidP="000C519F">
            <w:pPr>
              <w:tabs>
                <w:tab w:val="left" w:pos="360"/>
              </w:tabs>
              <w:rPr>
                <w:rFonts w:cs="Arial"/>
                <w:sz w:val="20"/>
              </w:rPr>
            </w:pPr>
            <w:r w:rsidRPr="000C519F">
              <w:rPr>
                <w:rFonts w:cs="Arial"/>
                <w:sz w:val="20"/>
              </w:rPr>
              <w:t>Členské státy zajistí, aby povinné osoby podnikly vhodné kroky k identifikaci a posouzení rizik praní peněz a financování terorismu s přihlédnutím k rizikovým faktorům, jako jsou faktory týkající se jejich klientů, zemí nebo zeměpisných oblastí, produktů, služeb, transakcí nebo distribučních kanálů. Tyto kroky musí odpovídat povaze a velikosti povinných osob.</w:t>
            </w:r>
          </w:p>
          <w:p w:rsidR="000C519F" w:rsidRPr="000C519F" w:rsidRDefault="000C519F" w:rsidP="000C519F">
            <w:pPr>
              <w:tabs>
                <w:tab w:val="left" w:pos="360"/>
              </w:tabs>
              <w:rPr>
                <w:rFonts w:cs="Arial"/>
                <w:sz w:val="20"/>
              </w:rPr>
            </w:pPr>
            <w:r w:rsidRPr="000C519F">
              <w:rPr>
                <w:rFonts w:cs="Arial"/>
                <w:sz w:val="20"/>
              </w:rPr>
              <w:t>2.</w:t>
            </w:r>
            <w:r w:rsidRPr="000C519F">
              <w:rPr>
                <w:rFonts w:cs="Arial"/>
                <w:sz w:val="20"/>
              </w:rPr>
              <w:tab/>
              <w:t xml:space="preserve">Posouzení rizik uvedená v odstavci 1 musí být doložena, aktualizována a k dispozici relevantním příslušným orgánům a dotčeným orgánům stavovské samosprávy. Příslušné orgány mohou rozhodnout, že se individuální doložená posouzení rizik nevyžadují, jestliže jsou zvláštní rizika v </w:t>
            </w:r>
            <w:r>
              <w:rPr>
                <w:rFonts w:cs="Arial"/>
                <w:sz w:val="20"/>
              </w:rPr>
              <w:t>daném odvětví zřetelná a známá.</w:t>
            </w:r>
          </w:p>
          <w:p w:rsidR="000C519F" w:rsidRPr="000C519F" w:rsidRDefault="000C519F" w:rsidP="000C519F">
            <w:pPr>
              <w:tabs>
                <w:tab w:val="left" w:pos="360"/>
              </w:tabs>
              <w:rPr>
                <w:rFonts w:cs="Arial"/>
                <w:sz w:val="20"/>
              </w:rPr>
            </w:pPr>
            <w:r w:rsidRPr="000C519F">
              <w:rPr>
                <w:rFonts w:cs="Arial"/>
                <w:sz w:val="20"/>
              </w:rPr>
              <w:t>3.</w:t>
            </w:r>
            <w:r w:rsidRPr="000C519F">
              <w:rPr>
                <w:rFonts w:cs="Arial"/>
                <w:sz w:val="20"/>
              </w:rPr>
              <w:tab/>
              <w:t>Členské státy zajistí, aby povinné osoby měly zavedeny strategie, kontroly a postupy ke zmírňování a účinnému řízení rizik praní peněz a financování terorismu identifikovaných na úrovni Unie, členského státu a povinné osoby. Tyto strategie, kontroly a postupy musí odpovídat povaze a velikosti povinných osob.</w:t>
            </w:r>
          </w:p>
          <w:p w:rsidR="000C519F" w:rsidRPr="000C519F" w:rsidRDefault="000C519F" w:rsidP="000C519F">
            <w:pPr>
              <w:tabs>
                <w:tab w:val="left" w:pos="360"/>
              </w:tabs>
              <w:rPr>
                <w:rFonts w:cs="Arial"/>
                <w:sz w:val="20"/>
              </w:rPr>
            </w:pPr>
            <w:r>
              <w:rPr>
                <w:rFonts w:cs="Arial"/>
                <w:sz w:val="20"/>
              </w:rPr>
              <w:t xml:space="preserve">4. </w:t>
            </w:r>
            <w:r w:rsidRPr="000C519F">
              <w:rPr>
                <w:rFonts w:cs="Arial"/>
                <w:sz w:val="20"/>
              </w:rPr>
              <w:t>Strategie, kontroly a postupy uvedené v odstavci 3 zahrnují:</w:t>
            </w:r>
          </w:p>
          <w:p w:rsidR="000C519F" w:rsidRPr="000C519F" w:rsidRDefault="000C519F" w:rsidP="000C519F">
            <w:pPr>
              <w:tabs>
                <w:tab w:val="left" w:pos="360"/>
              </w:tabs>
              <w:rPr>
                <w:rFonts w:cs="Arial"/>
                <w:sz w:val="20"/>
              </w:rPr>
            </w:pPr>
            <w:r>
              <w:rPr>
                <w:rFonts w:cs="Arial"/>
                <w:sz w:val="20"/>
              </w:rPr>
              <w:t xml:space="preserve">a) </w:t>
            </w:r>
            <w:r w:rsidRPr="000C519F">
              <w:rPr>
                <w:rFonts w:cs="Arial"/>
                <w:sz w:val="20"/>
              </w:rPr>
              <w:t xml:space="preserve">vypracování vnitřních strategií, kontrol a postupů, včetně modelových postupů řízení rizik, hloubkové kontroly klienta, oznamování, vedení záznamů, vnitřní kontroly, kontroly dodržování předpisů – včetně jmenování kontrolora dodržování předpisů na řídící </w:t>
            </w:r>
            <w:r w:rsidRPr="000C519F">
              <w:rPr>
                <w:rFonts w:cs="Arial"/>
                <w:sz w:val="20"/>
              </w:rPr>
              <w:lastRenderedPageBreak/>
              <w:t>úrovni, pokud je to vhodné vzhledem k rozsahu a povaze podnikání – a prověřování zaměstnanců;</w:t>
            </w:r>
          </w:p>
          <w:p w:rsidR="000C519F" w:rsidRPr="000C519F" w:rsidRDefault="000C519F" w:rsidP="000C519F">
            <w:pPr>
              <w:tabs>
                <w:tab w:val="left" w:pos="360"/>
              </w:tabs>
              <w:rPr>
                <w:rFonts w:cs="Arial"/>
                <w:sz w:val="20"/>
              </w:rPr>
            </w:pPr>
            <w:r>
              <w:rPr>
                <w:rFonts w:cs="Arial"/>
                <w:sz w:val="20"/>
              </w:rPr>
              <w:t xml:space="preserve">b) </w:t>
            </w:r>
            <w:r w:rsidRPr="000C519F">
              <w:rPr>
                <w:rFonts w:cs="Arial"/>
                <w:sz w:val="20"/>
              </w:rPr>
              <w:t>pokud to odpovídá rozsahu a povaze podnikání, nezávislý útvar auditu pro ověřování vnitřních strategií, kontrol a postupů uvedených v písmeni a).</w:t>
            </w:r>
          </w:p>
          <w:p w:rsidR="000C519F" w:rsidRPr="000C519F" w:rsidRDefault="000C519F" w:rsidP="000C519F">
            <w:pPr>
              <w:tabs>
                <w:tab w:val="left" w:pos="360"/>
              </w:tabs>
              <w:rPr>
                <w:rFonts w:cs="Arial"/>
                <w:sz w:val="20"/>
              </w:rPr>
            </w:pPr>
            <w:r>
              <w:rPr>
                <w:rFonts w:cs="Arial"/>
                <w:sz w:val="20"/>
              </w:rPr>
              <w:t xml:space="preserve">5. </w:t>
            </w:r>
            <w:r w:rsidRPr="000C519F">
              <w:rPr>
                <w:rFonts w:cs="Arial"/>
                <w:sz w:val="20"/>
              </w:rPr>
              <w:t>Členské státy vyžadují, aby povinné osoby získaly souhlas svého vrcholného vedení se strategiemi, kontrolami a postupy, které zavádějí, a tam, kde je to vhodné, sledovaly a posilovaly přijatá opatření.</w:t>
            </w:r>
          </w:p>
        </w:tc>
      </w:tr>
      <w:tr w:rsidR="001825EA" w:rsidRPr="00E20AE9" w:rsidTr="000C519F">
        <w:trPr>
          <w:trHeight w:val="141"/>
        </w:trPr>
        <w:tc>
          <w:tcPr>
            <w:tcW w:w="1629" w:type="dxa"/>
            <w:tcBorders>
              <w:top w:val="single" w:sz="4" w:space="0" w:color="auto"/>
              <w:bottom w:val="dashSmallGap" w:sz="4" w:space="0" w:color="4F81BD" w:themeColor="accent1"/>
            </w:tcBorders>
          </w:tcPr>
          <w:p w:rsidR="001825EA" w:rsidRDefault="001825EA" w:rsidP="00C62B29">
            <w:pPr>
              <w:tabs>
                <w:tab w:val="left" w:pos="360"/>
              </w:tabs>
              <w:rPr>
                <w:rFonts w:cs="Arial"/>
                <w:sz w:val="20"/>
              </w:rPr>
            </w:pPr>
          </w:p>
        </w:tc>
        <w:tc>
          <w:tcPr>
            <w:tcW w:w="4447" w:type="dxa"/>
            <w:tcBorders>
              <w:top w:val="single" w:sz="4" w:space="0" w:color="auto"/>
              <w:bottom w:val="dashSmallGap" w:sz="4" w:space="0" w:color="4F81BD" w:themeColor="accent1"/>
            </w:tcBorders>
          </w:tcPr>
          <w:p w:rsidR="001825EA" w:rsidRPr="000C519F" w:rsidRDefault="001825EA" w:rsidP="000C519F">
            <w:pPr>
              <w:tabs>
                <w:tab w:val="left" w:pos="360"/>
              </w:tabs>
              <w:rPr>
                <w:rFonts w:cs="Arial"/>
                <w:sz w:val="20"/>
              </w:rPr>
            </w:pPr>
          </w:p>
        </w:tc>
        <w:tc>
          <w:tcPr>
            <w:tcW w:w="1412" w:type="dxa"/>
            <w:tcBorders>
              <w:top w:val="single" w:sz="4" w:space="0" w:color="auto"/>
              <w:bottom w:val="dashSmallGap" w:sz="4" w:space="0" w:color="4F81BD" w:themeColor="accent1"/>
            </w:tcBorders>
          </w:tcPr>
          <w:p w:rsidR="001825EA" w:rsidRDefault="001825EA" w:rsidP="00C62B29">
            <w:pPr>
              <w:tabs>
                <w:tab w:val="left" w:pos="360"/>
              </w:tabs>
              <w:rPr>
                <w:rFonts w:cs="Arial"/>
                <w:sz w:val="20"/>
              </w:rPr>
            </w:pPr>
            <w:r>
              <w:rPr>
                <w:rFonts w:cs="Arial"/>
                <w:sz w:val="20"/>
              </w:rPr>
              <w:t>32015L0849</w:t>
            </w:r>
          </w:p>
        </w:tc>
        <w:tc>
          <w:tcPr>
            <w:tcW w:w="1418" w:type="dxa"/>
            <w:tcBorders>
              <w:top w:val="single" w:sz="4" w:space="0" w:color="auto"/>
              <w:bottom w:val="dashSmallGap" w:sz="4" w:space="0" w:color="4F81BD" w:themeColor="accent1"/>
            </w:tcBorders>
            <w:shd w:val="clear" w:color="auto" w:fill="auto"/>
          </w:tcPr>
          <w:p w:rsidR="001825EA" w:rsidRDefault="001825EA" w:rsidP="00D64050">
            <w:pPr>
              <w:tabs>
                <w:tab w:val="left" w:pos="360"/>
              </w:tabs>
              <w:rPr>
                <w:rFonts w:cs="Arial"/>
                <w:sz w:val="20"/>
              </w:rPr>
            </w:pPr>
            <w:r>
              <w:rPr>
                <w:rFonts w:cs="Arial"/>
                <w:sz w:val="20"/>
              </w:rPr>
              <w:t>čl. 13 odst. 3</w:t>
            </w:r>
          </w:p>
        </w:tc>
        <w:tc>
          <w:tcPr>
            <w:tcW w:w="5103" w:type="dxa"/>
            <w:tcBorders>
              <w:top w:val="single" w:sz="4" w:space="0" w:color="auto"/>
              <w:bottom w:val="dashSmallGap" w:sz="4" w:space="0" w:color="4F81BD" w:themeColor="accent1"/>
            </w:tcBorders>
            <w:shd w:val="clear" w:color="auto" w:fill="auto"/>
          </w:tcPr>
          <w:p w:rsidR="001825EA" w:rsidRPr="000C519F" w:rsidRDefault="001825EA" w:rsidP="001825EA">
            <w:pPr>
              <w:tabs>
                <w:tab w:val="left" w:pos="360"/>
              </w:tabs>
              <w:rPr>
                <w:rFonts w:cs="Arial"/>
                <w:sz w:val="20"/>
              </w:rPr>
            </w:pPr>
            <w:r>
              <w:rPr>
                <w:rFonts w:cs="Arial"/>
                <w:sz w:val="20"/>
              </w:rPr>
              <w:t>Členské státy vyžadují, aby povinné osoby při posuzování rizik praní peněz a financování terorismu zohlednily alespoň proměnné uvedené v příloze I.</w:t>
            </w:r>
          </w:p>
        </w:tc>
      </w:tr>
      <w:tr w:rsidR="000C519F" w:rsidRPr="00E20AE9" w:rsidTr="001100C4">
        <w:trPr>
          <w:trHeight w:val="141"/>
        </w:trPr>
        <w:tc>
          <w:tcPr>
            <w:tcW w:w="1629" w:type="dxa"/>
            <w:tcBorders>
              <w:top w:val="dashSmallGap" w:sz="4" w:space="0" w:color="4F81BD" w:themeColor="accent1"/>
              <w:bottom w:val="single" w:sz="4" w:space="0" w:color="auto"/>
            </w:tcBorders>
          </w:tcPr>
          <w:p w:rsidR="000C519F" w:rsidRDefault="000C519F" w:rsidP="00C62B29">
            <w:pPr>
              <w:tabs>
                <w:tab w:val="left" w:pos="360"/>
              </w:tabs>
              <w:rPr>
                <w:rFonts w:cs="Arial"/>
                <w:sz w:val="20"/>
              </w:rPr>
            </w:pPr>
          </w:p>
        </w:tc>
        <w:tc>
          <w:tcPr>
            <w:tcW w:w="4447" w:type="dxa"/>
            <w:tcBorders>
              <w:top w:val="dashSmallGap" w:sz="4" w:space="0" w:color="4F81BD" w:themeColor="accent1"/>
              <w:bottom w:val="single" w:sz="4" w:space="0" w:color="auto"/>
            </w:tcBorders>
          </w:tcPr>
          <w:p w:rsidR="000C519F" w:rsidRPr="000C519F" w:rsidRDefault="000C519F" w:rsidP="000C519F">
            <w:pPr>
              <w:tabs>
                <w:tab w:val="left" w:pos="360"/>
              </w:tabs>
              <w:rPr>
                <w:rFonts w:cs="Arial"/>
                <w:sz w:val="20"/>
              </w:rPr>
            </w:pPr>
          </w:p>
        </w:tc>
        <w:tc>
          <w:tcPr>
            <w:tcW w:w="1412" w:type="dxa"/>
            <w:tcBorders>
              <w:top w:val="dashSmallGap" w:sz="4" w:space="0" w:color="4F81BD" w:themeColor="accent1"/>
              <w:bottom w:val="single" w:sz="4" w:space="0" w:color="auto"/>
            </w:tcBorders>
          </w:tcPr>
          <w:p w:rsidR="000C519F" w:rsidRPr="00E20AE9" w:rsidRDefault="00C62B29" w:rsidP="00C62B29">
            <w:pPr>
              <w:tabs>
                <w:tab w:val="left" w:pos="360"/>
              </w:tabs>
              <w:rPr>
                <w:rFonts w:cs="Arial"/>
                <w:sz w:val="20"/>
              </w:rPr>
            </w:pPr>
            <w:r>
              <w:rPr>
                <w:rFonts w:cs="Arial"/>
                <w:sz w:val="20"/>
              </w:rPr>
              <w:t>32015L0849</w:t>
            </w:r>
          </w:p>
        </w:tc>
        <w:tc>
          <w:tcPr>
            <w:tcW w:w="1418" w:type="dxa"/>
            <w:tcBorders>
              <w:top w:val="dashSmallGap" w:sz="4" w:space="0" w:color="4F81BD" w:themeColor="accent1"/>
              <w:bottom w:val="single" w:sz="4" w:space="0" w:color="auto"/>
            </w:tcBorders>
            <w:shd w:val="clear" w:color="auto" w:fill="auto"/>
          </w:tcPr>
          <w:p w:rsidR="000C519F" w:rsidRDefault="001100C4" w:rsidP="00D64050">
            <w:pPr>
              <w:tabs>
                <w:tab w:val="left" w:pos="360"/>
              </w:tabs>
              <w:rPr>
                <w:rFonts w:cs="Arial"/>
                <w:sz w:val="20"/>
              </w:rPr>
            </w:pPr>
            <w:r>
              <w:rPr>
                <w:rFonts w:cs="Arial"/>
                <w:sz w:val="20"/>
              </w:rPr>
              <w:t>čl. 45 odst. 3</w:t>
            </w:r>
          </w:p>
        </w:tc>
        <w:tc>
          <w:tcPr>
            <w:tcW w:w="5103" w:type="dxa"/>
            <w:tcBorders>
              <w:top w:val="dashSmallGap" w:sz="4" w:space="0" w:color="4F81BD" w:themeColor="accent1"/>
              <w:bottom w:val="single" w:sz="4" w:space="0" w:color="auto"/>
            </w:tcBorders>
            <w:shd w:val="clear" w:color="auto" w:fill="auto"/>
          </w:tcPr>
          <w:p w:rsidR="000C519F" w:rsidRPr="000C519F" w:rsidRDefault="001100C4" w:rsidP="000C519F">
            <w:pPr>
              <w:tabs>
                <w:tab w:val="left" w:pos="360"/>
              </w:tabs>
              <w:rPr>
                <w:rFonts w:cs="Arial"/>
                <w:sz w:val="20"/>
              </w:rPr>
            </w:pPr>
            <w:r w:rsidRPr="001100C4">
              <w:rPr>
                <w:rFonts w:cs="Arial"/>
                <w:sz w:val="20"/>
              </w:rPr>
              <w:t>3. Mají-li povinné osoby pobočky nebo většinově vlastněné dceřiné podniky ve třetích zemích, kde jsou minimální požadavky týkající se boje proti praní peněz a financování terorismu méně přísné než požadavky členského státu, zajistí členské státy, aby pobočky a většinově vlastněné dceřiné podniky v třetí zemi uplatňovaly požadavky členského státu, včetně ochrany údajů, v rozsahu, který právo třetí země umožňuje.</w:t>
            </w:r>
          </w:p>
        </w:tc>
      </w:tr>
      <w:tr w:rsidR="001100C4" w:rsidRPr="00E20AE9" w:rsidTr="008D5E5D">
        <w:trPr>
          <w:trHeight w:val="141"/>
        </w:trPr>
        <w:tc>
          <w:tcPr>
            <w:tcW w:w="1629" w:type="dxa"/>
            <w:tcBorders>
              <w:top w:val="single" w:sz="4" w:space="0" w:color="auto"/>
              <w:bottom w:val="single" w:sz="4" w:space="0" w:color="auto"/>
            </w:tcBorders>
          </w:tcPr>
          <w:p w:rsidR="001100C4" w:rsidRDefault="001100C4" w:rsidP="00C62B29">
            <w:pPr>
              <w:tabs>
                <w:tab w:val="left" w:pos="360"/>
              </w:tabs>
              <w:rPr>
                <w:rFonts w:cs="Arial"/>
                <w:sz w:val="20"/>
              </w:rPr>
            </w:pPr>
            <w:r>
              <w:rPr>
                <w:rFonts w:cs="Arial"/>
                <w:sz w:val="20"/>
              </w:rPr>
              <w:t>§ 24 odst. 2</w:t>
            </w:r>
          </w:p>
        </w:tc>
        <w:tc>
          <w:tcPr>
            <w:tcW w:w="4447" w:type="dxa"/>
            <w:tcBorders>
              <w:top w:val="single" w:sz="4" w:space="0" w:color="auto"/>
              <w:bottom w:val="single" w:sz="4" w:space="0" w:color="auto"/>
            </w:tcBorders>
          </w:tcPr>
          <w:p w:rsidR="001100C4" w:rsidRPr="000C519F" w:rsidRDefault="00425AF7" w:rsidP="000C519F">
            <w:pPr>
              <w:tabs>
                <w:tab w:val="left" w:pos="360"/>
              </w:tabs>
              <w:rPr>
                <w:rFonts w:cs="Arial"/>
                <w:sz w:val="20"/>
              </w:rPr>
            </w:pPr>
            <w:r w:rsidRPr="00425AF7">
              <w:rPr>
                <w:rFonts w:cs="Arial"/>
                <w:sz w:val="20"/>
              </w:rPr>
              <w:t>(2) Povinné osoby poskytnou klientům před navázáním obchodního vztahu nebo provedením obchodu mimo obchodní vztah informace požadované podle zákona o ochraně osobních údajů</w:t>
            </w:r>
            <w:r w:rsidRPr="00C576E0">
              <w:rPr>
                <w:rFonts w:cs="Arial"/>
                <w:sz w:val="20"/>
                <w:vertAlign w:val="superscript"/>
              </w:rPr>
              <w:t>31)</w:t>
            </w:r>
            <w:r w:rsidRPr="00425AF7">
              <w:rPr>
                <w:rFonts w:cs="Arial"/>
                <w:sz w:val="20"/>
              </w:rPr>
              <w:t>. Tyto informace obsahují zejména obecné upozornění týkající se povinnosti povinných osob podle tohoto zákona zpracovávat osobní údaje pro účely předcházení legalizace výnosů z trestné činnosti a financování terorismu, jak jsou uvedeny v § 1.</w:t>
            </w:r>
          </w:p>
        </w:tc>
        <w:tc>
          <w:tcPr>
            <w:tcW w:w="1412" w:type="dxa"/>
            <w:tcBorders>
              <w:top w:val="single" w:sz="4" w:space="0" w:color="auto"/>
              <w:bottom w:val="single" w:sz="4" w:space="0" w:color="auto"/>
            </w:tcBorders>
          </w:tcPr>
          <w:p w:rsidR="001100C4"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bottom w:val="single" w:sz="4" w:space="0" w:color="auto"/>
            </w:tcBorders>
            <w:shd w:val="clear" w:color="auto" w:fill="auto"/>
          </w:tcPr>
          <w:p w:rsidR="001100C4" w:rsidRPr="001100C4" w:rsidRDefault="001100C4" w:rsidP="001100C4">
            <w:pPr>
              <w:tabs>
                <w:tab w:val="left" w:pos="360"/>
              </w:tabs>
              <w:rPr>
                <w:rFonts w:cs="Arial"/>
                <w:sz w:val="20"/>
              </w:rPr>
            </w:pPr>
            <w:r w:rsidRPr="001100C4">
              <w:rPr>
                <w:rFonts w:cs="Arial"/>
                <w:sz w:val="20"/>
              </w:rPr>
              <w:t>čl. 41 odst. 3</w:t>
            </w:r>
          </w:p>
        </w:tc>
        <w:tc>
          <w:tcPr>
            <w:tcW w:w="5103" w:type="dxa"/>
            <w:tcBorders>
              <w:top w:val="single" w:sz="4" w:space="0" w:color="auto"/>
              <w:bottom w:val="single" w:sz="4" w:space="0" w:color="auto"/>
            </w:tcBorders>
            <w:shd w:val="clear" w:color="auto" w:fill="auto"/>
          </w:tcPr>
          <w:p w:rsidR="001100C4" w:rsidRPr="001100C4" w:rsidRDefault="001100C4" w:rsidP="001100C4">
            <w:pPr>
              <w:pStyle w:val="Zpat"/>
              <w:tabs>
                <w:tab w:val="left" w:pos="360"/>
              </w:tabs>
              <w:rPr>
                <w:rFonts w:cs="Arial"/>
                <w:sz w:val="20"/>
              </w:rPr>
            </w:pPr>
            <w:r w:rsidRPr="001100C4">
              <w:rPr>
                <w:rFonts w:cs="Arial"/>
                <w:sz w:val="20"/>
              </w:rPr>
              <w:t>3.</w:t>
            </w:r>
            <w:r w:rsidRPr="001100C4">
              <w:rPr>
                <w:rFonts w:cs="Arial"/>
                <w:sz w:val="20"/>
              </w:rPr>
              <w:tab/>
              <w:t>Povinné osoby poskytnou novým klientům informace požadované podle článku 10 směrnice 95/46/ES před navázáním obchodního vztahu nebo provedením příležitostné transakce. Tyto informace obsahují zejména obecné upozornění týkající se právních povinností povinných osob podle této směrnice zpracovávat osobní údaje pro účely předcházení praní peněz a financování terorismu, jak je uvedeno v článku 1 této směrnice.</w:t>
            </w:r>
          </w:p>
        </w:tc>
      </w:tr>
      <w:tr w:rsidR="00425AF7" w:rsidRPr="00E20AE9" w:rsidTr="00425AF7">
        <w:trPr>
          <w:trHeight w:val="141"/>
        </w:trPr>
        <w:tc>
          <w:tcPr>
            <w:tcW w:w="1629" w:type="dxa"/>
            <w:tcBorders>
              <w:top w:val="single" w:sz="4" w:space="0" w:color="auto"/>
              <w:bottom w:val="nil"/>
            </w:tcBorders>
          </w:tcPr>
          <w:p w:rsidR="00425AF7" w:rsidRDefault="00425AF7" w:rsidP="00C62B29">
            <w:pPr>
              <w:tabs>
                <w:tab w:val="left" w:pos="360"/>
              </w:tabs>
              <w:rPr>
                <w:rFonts w:cs="Arial"/>
                <w:sz w:val="20"/>
              </w:rPr>
            </w:pPr>
            <w:r>
              <w:rPr>
                <w:rFonts w:cs="Arial"/>
                <w:sz w:val="20"/>
              </w:rPr>
              <w:t>§ 24a</w:t>
            </w:r>
          </w:p>
        </w:tc>
        <w:tc>
          <w:tcPr>
            <w:tcW w:w="4447" w:type="dxa"/>
            <w:tcBorders>
              <w:top w:val="single" w:sz="4" w:space="0" w:color="auto"/>
              <w:bottom w:val="nil"/>
            </w:tcBorders>
          </w:tcPr>
          <w:p w:rsidR="00C576E0" w:rsidRPr="00C576E0" w:rsidRDefault="00C576E0" w:rsidP="00C576E0">
            <w:pPr>
              <w:tabs>
                <w:tab w:val="left" w:pos="360"/>
              </w:tabs>
              <w:rPr>
                <w:rFonts w:cs="Arial"/>
                <w:sz w:val="20"/>
              </w:rPr>
            </w:pPr>
            <w:r w:rsidRPr="00C576E0">
              <w:rPr>
                <w:rFonts w:cs="Arial"/>
                <w:sz w:val="20"/>
              </w:rPr>
              <w:t xml:space="preserve">(1) Povinná osoba ve svých pobočkách a dceřiných společnostech, nacházejících se ve státech, které nejsou členskými státy Evropské unie nebo Evropského hospodářského prostoru, uplatňuje opatření pro kontrolu klienta a uchovávání záznamů, která jsou alespoň rovnocenná požadavkům práva Evropské unie1). </w:t>
            </w:r>
            <w:r w:rsidRPr="00C576E0">
              <w:rPr>
                <w:rFonts w:cs="Arial"/>
                <w:sz w:val="20"/>
              </w:rPr>
              <w:lastRenderedPageBreak/>
              <w:t>Za tím účelem jim</w:t>
            </w:r>
            <w:r>
              <w:rPr>
                <w:rFonts w:cs="Arial"/>
                <w:sz w:val="20"/>
              </w:rPr>
              <w:t xml:space="preserve"> předává relevantní informace o </w:t>
            </w:r>
            <w:r w:rsidRPr="00C576E0">
              <w:rPr>
                <w:rFonts w:cs="Arial"/>
                <w:sz w:val="20"/>
              </w:rPr>
              <w:t xml:space="preserve">uplatňovaných metodách a postupech. </w:t>
            </w:r>
          </w:p>
          <w:p w:rsidR="00C576E0" w:rsidRPr="00C576E0" w:rsidRDefault="00C576E0" w:rsidP="00C576E0">
            <w:pPr>
              <w:tabs>
                <w:tab w:val="left" w:pos="360"/>
              </w:tabs>
              <w:rPr>
                <w:rFonts w:cs="Arial"/>
                <w:sz w:val="20"/>
              </w:rPr>
            </w:pPr>
            <w:r w:rsidRPr="00C576E0">
              <w:rPr>
                <w:rFonts w:cs="Arial"/>
                <w:sz w:val="20"/>
              </w:rPr>
              <w:t>(2) Pokud právní předpisy takové země nedovolují uplatňování rovnocenných opatření, informuje o tom Úřad; v takovém případě přijme povinná osoba odpov</w:t>
            </w:r>
            <w:r>
              <w:rPr>
                <w:rFonts w:cs="Arial"/>
                <w:sz w:val="20"/>
              </w:rPr>
              <w:t>ídající doplňková opatření k </w:t>
            </w:r>
            <w:r w:rsidRPr="00C576E0">
              <w:rPr>
                <w:rFonts w:cs="Arial"/>
                <w:sz w:val="20"/>
              </w:rPr>
              <w:t>účinnému zvládání rizika zneužití pro legalizaci výnosů z trestné činnosti nebo financování terorismu a zabránění přenosu těchto rizik na území České republiky a dalších členských států Evropské unie nebo Evropského hospodářského prostoru.</w:t>
            </w:r>
          </w:p>
          <w:p w:rsidR="00C576E0" w:rsidRPr="00C576E0" w:rsidRDefault="00C576E0" w:rsidP="00C576E0">
            <w:pPr>
              <w:tabs>
                <w:tab w:val="left" w:pos="360"/>
              </w:tabs>
              <w:rPr>
                <w:rFonts w:cs="Arial"/>
                <w:sz w:val="20"/>
              </w:rPr>
            </w:pPr>
            <w:r w:rsidRPr="00C576E0">
              <w:rPr>
                <w:rFonts w:cs="Arial"/>
                <w:sz w:val="20"/>
              </w:rPr>
              <w:t>(3) Povinná osoba, která má pobočku nebo provozovnu v jiném členském státě Evropské unie, zajistí, že tato pobočka nebo provozovna dodržuje vnitrostátní předpisy v oblasti boje proti legalizaci výnosů z trestné činnosti a financování terorismu tohoto jiného členského státu.</w:t>
            </w:r>
          </w:p>
          <w:p w:rsidR="00425AF7" w:rsidRPr="00425AF7" w:rsidRDefault="00C576E0" w:rsidP="00C576E0">
            <w:pPr>
              <w:tabs>
                <w:tab w:val="left" w:pos="360"/>
              </w:tabs>
              <w:rPr>
                <w:rFonts w:cs="Arial"/>
                <w:sz w:val="20"/>
              </w:rPr>
            </w:pPr>
            <w:r w:rsidRPr="00C576E0">
              <w:rPr>
                <w:rFonts w:cs="Arial"/>
                <w:sz w:val="20"/>
              </w:rPr>
              <w:t xml:space="preserve">(4) Povinná osoba na žádost Úřadu v jím stanovené lhůtě sdělí informaci, zda udržuje nebo v předchozích 10 letech udržovala obchodní vztah s konkrétní fyzickou nebo právnickou osobou, vůči níž měla povinnost identifikace, a </w:t>
            </w:r>
            <w:r>
              <w:rPr>
                <w:rFonts w:cs="Arial"/>
                <w:sz w:val="20"/>
              </w:rPr>
              <w:t>o </w:t>
            </w:r>
            <w:r w:rsidRPr="00C576E0">
              <w:rPr>
                <w:rFonts w:cs="Arial"/>
                <w:sz w:val="20"/>
              </w:rPr>
              <w:t>povaze tohoto vztahu. K tomuto účelu zavede povinná osoba účinný systém, odpovídající velikosti instituce a povaze její podnikatelské činnosti</w:t>
            </w:r>
          </w:p>
        </w:tc>
        <w:tc>
          <w:tcPr>
            <w:tcW w:w="1412" w:type="dxa"/>
            <w:tcBorders>
              <w:top w:val="single" w:sz="4" w:space="0" w:color="auto"/>
              <w:bottom w:val="nil"/>
            </w:tcBorders>
          </w:tcPr>
          <w:p w:rsidR="00425AF7" w:rsidRDefault="00425AF7" w:rsidP="00C62B29">
            <w:pPr>
              <w:tabs>
                <w:tab w:val="left" w:pos="360"/>
              </w:tabs>
              <w:rPr>
                <w:rFonts w:cs="Arial"/>
                <w:sz w:val="20"/>
              </w:rPr>
            </w:pPr>
            <w:r>
              <w:rPr>
                <w:rFonts w:cs="Arial"/>
                <w:sz w:val="20"/>
              </w:rPr>
              <w:lastRenderedPageBreak/>
              <w:t>32015L0849</w:t>
            </w:r>
          </w:p>
        </w:tc>
        <w:tc>
          <w:tcPr>
            <w:tcW w:w="1418" w:type="dxa"/>
            <w:tcBorders>
              <w:top w:val="single" w:sz="4" w:space="0" w:color="auto"/>
              <w:bottom w:val="nil"/>
            </w:tcBorders>
            <w:shd w:val="clear" w:color="auto" w:fill="auto"/>
          </w:tcPr>
          <w:p w:rsidR="00425AF7" w:rsidRPr="001100C4" w:rsidRDefault="00425AF7" w:rsidP="001100C4">
            <w:pPr>
              <w:tabs>
                <w:tab w:val="left" w:pos="360"/>
              </w:tabs>
              <w:rPr>
                <w:rFonts w:cs="Arial"/>
                <w:sz w:val="20"/>
              </w:rPr>
            </w:pPr>
            <w:r>
              <w:rPr>
                <w:rFonts w:cs="Arial"/>
                <w:sz w:val="20"/>
              </w:rPr>
              <w:t>čl. 42</w:t>
            </w:r>
          </w:p>
        </w:tc>
        <w:tc>
          <w:tcPr>
            <w:tcW w:w="5103" w:type="dxa"/>
            <w:tcBorders>
              <w:top w:val="single" w:sz="4" w:space="0" w:color="auto"/>
              <w:bottom w:val="nil"/>
            </w:tcBorders>
            <w:shd w:val="clear" w:color="auto" w:fill="auto"/>
          </w:tcPr>
          <w:p w:rsidR="00425AF7" w:rsidRPr="001100C4" w:rsidRDefault="00425AF7" w:rsidP="001100C4">
            <w:pPr>
              <w:pStyle w:val="Zpat"/>
              <w:tabs>
                <w:tab w:val="left" w:pos="360"/>
              </w:tabs>
              <w:rPr>
                <w:rFonts w:cs="Arial"/>
                <w:sz w:val="20"/>
              </w:rPr>
            </w:pPr>
            <w:r w:rsidRPr="00425AF7">
              <w:rPr>
                <w:rFonts w:cs="Arial"/>
                <w:sz w:val="20"/>
              </w:rPr>
              <w:t xml:space="preserve">Členské státy vyžadují, </w:t>
            </w:r>
            <w:r>
              <w:rPr>
                <w:rFonts w:cs="Arial"/>
                <w:sz w:val="20"/>
              </w:rPr>
              <w:t>aby jejich povinné osoby měly k </w:t>
            </w:r>
            <w:r w:rsidRPr="00425AF7">
              <w:rPr>
                <w:rFonts w:cs="Arial"/>
                <w:sz w:val="20"/>
              </w:rPr>
              <w:t xml:space="preserve">dispozici systémy, které jim v souladu s vnitrostátním právem umožní úplně a rychle zodpovídat dotazy své finanční zpravodajské jednotky nebo jiných orgánů na to, zda udržují nebo v pěti letech předcházejících dotazu udržovaly obchodní vztah s konkrétními osobami, a na povahu tohoto vztahu, a to prostřednictvím </w:t>
            </w:r>
            <w:r w:rsidRPr="00425AF7">
              <w:rPr>
                <w:rFonts w:cs="Arial"/>
                <w:sz w:val="20"/>
              </w:rPr>
              <w:lastRenderedPageBreak/>
              <w:t>zabezpečených kanálů a způsobem, který zajistí plnou důvěrnost těchto dotazů.</w:t>
            </w:r>
          </w:p>
        </w:tc>
      </w:tr>
      <w:tr w:rsidR="00425AF7" w:rsidRPr="00E20AE9" w:rsidTr="00425AF7">
        <w:trPr>
          <w:trHeight w:val="141"/>
        </w:trPr>
        <w:tc>
          <w:tcPr>
            <w:tcW w:w="1629" w:type="dxa"/>
            <w:tcBorders>
              <w:top w:val="nil"/>
              <w:bottom w:val="single" w:sz="4" w:space="0" w:color="auto"/>
            </w:tcBorders>
          </w:tcPr>
          <w:p w:rsidR="00425AF7" w:rsidRDefault="00425AF7" w:rsidP="00C62B29">
            <w:pPr>
              <w:tabs>
                <w:tab w:val="left" w:pos="360"/>
              </w:tabs>
              <w:rPr>
                <w:rFonts w:cs="Arial"/>
                <w:sz w:val="20"/>
              </w:rPr>
            </w:pPr>
          </w:p>
        </w:tc>
        <w:tc>
          <w:tcPr>
            <w:tcW w:w="4447" w:type="dxa"/>
            <w:tcBorders>
              <w:top w:val="nil"/>
              <w:bottom w:val="single" w:sz="4" w:space="0" w:color="auto"/>
            </w:tcBorders>
          </w:tcPr>
          <w:p w:rsidR="00425AF7" w:rsidRPr="00425AF7" w:rsidRDefault="00425AF7" w:rsidP="00425AF7">
            <w:pPr>
              <w:tabs>
                <w:tab w:val="left" w:pos="360"/>
              </w:tabs>
              <w:rPr>
                <w:rFonts w:cs="Arial"/>
                <w:sz w:val="20"/>
              </w:rPr>
            </w:pPr>
          </w:p>
        </w:tc>
        <w:tc>
          <w:tcPr>
            <w:tcW w:w="1412" w:type="dxa"/>
            <w:tcBorders>
              <w:top w:val="nil"/>
              <w:bottom w:val="single" w:sz="4" w:space="0" w:color="auto"/>
            </w:tcBorders>
          </w:tcPr>
          <w:p w:rsidR="00425AF7" w:rsidRDefault="00425AF7" w:rsidP="00C62B29">
            <w:pPr>
              <w:tabs>
                <w:tab w:val="left" w:pos="360"/>
              </w:tabs>
              <w:rPr>
                <w:rFonts w:cs="Arial"/>
                <w:sz w:val="20"/>
              </w:rPr>
            </w:pPr>
            <w:r>
              <w:rPr>
                <w:rFonts w:cs="Arial"/>
                <w:sz w:val="20"/>
              </w:rPr>
              <w:t>32015L0849</w:t>
            </w:r>
          </w:p>
        </w:tc>
        <w:tc>
          <w:tcPr>
            <w:tcW w:w="1418" w:type="dxa"/>
            <w:tcBorders>
              <w:top w:val="nil"/>
              <w:bottom w:val="single" w:sz="4" w:space="0" w:color="auto"/>
            </w:tcBorders>
            <w:shd w:val="clear" w:color="auto" w:fill="auto"/>
          </w:tcPr>
          <w:p w:rsidR="00425AF7" w:rsidRDefault="00425AF7" w:rsidP="001100C4">
            <w:pPr>
              <w:tabs>
                <w:tab w:val="left" w:pos="360"/>
              </w:tabs>
              <w:rPr>
                <w:rFonts w:cs="Arial"/>
                <w:sz w:val="20"/>
              </w:rPr>
            </w:pPr>
            <w:r>
              <w:rPr>
                <w:rFonts w:cs="Arial"/>
                <w:sz w:val="20"/>
              </w:rPr>
              <w:t>čl. 45 odst. 2 a 3</w:t>
            </w:r>
          </w:p>
        </w:tc>
        <w:tc>
          <w:tcPr>
            <w:tcW w:w="5103" w:type="dxa"/>
            <w:tcBorders>
              <w:top w:val="nil"/>
              <w:bottom w:val="single" w:sz="4" w:space="0" w:color="auto"/>
            </w:tcBorders>
            <w:shd w:val="clear" w:color="auto" w:fill="auto"/>
          </w:tcPr>
          <w:p w:rsidR="00425AF7" w:rsidRPr="00425AF7" w:rsidRDefault="00425AF7" w:rsidP="001100C4">
            <w:pPr>
              <w:pStyle w:val="Zpat"/>
              <w:tabs>
                <w:tab w:val="left" w:pos="360"/>
              </w:tabs>
              <w:rPr>
                <w:rFonts w:cs="Arial"/>
                <w:sz w:val="20"/>
              </w:rPr>
            </w:pPr>
            <w:r w:rsidRPr="00425AF7">
              <w:rPr>
                <w:rFonts w:cs="Arial"/>
                <w:sz w:val="20"/>
              </w:rPr>
              <w:t>2.</w:t>
            </w:r>
            <w:r>
              <w:rPr>
                <w:rFonts w:cs="Arial"/>
                <w:sz w:val="20"/>
              </w:rPr>
              <w:t xml:space="preserve"> </w:t>
            </w:r>
            <w:r w:rsidRPr="00425AF7">
              <w:rPr>
                <w:rFonts w:cs="Arial"/>
                <w:sz w:val="20"/>
              </w:rPr>
              <w:t>Členské státy vyžadují, aby povinné osoby, které mají provozovny v jiném členském státě, zajistily, že tyto provozovny dodržují vnitrostátní předpisy tohoto jiného členského státu přijaté k provedení této směrnice. 3.</w:t>
            </w:r>
            <w:r>
              <w:rPr>
                <w:rFonts w:cs="Arial"/>
                <w:sz w:val="20"/>
              </w:rPr>
              <w:t xml:space="preserve"> </w:t>
            </w:r>
            <w:r w:rsidRPr="00425AF7">
              <w:rPr>
                <w:rFonts w:cs="Arial"/>
                <w:sz w:val="20"/>
              </w:rPr>
              <w:t xml:space="preserve">Členské státy zajistí, aby v případě, že povinné osoby mají pobočky nebo většinově vlastněné dceřiné podniky ve třetích zemích, kde jsou minimální požadavky týkající se boje proti praní peněz a financování terorismu méně přísné než požadavky určitého členského státu, tyto pobočky a většinově vlastněné dceřiné podniky v třetí zemi uplatňovaly požadavky dotčeného členského státu, včetně ochrany údajů, v rozsahu, který právo dané třetí </w:t>
            </w:r>
            <w:r w:rsidRPr="00425AF7">
              <w:rPr>
                <w:rFonts w:cs="Arial"/>
                <w:sz w:val="20"/>
              </w:rPr>
              <w:lastRenderedPageBreak/>
              <w:t>země umožňuje.</w:t>
            </w:r>
          </w:p>
        </w:tc>
      </w:tr>
      <w:tr w:rsidR="008D5E5D" w:rsidRPr="00E20AE9" w:rsidTr="00A705AE">
        <w:trPr>
          <w:trHeight w:val="141"/>
        </w:trPr>
        <w:tc>
          <w:tcPr>
            <w:tcW w:w="1629" w:type="dxa"/>
            <w:tcBorders>
              <w:top w:val="single" w:sz="4" w:space="0" w:color="auto"/>
              <w:bottom w:val="single" w:sz="4" w:space="0" w:color="auto"/>
            </w:tcBorders>
          </w:tcPr>
          <w:p w:rsidR="008D5E5D" w:rsidRDefault="008D5E5D" w:rsidP="00C62B29">
            <w:pPr>
              <w:tabs>
                <w:tab w:val="left" w:pos="360"/>
              </w:tabs>
              <w:rPr>
                <w:rFonts w:cs="Arial"/>
                <w:sz w:val="20"/>
              </w:rPr>
            </w:pPr>
            <w:r>
              <w:rPr>
                <w:rFonts w:cs="Arial"/>
                <w:sz w:val="20"/>
              </w:rPr>
              <w:lastRenderedPageBreak/>
              <w:t>§ 25 odst. 2 písm. c)</w:t>
            </w:r>
          </w:p>
        </w:tc>
        <w:tc>
          <w:tcPr>
            <w:tcW w:w="4447" w:type="dxa"/>
            <w:tcBorders>
              <w:top w:val="single" w:sz="4" w:space="0" w:color="auto"/>
              <w:bottom w:val="single" w:sz="4" w:space="0" w:color="auto"/>
            </w:tcBorders>
          </w:tcPr>
          <w:p w:rsidR="008D5E5D" w:rsidRDefault="008D5E5D" w:rsidP="000C519F">
            <w:pPr>
              <w:tabs>
                <w:tab w:val="left" w:pos="360"/>
              </w:tabs>
              <w:rPr>
                <w:rFonts w:cs="Arial"/>
                <w:sz w:val="20"/>
              </w:rPr>
            </w:pPr>
            <w:r w:rsidRPr="008D5E5D">
              <w:rPr>
                <w:rFonts w:cs="Arial"/>
                <w:sz w:val="20"/>
              </w:rPr>
              <w:t>(2) Úvěrová instituce před navázáním korespondenčního bankovního vztahu s respondenční institucí</w:t>
            </w:r>
          </w:p>
          <w:p w:rsidR="008D5E5D" w:rsidRDefault="008D5E5D" w:rsidP="000C519F">
            <w:pPr>
              <w:tabs>
                <w:tab w:val="left" w:pos="360"/>
              </w:tabs>
              <w:rPr>
                <w:rFonts w:cs="Arial"/>
                <w:sz w:val="20"/>
              </w:rPr>
            </w:pPr>
            <w:r>
              <w:rPr>
                <w:rFonts w:cs="Arial"/>
                <w:sz w:val="20"/>
              </w:rPr>
              <w:t>…..</w:t>
            </w:r>
          </w:p>
          <w:p w:rsidR="008D5E5D" w:rsidRPr="001100C4" w:rsidRDefault="00B70332" w:rsidP="000C519F">
            <w:pPr>
              <w:tabs>
                <w:tab w:val="left" w:pos="360"/>
              </w:tabs>
              <w:rPr>
                <w:rFonts w:cs="Arial"/>
                <w:sz w:val="20"/>
              </w:rPr>
            </w:pPr>
            <w:r w:rsidRPr="00B70332">
              <w:rPr>
                <w:rFonts w:cs="Arial"/>
                <w:sz w:val="20"/>
              </w:rPr>
              <w:t>c) zjistí a zhodnotí opatření prováděná respondenční inst</w:t>
            </w:r>
            <w:r>
              <w:rPr>
                <w:rFonts w:cs="Arial"/>
                <w:sz w:val="20"/>
              </w:rPr>
              <w:t>itucí proti legalizaci výnosů z </w:t>
            </w:r>
            <w:r w:rsidRPr="00B70332">
              <w:rPr>
                <w:rFonts w:cs="Arial"/>
                <w:sz w:val="20"/>
              </w:rPr>
              <w:t>trestné činnosti a financování terorismu, včetně způsobu a kvality provádění identifikace a kontroly klientů a schopnosti poskytnout tyto informace na vyžádání, jakož i schopnosti poskytování informací o plátci a příjemci při převodech peněžních prostředků.</w:t>
            </w:r>
          </w:p>
        </w:tc>
        <w:tc>
          <w:tcPr>
            <w:tcW w:w="1412" w:type="dxa"/>
            <w:tcBorders>
              <w:top w:val="single" w:sz="4" w:space="0" w:color="auto"/>
              <w:bottom w:val="single" w:sz="4" w:space="0" w:color="auto"/>
            </w:tcBorders>
          </w:tcPr>
          <w:p w:rsidR="008D5E5D"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bottom w:val="single" w:sz="4" w:space="0" w:color="auto"/>
            </w:tcBorders>
            <w:shd w:val="clear" w:color="auto" w:fill="auto"/>
          </w:tcPr>
          <w:p w:rsidR="008D5E5D" w:rsidRPr="008D5E5D" w:rsidRDefault="008D5E5D" w:rsidP="008D5E5D">
            <w:pPr>
              <w:pStyle w:val="Zpat"/>
              <w:tabs>
                <w:tab w:val="left" w:pos="360"/>
              </w:tabs>
              <w:rPr>
                <w:rFonts w:cs="Arial"/>
                <w:sz w:val="20"/>
              </w:rPr>
            </w:pPr>
            <w:r w:rsidRPr="008D5E5D">
              <w:rPr>
                <w:rFonts w:cs="Arial"/>
                <w:sz w:val="20"/>
              </w:rPr>
              <w:t>čl. 19</w:t>
            </w:r>
          </w:p>
        </w:tc>
        <w:tc>
          <w:tcPr>
            <w:tcW w:w="5103" w:type="dxa"/>
            <w:tcBorders>
              <w:top w:val="single" w:sz="4" w:space="0" w:color="auto"/>
              <w:bottom w:val="single" w:sz="4" w:space="0" w:color="auto"/>
            </w:tcBorders>
            <w:shd w:val="clear" w:color="auto" w:fill="auto"/>
          </w:tcPr>
          <w:p w:rsidR="008D5E5D" w:rsidRPr="008D5E5D" w:rsidRDefault="008D5E5D" w:rsidP="008D5E5D">
            <w:pPr>
              <w:pStyle w:val="Zpat"/>
              <w:tabs>
                <w:tab w:val="left" w:pos="360"/>
              </w:tabs>
              <w:rPr>
                <w:rFonts w:cs="Arial"/>
                <w:sz w:val="20"/>
              </w:rPr>
            </w:pPr>
            <w:r w:rsidRPr="008D5E5D">
              <w:rPr>
                <w:rFonts w:cs="Arial"/>
                <w:sz w:val="20"/>
              </w:rPr>
              <w:t>Pokud jde o přesh</w:t>
            </w:r>
            <w:r w:rsidR="00E52297">
              <w:rPr>
                <w:rFonts w:cs="Arial"/>
                <w:sz w:val="20"/>
              </w:rPr>
              <w:t>raniční korespondenční vztahy s </w:t>
            </w:r>
            <w:r w:rsidRPr="008D5E5D">
              <w:rPr>
                <w:rFonts w:cs="Arial"/>
                <w:sz w:val="20"/>
              </w:rPr>
              <w:t>určitou respondenční institucí ze třetí země, členské státy vedle opatření zesílené hloubkové kontroly klienta stanovených v článku 13 po svých úvěrových institucích a finančních institucích vyžadují, aby:</w:t>
            </w:r>
          </w:p>
          <w:p w:rsidR="008D5E5D" w:rsidRPr="008D5E5D" w:rsidRDefault="008D5E5D" w:rsidP="008D5E5D">
            <w:pPr>
              <w:pStyle w:val="Zpat"/>
              <w:tabs>
                <w:tab w:val="left" w:pos="360"/>
              </w:tabs>
              <w:rPr>
                <w:rFonts w:cs="Arial"/>
                <w:sz w:val="20"/>
              </w:rPr>
            </w:pPr>
            <w:r w:rsidRPr="008D5E5D">
              <w:rPr>
                <w:rFonts w:cs="Arial"/>
                <w:sz w:val="20"/>
              </w:rPr>
              <w:t>a) shromáždily dostatek informací o této respondenční instituci, aby plně porozuměly povaze podnikání respondenční instituce a z veřejně dostupných informací zjistily, jakou má instituce pověst a jak kvalitní je dozor;</w:t>
            </w:r>
          </w:p>
          <w:p w:rsidR="008D5E5D" w:rsidRPr="008D5E5D" w:rsidRDefault="008D5E5D" w:rsidP="008D5E5D">
            <w:pPr>
              <w:pStyle w:val="Zpat"/>
              <w:tabs>
                <w:tab w:val="left" w:pos="360"/>
              </w:tabs>
              <w:rPr>
                <w:rFonts w:cs="Arial"/>
                <w:sz w:val="20"/>
              </w:rPr>
            </w:pPr>
            <w:r w:rsidRPr="008D5E5D">
              <w:rPr>
                <w:rFonts w:cs="Arial"/>
                <w:sz w:val="20"/>
              </w:rPr>
              <w:t>b) zhodnotily kontroly prováděné respondenční institucí s ohledem na boj proti praní peněz a financování terorismu;</w:t>
            </w:r>
          </w:p>
          <w:p w:rsidR="008D5E5D" w:rsidRPr="008D5E5D" w:rsidRDefault="008D5E5D" w:rsidP="008D5E5D">
            <w:pPr>
              <w:pStyle w:val="Zpat"/>
              <w:tabs>
                <w:tab w:val="left" w:pos="360"/>
              </w:tabs>
              <w:rPr>
                <w:rFonts w:cs="Arial"/>
                <w:sz w:val="20"/>
              </w:rPr>
            </w:pPr>
            <w:r w:rsidRPr="008D5E5D">
              <w:rPr>
                <w:rFonts w:cs="Arial"/>
                <w:sz w:val="20"/>
              </w:rPr>
              <w:t>c) získaly od vrcholného vedení souhlas před navázáním nových korespondenčních vztahů;</w:t>
            </w:r>
          </w:p>
          <w:p w:rsidR="008D5E5D" w:rsidRPr="008D5E5D" w:rsidRDefault="008D5E5D" w:rsidP="008D5E5D">
            <w:pPr>
              <w:pStyle w:val="Zpat"/>
              <w:tabs>
                <w:tab w:val="left" w:pos="360"/>
              </w:tabs>
              <w:rPr>
                <w:rFonts w:cs="Arial"/>
                <w:sz w:val="20"/>
              </w:rPr>
            </w:pPr>
            <w:r w:rsidRPr="008D5E5D">
              <w:rPr>
                <w:rFonts w:cs="Arial"/>
                <w:sz w:val="20"/>
              </w:rPr>
              <w:t>d) zdokumentovaly příslušné odpovědnosti každé instituce;</w:t>
            </w:r>
          </w:p>
          <w:p w:rsidR="008D5E5D" w:rsidRPr="008D5E5D" w:rsidRDefault="008D5E5D" w:rsidP="008D5E5D">
            <w:pPr>
              <w:pStyle w:val="Zpat"/>
              <w:tabs>
                <w:tab w:val="left" w:pos="360"/>
              </w:tabs>
              <w:rPr>
                <w:rFonts w:cs="Arial"/>
                <w:sz w:val="20"/>
              </w:rPr>
            </w:pPr>
            <w:r w:rsidRPr="008D5E5D">
              <w:rPr>
                <w:rFonts w:cs="Arial"/>
                <w:sz w:val="20"/>
              </w:rPr>
              <w:t>e) ujistily se s ohledem na průběžné korespondenční účty, že respondenční instituce ověřila totožnost klientů, kteří mají přímý přístup k účtům korespondenční instituce, a prováděla jejich průběžnou hloubkovou kontrolu a že na vyžádání je korespondenční instituci schopna poskytnout relevantní údaje o hloubkové kontrole klienta.</w:t>
            </w:r>
          </w:p>
        </w:tc>
      </w:tr>
      <w:tr w:rsidR="00A705AE" w:rsidRPr="00E20AE9" w:rsidTr="00A705AE">
        <w:trPr>
          <w:trHeight w:val="141"/>
        </w:trPr>
        <w:tc>
          <w:tcPr>
            <w:tcW w:w="1629" w:type="dxa"/>
            <w:tcBorders>
              <w:top w:val="single" w:sz="4" w:space="0" w:color="auto"/>
              <w:bottom w:val="single" w:sz="4" w:space="0" w:color="auto"/>
            </w:tcBorders>
          </w:tcPr>
          <w:p w:rsidR="00A705AE" w:rsidRDefault="00A705AE" w:rsidP="00C62B29">
            <w:pPr>
              <w:tabs>
                <w:tab w:val="left" w:pos="360"/>
              </w:tabs>
              <w:rPr>
                <w:rFonts w:cs="Arial"/>
                <w:sz w:val="20"/>
              </w:rPr>
            </w:pPr>
            <w:r>
              <w:rPr>
                <w:rFonts w:cs="Arial"/>
                <w:sz w:val="20"/>
              </w:rPr>
              <w:t>§ 29b</w:t>
            </w:r>
          </w:p>
        </w:tc>
        <w:tc>
          <w:tcPr>
            <w:tcW w:w="4447" w:type="dxa"/>
            <w:tcBorders>
              <w:top w:val="single" w:sz="4" w:space="0" w:color="auto"/>
              <w:bottom w:val="single" w:sz="4" w:space="0" w:color="auto"/>
            </w:tcBorders>
          </w:tcPr>
          <w:p w:rsidR="00A705AE" w:rsidRPr="00A705AE" w:rsidRDefault="00A705AE" w:rsidP="00A705AE">
            <w:pPr>
              <w:tabs>
                <w:tab w:val="left" w:pos="360"/>
              </w:tabs>
              <w:rPr>
                <w:rFonts w:cs="Arial"/>
                <w:sz w:val="20"/>
              </w:rPr>
            </w:pPr>
            <w:r w:rsidRPr="00A705AE">
              <w:rPr>
                <w:rFonts w:cs="Arial"/>
                <w:sz w:val="20"/>
              </w:rPr>
              <w:t>Zvláštní podmínky pro podnikání některých povinných osob</w:t>
            </w:r>
          </w:p>
          <w:p w:rsidR="00A705AE" w:rsidRPr="00A705AE" w:rsidRDefault="00A705AE" w:rsidP="00A705AE">
            <w:pPr>
              <w:tabs>
                <w:tab w:val="left" w:pos="360"/>
              </w:tabs>
              <w:rPr>
                <w:rFonts w:cs="Arial"/>
                <w:sz w:val="20"/>
              </w:rPr>
            </w:pPr>
            <w:r w:rsidRPr="00A705AE">
              <w:rPr>
                <w:rFonts w:cs="Arial"/>
                <w:sz w:val="20"/>
              </w:rPr>
              <w:t>(1) Jestliže povinná osoba uvedená v § 2 odst. 1 písm. c) až h) vykonává svoji podnikatelskou činnost jako právnická osoba, skutečným majitelem takové právnické osoby nebo tím, kdo řídí její podnikání, může být jen osoba bezúhonná.</w:t>
            </w:r>
          </w:p>
          <w:p w:rsidR="00A705AE" w:rsidRPr="008D5E5D" w:rsidRDefault="00A705AE" w:rsidP="00A705AE">
            <w:pPr>
              <w:tabs>
                <w:tab w:val="left" w:pos="360"/>
              </w:tabs>
              <w:rPr>
                <w:rFonts w:cs="Arial"/>
                <w:sz w:val="20"/>
              </w:rPr>
            </w:pPr>
            <w:r w:rsidRPr="00A705AE">
              <w:rPr>
                <w:rFonts w:cs="Arial"/>
                <w:sz w:val="20"/>
              </w:rPr>
              <w:t>(2) Nesplňuje-li skutečný majitel nebo ten kdo řídí podnikání právnické osoby uvedené v odstavci 1 podmínk</w:t>
            </w:r>
            <w:r w:rsidR="00B70332">
              <w:rPr>
                <w:rFonts w:cs="Arial"/>
                <w:sz w:val="20"/>
              </w:rPr>
              <w:t>u bezúhonnosti, je to důvodem k </w:t>
            </w:r>
            <w:r w:rsidRPr="00A705AE">
              <w:rPr>
                <w:rFonts w:cs="Arial"/>
                <w:sz w:val="20"/>
              </w:rPr>
              <w:t>nevydání příslušného podnikatelského oprávnění, k pozastavení v</w:t>
            </w:r>
            <w:r>
              <w:rPr>
                <w:rFonts w:cs="Arial"/>
                <w:sz w:val="20"/>
              </w:rPr>
              <w:t>ýkonu nebo k odnětí oprávnění k </w:t>
            </w:r>
            <w:r w:rsidRPr="00A705AE">
              <w:rPr>
                <w:rFonts w:cs="Arial"/>
                <w:sz w:val="20"/>
              </w:rPr>
              <w:t>podnikatelské nebo jiné samostatné výdělečné činnosti.</w:t>
            </w:r>
          </w:p>
        </w:tc>
        <w:tc>
          <w:tcPr>
            <w:tcW w:w="1412" w:type="dxa"/>
            <w:tcBorders>
              <w:top w:val="single" w:sz="4" w:space="0" w:color="auto"/>
              <w:bottom w:val="single" w:sz="4" w:space="0" w:color="auto"/>
            </w:tcBorders>
          </w:tcPr>
          <w:p w:rsidR="00A705AE"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bottom w:val="single" w:sz="4" w:space="0" w:color="auto"/>
            </w:tcBorders>
            <w:shd w:val="clear" w:color="auto" w:fill="auto"/>
          </w:tcPr>
          <w:p w:rsidR="00A705AE" w:rsidRPr="008D5E5D" w:rsidRDefault="00A705AE" w:rsidP="00C62B29">
            <w:pPr>
              <w:pStyle w:val="Zpat"/>
              <w:tabs>
                <w:tab w:val="left" w:pos="360"/>
              </w:tabs>
              <w:rPr>
                <w:rFonts w:cs="Arial"/>
                <w:sz w:val="20"/>
              </w:rPr>
            </w:pPr>
            <w:r>
              <w:rPr>
                <w:rFonts w:cs="Arial"/>
                <w:sz w:val="20"/>
              </w:rPr>
              <w:t>čl. 47 odst. 3</w:t>
            </w:r>
          </w:p>
        </w:tc>
        <w:tc>
          <w:tcPr>
            <w:tcW w:w="5103" w:type="dxa"/>
            <w:tcBorders>
              <w:top w:val="single" w:sz="4" w:space="0" w:color="auto"/>
              <w:bottom w:val="single" w:sz="4" w:space="0" w:color="auto"/>
            </w:tcBorders>
            <w:shd w:val="clear" w:color="auto" w:fill="auto"/>
          </w:tcPr>
          <w:p w:rsidR="00A705AE" w:rsidRPr="00A705AE" w:rsidRDefault="00A705AE" w:rsidP="00C62B29">
            <w:pPr>
              <w:rPr>
                <w:rFonts w:cs="Arial"/>
                <w:sz w:val="20"/>
              </w:rPr>
            </w:pPr>
            <w:r w:rsidRPr="00A705AE">
              <w:rPr>
                <w:rFonts w:cs="Arial"/>
                <w:sz w:val="20"/>
              </w:rPr>
              <w:t>3. Členské státy zajistí, aby příslušné orgány přijaly nezbytná opatření, která by zabránila odsouzeným pachatelům relevantních trestných činů nebo jejich společníkům zastávat řídící funkci v povinných osobách uvedených v čl. 2 odst. 1 bodě 3 písm. a), b) a d) nebo být jejich skutečnými majiteli.</w:t>
            </w:r>
          </w:p>
        </w:tc>
      </w:tr>
      <w:tr w:rsidR="00A705AE" w:rsidRPr="00A705AE" w:rsidTr="00A705AE">
        <w:trPr>
          <w:trHeight w:val="141"/>
        </w:trPr>
        <w:tc>
          <w:tcPr>
            <w:tcW w:w="1629" w:type="dxa"/>
            <w:tcBorders>
              <w:top w:val="single" w:sz="4" w:space="0" w:color="auto"/>
              <w:bottom w:val="single" w:sz="4" w:space="0" w:color="auto"/>
            </w:tcBorders>
          </w:tcPr>
          <w:p w:rsidR="00A705AE" w:rsidRDefault="00A705AE" w:rsidP="00C62B29">
            <w:pPr>
              <w:tabs>
                <w:tab w:val="left" w:pos="360"/>
              </w:tabs>
              <w:rPr>
                <w:rFonts w:cs="Arial"/>
                <w:sz w:val="20"/>
              </w:rPr>
            </w:pPr>
            <w:r>
              <w:rPr>
                <w:rFonts w:cs="Arial"/>
                <w:sz w:val="20"/>
              </w:rPr>
              <w:lastRenderedPageBreak/>
              <w:t>§ 29c a § 29d</w:t>
            </w:r>
          </w:p>
        </w:tc>
        <w:tc>
          <w:tcPr>
            <w:tcW w:w="4447" w:type="dxa"/>
            <w:tcBorders>
              <w:top w:val="single" w:sz="4" w:space="0" w:color="auto"/>
              <w:bottom w:val="single" w:sz="4" w:space="0" w:color="auto"/>
            </w:tcBorders>
          </w:tcPr>
          <w:p w:rsidR="00A705AE" w:rsidRPr="00A705AE" w:rsidRDefault="00A705AE" w:rsidP="00A705AE">
            <w:pPr>
              <w:tabs>
                <w:tab w:val="left" w:pos="360"/>
              </w:tabs>
              <w:rPr>
                <w:rFonts w:cs="Arial"/>
                <w:sz w:val="20"/>
              </w:rPr>
            </w:pPr>
            <w:r w:rsidRPr="00A705AE">
              <w:rPr>
                <w:rFonts w:cs="Arial"/>
                <w:sz w:val="20"/>
              </w:rPr>
              <w:t xml:space="preserve">(1) Zřizuje se </w:t>
            </w:r>
            <w:r w:rsidR="00980A7C">
              <w:rPr>
                <w:rFonts w:cs="Arial"/>
                <w:sz w:val="20"/>
              </w:rPr>
              <w:t>Ú</w:t>
            </w:r>
            <w:r w:rsidRPr="00A705AE">
              <w:rPr>
                <w:rFonts w:cs="Arial"/>
                <w:sz w:val="20"/>
              </w:rPr>
              <w:t>řad jako finanční zpravodajská jednotka pro Českou republiku se sídlem v Praze, který je správním úřadem a je podřízen Ministerstvu financí.</w:t>
            </w:r>
          </w:p>
          <w:p w:rsidR="00A705AE" w:rsidRPr="00A705AE" w:rsidRDefault="00A705AE" w:rsidP="00A705AE">
            <w:pPr>
              <w:tabs>
                <w:tab w:val="left" w:pos="360"/>
              </w:tabs>
              <w:rPr>
                <w:rFonts w:cs="Arial"/>
                <w:sz w:val="20"/>
              </w:rPr>
            </w:pPr>
            <w:r w:rsidRPr="00A705AE">
              <w:rPr>
                <w:rFonts w:cs="Arial"/>
                <w:sz w:val="20"/>
              </w:rPr>
              <w:t xml:space="preserve">(2) Jménem státu </w:t>
            </w:r>
            <w:r w:rsidR="00980A7C">
              <w:rPr>
                <w:rFonts w:cs="Arial"/>
                <w:sz w:val="20"/>
              </w:rPr>
              <w:t>Ú</w:t>
            </w:r>
            <w:r w:rsidRPr="00A705AE">
              <w:rPr>
                <w:rFonts w:cs="Arial"/>
                <w:sz w:val="20"/>
              </w:rPr>
              <w:t>řad samostatně působí v oblastech činnosti upravených tímto a dalšími právními předpisy.</w:t>
            </w:r>
          </w:p>
          <w:p w:rsidR="00A705AE" w:rsidRPr="00A705AE" w:rsidRDefault="00A705AE" w:rsidP="00A705AE">
            <w:pPr>
              <w:tabs>
                <w:tab w:val="left" w:pos="360"/>
              </w:tabs>
              <w:rPr>
                <w:rFonts w:cs="Arial"/>
                <w:sz w:val="20"/>
              </w:rPr>
            </w:pPr>
            <w:r w:rsidRPr="00A705AE">
              <w:rPr>
                <w:rFonts w:cs="Arial"/>
                <w:sz w:val="20"/>
              </w:rPr>
              <w:t xml:space="preserve">(3) Při činnosti </w:t>
            </w:r>
            <w:r w:rsidR="00980A7C">
              <w:rPr>
                <w:rFonts w:cs="Arial"/>
                <w:sz w:val="20"/>
              </w:rPr>
              <w:t>Ú</w:t>
            </w:r>
            <w:r w:rsidRPr="00A705AE">
              <w:rPr>
                <w:rFonts w:cs="Arial"/>
                <w:sz w:val="20"/>
              </w:rPr>
              <w:t>řadu jsou uplatňována taková organizační, personální a jiná opatření, která zaručují, že s informacemi získanými při jeho činnosti podle tohoto zákona nepřijde do styku nepovolaná osoba.</w:t>
            </w:r>
          </w:p>
          <w:p w:rsidR="00A705AE" w:rsidRPr="00A705AE" w:rsidRDefault="00A705AE" w:rsidP="00A705AE">
            <w:pPr>
              <w:tabs>
                <w:tab w:val="left" w:pos="360"/>
              </w:tabs>
              <w:rPr>
                <w:rFonts w:cs="Arial"/>
                <w:sz w:val="20"/>
              </w:rPr>
            </w:pPr>
            <w:r w:rsidRPr="00A705AE">
              <w:rPr>
                <w:rFonts w:cs="Arial"/>
                <w:sz w:val="20"/>
              </w:rPr>
              <w:t>(4) Úřad je účetní jednotkou; jeho příjmy a výdaje jsou součástí rozpočtové kapitoly Ministerstva financí.</w:t>
            </w:r>
          </w:p>
          <w:p w:rsidR="00A705AE" w:rsidRPr="00A705AE" w:rsidRDefault="00A705AE" w:rsidP="00A705AE">
            <w:pPr>
              <w:tabs>
                <w:tab w:val="left" w:pos="360"/>
              </w:tabs>
              <w:rPr>
                <w:rFonts w:cs="Arial"/>
                <w:sz w:val="20"/>
              </w:rPr>
            </w:pPr>
            <w:r w:rsidRPr="00A705AE">
              <w:rPr>
                <w:rFonts w:cs="Arial"/>
                <w:sz w:val="20"/>
              </w:rPr>
              <w:t>§ 29d</w:t>
            </w:r>
          </w:p>
          <w:p w:rsidR="00A705AE" w:rsidRPr="00A705AE" w:rsidRDefault="00A705AE" w:rsidP="00A705AE">
            <w:pPr>
              <w:tabs>
                <w:tab w:val="left" w:pos="360"/>
              </w:tabs>
              <w:rPr>
                <w:rFonts w:cs="Arial"/>
                <w:sz w:val="20"/>
              </w:rPr>
            </w:pPr>
            <w:r w:rsidRPr="00A705AE">
              <w:rPr>
                <w:rFonts w:cs="Arial"/>
                <w:sz w:val="20"/>
              </w:rPr>
              <w:t xml:space="preserve">(1) V čele </w:t>
            </w:r>
            <w:r w:rsidR="00980A7C">
              <w:rPr>
                <w:rFonts w:cs="Arial"/>
                <w:sz w:val="20"/>
              </w:rPr>
              <w:t>Ú</w:t>
            </w:r>
            <w:r w:rsidRPr="00A705AE">
              <w:rPr>
                <w:rFonts w:cs="Arial"/>
                <w:sz w:val="20"/>
              </w:rPr>
              <w:t>řadu stojí ředitel, kterého jmenuje a odvolává vláda na návrh ministra financí.</w:t>
            </w:r>
          </w:p>
          <w:p w:rsidR="00A705AE" w:rsidRPr="00A705AE" w:rsidRDefault="00980A7C" w:rsidP="00A705AE">
            <w:pPr>
              <w:tabs>
                <w:tab w:val="left" w:pos="360"/>
              </w:tabs>
              <w:rPr>
                <w:rFonts w:cs="Arial"/>
                <w:sz w:val="20"/>
              </w:rPr>
            </w:pPr>
            <w:r w:rsidRPr="00A705AE" w:rsidDel="00980A7C">
              <w:rPr>
                <w:rFonts w:cs="Arial"/>
                <w:sz w:val="20"/>
              </w:rPr>
              <w:t xml:space="preserve"> </w:t>
            </w:r>
            <w:r w:rsidR="00A705AE" w:rsidRPr="00A705AE">
              <w:rPr>
                <w:rFonts w:cs="Arial"/>
                <w:sz w:val="20"/>
              </w:rPr>
              <w:t>(3) Ředitel schvaluje organizační řád</w:t>
            </w:r>
            <w:r w:rsidR="00B70332">
              <w:rPr>
                <w:rFonts w:cs="Arial"/>
                <w:sz w:val="20"/>
              </w:rPr>
              <w:t xml:space="preserve"> a organizační struktur</w:t>
            </w:r>
            <w:r>
              <w:rPr>
                <w:rFonts w:cs="Arial"/>
                <w:sz w:val="20"/>
              </w:rPr>
              <w:t>u</w:t>
            </w:r>
            <w:r w:rsidR="00A705AE" w:rsidRPr="00A705AE">
              <w:rPr>
                <w:rFonts w:cs="Arial"/>
                <w:sz w:val="20"/>
              </w:rPr>
              <w:t xml:space="preserve"> </w:t>
            </w:r>
            <w:r>
              <w:rPr>
                <w:rFonts w:cs="Arial"/>
                <w:sz w:val="20"/>
              </w:rPr>
              <w:t>Ú</w:t>
            </w:r>
            <w:r w:rsidR="00A705AE" w:rsidRPr="00A705AE">
              <w:rPr>
                <w:rFonts w:cs="Arial"/>
                <w:sz w:val="20"/>
              </w:rPr>
              <w:t>řadu.</w:t>
            </w:r>
          </w:p>
        </w:tc>
        <w:tc>
          <w:tcPr>
            <w:tcW w:w="1412" w:type="dxa"/>
            <w:tcBorders>
              <w:top w:val="single" w:sz="4" w:space="0" w:color="auto"/>
              <w:bottom w:val="single" w:sz="4" w:space="0" w:color="auto"/>
            </w:tcBorders>
          </w:tcPr>
          <w:p w:rsidR="00A705AE"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bottom w:val="single" w:sz="4" w:space="0" w:color="auto"/>
            </w:tcBorders>
            <w:shd w:val="clear" w:color="auto" w:fill="auto"/>
          </w:tcPr>
          <w:p w:rsidR="00A705AE" w:rsidRPr="008D5E5D" w:rsidRDefault="00A705AE" w:rsidP="00C62B29">
            <w:pPr>
              <w:pStyle w:val="Zpat"/>
              <w:tabs>
                <w:tab w:val="left" w:pos="360"/>
              </w:tabs>
              <w:rPr>
                <w:rFonts w:cs="Arial"/>
                <w:sz w:val="20"/>
              </w:rPr>
            </w:pPr>
            <w:r>
              <w:rPr>
                <w:rFonts w:cs="Arial"/>
                <w:sz w:val="20"/>
              </w:rPr>
              <w:t>čl. 32 odst. 3</w:t>
            </w:r>
          </w:p>
        </w:tc>
        <w:tc>
          <w:tcPr>
            <w:tcW w:w="5103" w:type="dxa"/>
            <w:tcBorders>
              <w:top w:val="single" w:sz="4" w:space="0" w:color="auto"/>
              <w:bottom w:val="single" w:sz="4" w:space="0" w:color="auto"/>
            </w:tcBorders>
            <w:shd w:val="clear" w:color="auto" w:fill="auto"/>
          </w:tcPr>
          <w:p w:rsidR="00A705AE" w:rsidRPr="00A705AE" w:rsidRDefault="00A705AE" w:rsidP="00A705AE">
            <w:pPr>
              <w:rPr>
                <w:rFonts w:cs="Arial"/>
                <w:sz w:val="20"/>
              </w:rPr>
            </w:pPr>
            <w:r w:rsidRPr="00A705AE">
              <w:rPr>
                <w:rFonts w:cs="Arial"/>
                <w:sz w:val="20"/>
              </w:rPr>
              <w:t>3. Každá finanční zpravodajská jednotka musí být provozně nezávislá a samostatná, to znamená, že musí mít pravomoc a schopnost vykonávat své funkce volně, včetně schopnosti samostatně rozhodovat o tom, zda konkrétní informace analyzovat, žádat o ně a šířit je. Jakožto národní ústřední jednotka odpovídá finanční zpravodajská jednotka za příjem a analýzu oznámení podezřelých transakcí a dalších informací týkajících se praní peněz, souvisejících predikativních trestných činů nebo financování terorismu. Finanční zpravodajská jednotka odpovídá za předávání výsledků své analýzy a jakýchkoli dalších relevantních informací všem příslušným orgánům, e</w:t>
            </w:r>
            <w:r>
              <w:rPr>
                <w:rFonts w:cs="Arial"/>
                <w:sz w:val="20"/>
              </w:rPr>
              <w:t>xistují-li důvody k podezření z </w:t>
            </w:r>
            <w:r w:rsidRPr="00A705AE">
              <w:rPr>
                <w:rFonts w:cs="Arial"/>
                <w:sz w:val="20"/>
              </w:rPr>
              <w:t>praní peněz, souvisejících predikativních trestných činů nebo financování terorismu. Musí být schopna získat od povinných osob další informace.</w:t>
            </w:r>
          </w:p>
          <w:p w:rsidR="00A705AE" w:rsidRPr="00A705AE" w:rsidRDefault="00A705AE" w:rsidP="00A705AE">
            <w:pPr>
              <w:rPr>
                <w:rFonts w:cs="Arial"/>
                <w:sz w:val="20"/>
              </w:rPr>
            </w:pPr>
            <w:r w:rsidRPr="00A705AE">
              <w:rPr>
                <w:rFonts w:cs="Arial"/>
                <w:sz w:val="20"/>
              </w:rPr>
              <w:t>Členské státy poskytnou svým finančním zpravodajským jednotkám náležité finanční, lidské a technické zdroje, aby mohly plnit své úkoly.</w:t>
            </w:r>
          </w:p>
        </w:tc>
      </w:tr>
      <w:tr w:rsidR="000F52F2" w:rsidRPr="00A705AE" w:rsidTr="004F78A0">
        <w:trPr>
          <w:trHeight w:val="141"/>
        </w:trPr>
        <w:tc>
          <w:tcPr>
            <w:tcW w:w="1629" w:type="dxa"/>
            <w:tcBorders>
              <w:top w:val="single" w:sz="4" w:space="0" w:color="auto"/>
              <w:bottom w:val="single" w:sz="4" w:space="0" w:color="auto"/>
            </w:tcBorders>
          </w:tcPr>
          <w:p w:rsidR="000F52F2" w:rsidRDefault="000F52F2" w:rsidP="00C62B29">
            <w:pPr>
              <w:tabs>
                <w:tab w:val="left" w:pos="360"/>
              </w:tabs>
              <w:rPr>
                <w:rFonts w:cs="Arial"/>
                <w:sz w:val="20"/>
              </w:rPr>
            </w:pPr>
            <w:r>
              <w:rPr>
                <w:rFonts w:cs="Arial"/>
                <w:sz w:val="20"/>
              </w:rPr>
              <w:t>§ 30 odst. 3 až 5</w:t>
            </w:r>
          </w:p>
        </w:tc>
        <w:tc>
          <w:tcPr>
            <w:tcW w:w="4447" w:type="dxa"/>
            <w:tcBorders>
              <w:top w:val="single" w:sz="4" w:space="0" w:color="auto"/>
              <w:bottom w:val="single" w:sz="4" w:space="0" w:color="auto"/>
            </w:tcBorders>
          </w:tcPr>
          <w:p w:rsidR="000F52F2" w:rsidRPr="000F52F2" w:rsidRDefault="000F52F2" w:rsidP="000F52F2">
            <w:pPr>
              <w:tabs>
                <w:tab w:val="left" w:pos="360"/>
              </w:tabs>
              <w:rPr>
                <w:rFonts w:cs="Arial"/>
                <w:sz w:val="20"/>
              </w:rPr>
            </w:pPr>
            <w:r w:rsidRPr="000F52F2">
              <w:rPr>
                <w:rFonts w:cs="Arial"/>
                <w:sz w:val="20"/>
              </w:rPr>
              <w:t xml:space="preserve">(3) Úřad může v rozsahu potřebném pro šetření podezřelého obchodu žádat od správce evidence nebo zpracovatele poskytnutí informací z evidence </w:t>
            </w:r>
            <w:r w:rsidR="00980A7C">
              <w:rPr>
                <w:rFonts w:cs="Arial"/>
                <w:sz w:val="20"/>
              </w:rPr>
              <w:t>uvedené v odstavci 4</w:t>
            </w:r>
            <w:r w:rsidRPr="000F52F2">
              <w:rPr>
                <w:rFonts w:cs="Arial"/>
                <w:sz w:val="20"/>
              </w:rPr>
              <w:t>. Správce evidence nebo zpracovatel poskytne informace bezplatně, nestanoví-li jiný právní předpis jinak. Správce evidence nebo zpracovatel jsou povinni žádosti bez zbytečného odkladu vyhovět.</w:t>
            </w:r>
          </w:p>
          <w:p w:rsidR="000F52F2" w:rsidRDefault="000F52F2" w:rsidP="000F52F2">
            <w:pPr>
              <w:tabs>
                <w:tab w:val="left" w:pos="360"/>
              </w:tabs>
              <w:rPr>
                <w:rFonts w:cs="Arial"/>
                <w:sz w:val="20"/>
              </w:rPr>
            </w:pPr>
            <w:r w:rsidRPr="000F52F2">
              <w:rPr>
                <w:rFonts w:cs="Arial"/>
                <w:sz w:val="20"/>
              </w:rPr>
              <w:t xml:space="preserve">(4) Úřad může v rozsahu potřebném pro šetření podezřelého obchodu a výkon správního dozoru žádat od správce evidence nebo zpracovatele poskytnutí informací z informačního systému evidence občanských průkazů, informačního systému evidence cestovních dokladů, informačního systému evidence diplomatických a služebních pasů, </w:t>
            </w:r>
            <w:r w:rsidR="00980A7C">
              <w:rPr>
                <w:rFonts w:cs="Arial"/>
                <w:sz w:val="20"/>
              </w:rPr>
              <w:t>informačního systému cizinců</w:t>
            </w:r>
            <w:r w:rsidR="00B70332">
              <w:rPr>
                <w:rFonts w:cs="Arial"/>
                <w:sz w:val="20"/>
              </w:rPr>
              <w:t xml:space="preserve">, </w:t>
            </w:r>
            <w:r w:rsidRPr="000F52F2">
              <w:rPr>
                <w:rFonts w:cs="Arial"/>
                <w:sz w:val="20"/>
              </w:rPr>
              <w:t xml:space="preserve">informačního systému evidence obyvatel, katastru nemovitostí, základního registru obyvatel, základního registru právnických osob, </w:t>
            </w:r>
            <w:r w:rsidRPr="000F52F2">
              <w:rPr>
                <w:rFonts w:cs="Arial"/>
                <w:sz w:val="20"/>
              </w:rPr>
              <w:lastRenderedPageBreak/>
              <w:t xml:space="preserve">podnikajících fyzických osob a orgánů veřejné moci, základního registru územní identifikace, adres a nemovitostí, základního registru agend orgánů veřejné moci a některých práv a povinností, informačního systému územní identifikace, registru silničních vozidel, centrálního registru silničních vozidel, registru historických a sportovních vozidel, registru řidičů a centrálního registru řidičů způsobem umožňujícím dálkový a nepřetržitý přístup. </w:t>
            </w:r>
          </w:p>
          <w:p w:rsidR="000F52F2" w:rsidRPr="00A705AE" w:rsidRDefault="000F52F2" w:rsidP="000F52F2">
            <w:pPr>
              <w:tabs>
                <w:tab w:val="left" w:pos="360"/>
              </w:tabs>
              <w:rPr>
                <w:rFonts w:cs="Arial"/>
                <w:sz w:val="20"/>
              </w:rPr>
            </w:pPr>
            <w:r w:rsidRPr="000F52F2">
              <w:rPr>
                <w:rFonts w:cs="Arial"/>
                <w:sz w:val="20"/>
              </w:rPr>
              <w:t>(5) Úřad žádá o poskytnutí informací podle odstavců 3 a 4 pouze způsobem, který mu umožní uchovávat identifikační údaje zaměstnance, který o poskytnutí informací žádal, a o účelu, k němuž bylo o poskytnutí informací žádáno, nejméně po dobu 5 let. O skutečnostech podle věty první jsou správce evidence nebo zpracovatel povinni zachovávat mlčenlivost.</w:t>
            </w:r>
          </w:p>
        </w:tc>
        <w:tc>
          <w:tcPr>
            <w:tcW w:w="1412" w:type="dxa"/>
            <w:tcBorders>
              <w:top w:val="single" w:sz="4" w:space="0" w:color="auto"/>
              <w:bottom w:val="single" w:sz="4" w:space="0" w:color="auto"/>
            </w:tcBorders>
          </w:tcPr>
          <w:p w:rsidR="000F52F2" w:rsidRPr="00E20AE9" w:rsidRDefault="00C62B29" w:rsidP="00C62B29">
            <w:pPr>
              <w:tabs>
                <w:tab w:val="left" w:pos="360"/>
              </w:tabs>
              <w:rPr>
                <w:rFonts w:cs="Arial"/>
                <w:sz w:val="20"/>
              </w:rPr>
            </w:pPr>
            <w:r>
              <w:rPr>
                <w:rFonts w:cs="Arial"/>
                <w:sz w:val="20"/>
              </w:rPr>
              <w:lastRenderedPageBreak/>
              <w:t>32015L0849</w:t>
            </w:r>
          </w:p>
        </w:tc>
        <w:tc>
          <w:tcPr>
            <w:tcW w:w="1418" w:type="dxa"/>
            <w:tcBorders>
              <w:top w:val="single" w:sz="4" w:space="0" w:color="auto"/>
              <w:bottom w:val="single" w:sz="4" w:space="0" w:color="auto"/>
            </w:tcBorders>
            <w:shd w:val="clear" w:color="auto" w:fill="auto"/>
          </w:tcPr>
          <w:p w:rsidR="000F52F2" w:rsidRPr="000F52F2" w:rsidRDefault="000F52F2" w:rsidP="00C62B29">
            <w:pPr>
              <w:rPr>
                <w:rFonts w:cs="Arial"/>
                <w:sz w:val="20"/>
              </w:rPr>
            </w:pPr>
            <w:r w:rsidRPr="000F52F2">
              <w:rPr>
                <w:rFonts w:cs="Arial"/>
                <w:sz w:val="20"/>
              </w:rPr>
              <w:t>čl. 32 odst. 4</w:t>
            </w:r>
          </w:p>
        </w:tc>
        <w:tc>
          <w:tcPr>
            <w:tcW w:w="5103" w:type="dxa"/>
            <w:tcBorders>
              <w:top w:val="single" w:sz="4" w:space="0" w:color="auto"/>
              <w:bottom w:val="single" w:sz="4" w:space="0" w:color="auto"/>
            </w:tcBorders>
            <w:shd w:val="clear" w:color="auto" w:fill="auto"/>
          </w:tcPr>
          <w:p w:rsidR="000F52F2" w:rsidRPr="000F52F2" w:rsidRDefault="000F52F2" w:rsidP="00C62B29">
            <w:pPr>
              <w:rPr>
                <w:rFonts w:cs="Arial"/>
                <w:sz w:val="20"/>
              </w:rPr>
            </w:pPr>
            <w:r w:rsidRPr="000F52F2">
              <w:rPr>
                <w:rFonts w:cs="Arial"/>
                <w:sz w:val="20"/>
              </w:rPr>
              <w:t>4. Členské státy zajistí, aby jejich finanční zpravodajské jednotky měly včas</w:t>
            </w:r>
            <w:r w:rsidR="004F78A0">
              <w:rPr>
                <w:rFonts w:cs="Arial"/>
                <w:sz w:val="20"/>
              </w:rPr>
              <w:t>ný přímý nebo nepřímý přístup k </w:t>
            </w:r>
            <w:r w:rsidRPr="000F52F2">
              <w:rPr>
                <w:rFonts w:cs="Arial"/>
                <w:sz w:val="20"/>
              </w:rPr>
              <w:t>informacím z oblasti finanční, správní a z oblasti trestního řízení, které potřebují k řádnému plnění svých úkolů. Finanční zpravodajské jednotky musí být schopny odpovídat na žádosti o informace podané příslušnými orgány v jejich členských státech, jsou-li důvodem těchto žádostí obavy týkající se praní peněz, souvisejících predikativních trestných činů nebo financování terorismu. O provedení analýzy nebo předání informací rozhoduje finanční zpravodajská jednotka.</w:t>
            </w:r>
          </w:p>
        </w:tc>
      </w:tr>
      <w:tr w:rsidR="004F78A0" w:rsidRPr="00A705AE" w:rsidTr="004F78A0">
        <w:trPr>
          <w:trHeight w:val="141"/>
        </w:trPr>
        <w:tc>
          <w:tcPr>
            <w:tcW w:w="1629" w:type="dxa"/>
            <w:tcBorders>
              <w:top w:val="single" w:sz="4" w:space="0" w:color="auto"/>
              <w:bottom w:val="single" w:sz="4" w:space="0" w:color="auto"/>
            </w:tcBorders>
          </w:tcPr>
          <w:p w:rsidR="004F78A0" w:rsidRDefault="004F78A0" w:rsidP="00C62B29">
            <w:pPr>
              <w:tabs>
                <w:tab w:val="left" w:pos="360"/>
              </w:tabs>
              <w:rPr>
                <w:rFonts w:cs="Arial"/>
                <w:sz w:val="20"/>
              </w:rPr>
            </w:pPr>
            <w:r>
              <w:rPr>
                <w:rFonts w:cs="Arial"/>
                <w:sz w:val="20"/>
              </w:rPr>
              <w:lastRenderedPageBreak/>
              <w:t>§ 30a</w:t>
            </w:r>
          </w:p>
        </w:tc>
        <w:tc>
          <w:tcPr>
            <w:tcW w:w="4447" w:type="dxa"/>
            <w:tcBorders>
              <w:top w:val="single" w:sz="4" w:space="0" w:color="auto"/>
              <w:bottom w:val="single" w:sz="4" w:space="0" w:color="auto"/>
            </w:tcBorders>
          </w:tcPr>
          <w:p w:rsidR="004F78A0" w:rsidRPr="004F78A0" w:rsidRDefault="004F78A0" w:rsidP="004F78A0">
            <w:pPr>
              <w:tabs>
                <w:tab w:val="left" w:pos="360"/>
              </w:tabs>
              <w:rPr>
                <w:rFonts w:cs="Arial"/>
                <w:sz w:val="20"/>
              </w:rPr>
            </w:pPr>
            <w:r w:rsidRPr="004F78A0">
              <w:rPr>
                <w:rFonts w:cs="Arial"/>
                <w:sz w:val="20"/>
              </w:rPr>
              <w:t>Národní hodnocení rizik</w:t>
            </w:r>
          </w:p>
          <w:p w:rsidR="00C576E0" w:rsidRPr="00C576E0" w:rsidRDefault="00C576E0" w:rsidP="00C576E0">
            <w:pPr>
              <w:tabs>
                <w:tab w:val="left" w:pos="360"/>
              </w:tabs>
              <w:rPr>
                <w:rFonts w:cs="Arial"/>
                <w:sz w:val="20"/>
              </w:rPr>
            </w:pPr>
            <w:r w:rsidRPr="00C576E0">
              <w:rPr>
                <w:rFonts w:cs="Arial"/>
                <w:sz w:val="20"/>
              </w:rPr>
              <w:t xml:space="preserve">Úřad koordinuje proces posouzení rizik legalizace výnosů z trestné činnosti a financování terorismu na úrovni České republiky (dále jen „národní hodnocení rizik“). Na zpracování národního hodnocení rizik a jeho průběžné aktualizaci se podílí rovněž povinné osoby, Česká národní banka, orgány činné v trestním řízení, ostatní zainteresované státní orgány a další instituce. </w:t>
            </w:r>
          </w:p>
          <w:p w:rsidR="00C576E0" w:rsidRPr="00C576E0" w:rsidRDefault="00C576E0" w:rsidP="00C576E0">
            <w:pPr>
              <w:tabs>
                <w:tab w:val="left" w:pos="360"/>
              </w:tabs>
              <w:rPr>
                <w:rFonts w:cs="Arial"/>
                <w:sz w:val="20"/>
              </w:rPr>
            </w:pPr>
            <w:r w:rsidRPr="00C576E0">
              <w:rPr>
                <w:rFonts w:cs="Arial"/>
                <w:sz w:val="20"/>
              </w:rPr>
              <w:t>(2) Posouzení ri</w:t>
            </w:r>
            <w:r>
              <w:rPr>
                <w:rFonts w:cs="Arial"/>
                <w:sz w:val="20"/>
              </w:rPr>
              <w:t>zik podle odstavce 1 zohlední i </w:t>
            </w:r>
            <w:r w:rsidRPr="00C576E0">
              <w:rPr>
                <w:rFonts w:cs="Arial"/>
                <w:sz w:val="20"/>
              </w:rPr>
              <w:t>hodnocení rizik provedená orgány Evropské unie a dalšími nadnárodními či mezinárodními institucemi.</w:t>
            </w:r>
          </w:p>
          <w:p w:rsidR="00C576E0" w:rsidRPr="00C576E0" w:rsidRDefault="00C576E0" w:rsidP="00C576E0">
            <w:pPr>
              <w:tabs>
                <w:tab w:val="left" w:pos="360"/>
              </w:tabs>
              <w:rPr>
                <w:rFonts w:cs="Arial"/>
                <w:sz w:val="20"/>
              </w:rPr>
            </w:pPr>
            <w:r w:rsidRPr="00C576E0">
              <w:rPr>
                <w:rFonts w:cs="Arial"/>
                <w:sz w:val="20"/>
              </w:rPr>
              <w:t>(3) Národní hodnocení rizik slouží zejména ke zdokonalení opa</w:t>
            </w:r>
            <w:r>
              <w:rPr>
                <w:rFonts w:cs="Arial"/>
                <w:sz w:val="20"/>
              </w:rPr>
              <w:t>tření proti legalizaci výnosů z </w:t>
            </w:r>
            <w:r w:rsidRPr="00C576E0">
              <w:rPr>
                <w:rFonts w:cs="Arial"/>
                <w:sz w:val="20"/>
              </w:rPr>
              <w:t>trestné činnosti a financování terorismu na úrovni státní správy a u povinných osob.</w:t>
            </w:r>
          </w:p>
          <w:p w:rsidR="00C576E0" w:rsidRPr="00C576E0" w:rsidRDefault="00C576E0" w:rsidP="00C576E0">
            <w:pPr>
              <w:tabs>
                <w:tab w:val="left" w:pos="360"/>
              </w:tabs>
              <w:rPr>
                <w:rFonts w:cs="Arial"/>
                <w:sz w:val="20"/>
              </w:rPr>
            </w:pPr>
            <w:r w:rsidRPr="00C576E0">
              <w:rPr>
                <w:rFonts w:cs="Arial"/>
                <w:sz w:val="20"/>
              </w:rPr>
              <w:t>(4) Národní hodnocení rizik se aktualizuje zejména s ohledem na vývoj rizik legalizace výnosů z trestné činnosti a financování terorismu a činnost orgánů Evropské unie.</w:t>
            </w:r>
          </w:p>
          <w:p w:rsidR="004F78A0" w:rsidRPr="000F52F2" w:rsidRDefault="00C576E0" w:rsidP="00C576E0">
            <w:pPr>
              <w:tabs>
                <w:tab w:val="left" w:pos="360"/>
              </w:tabs>
              <w:rPr>
                <w:rFonts w:cs="Arial"/>
                <w:sz w:val="20"/>
              </w:rPr>
            </w:pPr>
            <w:r w:rsidRPr="00C576E0">
              <w:rPr>
                <w:rFonts w:cs="Arial"/>
                <w:sz w:val="20"/>
              </w:rPr>
              <w:lastRenderedPageBreak/>
              <w:t>(5) Na základě dílčího hodnocení rizik jednotlivými subjekty podle odstavce 1 Úřad vypracovává a předkládá vládě k projednání konečnou verzi národního hodnocení rizik a jeho aktualizace.</w:t>
            </w:r>
          </w:p>
        </w:tc>
        <w:tc>
          <w:tcPr>
            <w:tcW w:w="1412" w:type="dxa"/>
            <w:tcBorders>
              <w:top w:val="single" w:sz="4" w:space="0" w:color="auto"/>
              <w:bottom w:val="single" w:sz="4" w:space="0" w:color="auto"/>
            </w:tcBorders>
          </w:tcPr>
          <w:p w:rsidR="004F78A0" w:rsidRPr="00E20AE9" w:rsidRDefault="00C62B29" w:rsidP="00C62B29">
            <w:pPr>
              <w:tabs>
                <w:tab w:val="left" w:pos="360"/>
              </w:tabs>
              <w:rPr>
                <w:rFonts w:cs="Arial"/>
                <w:sz w:val="20"/>
              </w:rPr>
            </w:pPr>
            <w:r>
              <w:rPr>
                <w:rFonts w:cs="Arial"/>
                <w:sz w:val="20"/>
              </w:rPr>
              <w:lastRenderedPageBreak/>
              <w:t>32015L0849</w:t>
            </w:r>
          </w:p>
        </w:tc>
        <w:tc>
          <w:tcPr>
            <w:tcW w:w="1418" w:type="dxa"/>
            <w:tcBorders>
              <w:top w:val="single" w:sz="4" w:space="0" w:color="auto"/>
              <w:bottom w:val="single" w:sz="4" w:space="0" w:color="auto"/>
            </w:tcBorders>
            <w:shd w:val="clear" w:color="auto" w:fill="auto"/>
          </w:tcPr>
          <w:p w:rsidR="004F78A0" w:rsidRPr="000F52F2" w:rsidRDefault="004F78A0" w:rsidP="004F78A0">
            <w:pPr>
              <w:rPr>
                <w:rFonts w:cs="Arial"/>
                <w:sz w:val="20"/>
              </w:rPr>
            </w:pPr>
            <w:r w:rsidRPr="000F52F2">
              <w:rPr>
                <w:rFonts w:cs="Arial"/>
                <w:sz w:val="20"/>
              </w:rPr>
              <w:t xml:space="preserve">čl. </w:t>
            </w:r>
            <w:r>
              <w:rPr>
                <w:rFonts w:cs="Arial"/>
                <w:sz w:val="20"/>
              </w:rPr>
              <w:t>7</w:t>
            </w:r>
          </w:p>
        </w:tc>
        <w:tc>
          <w:tcPr>
            <w:tcW w:w="5103" w:type="dxa"/>
            <w:tcBorders>
              <w:top w:val="single" w:sz="4" w:space="0" w:color="auto"/>
              <w:bottom w:val="single" w:sz="4" w:space="0" w:color="auto"/>
            </w:tcBorders>
            <w:shd w:val="clear" w:color="auto" w:fill="auto"/>
          </w:tcPr>
          <w:p w:rsidR="004F78A0" w:rsidRPr="004F78A0" w:rsidRDefault="004F78A0" w:rsidP="004F78A0">
            <w:pPr>
              <w:tabs>
                <w:tab w:val="left" w:pos="360"/>
              </w:tabs>
              <w:rPr>
                <w:rFonts w:cs="Arial"/>
                <w:sz w:val="20"/>
              </w:rPr>
            </w:pPr>
            <w:r w:rsidRPr="004F78A0">
              <w:rPr>
                <w:rFonts w:cs="Arial"/>
                <w:sz w:val="20"/>
              </w:rPr>
              <w:t>1. Každý členský stát přijme vhodná opatření k identifikaci, posouzení, pochopení a zmírnění rizik praní peněz a financování terorismu, kterým čelí, i jakýchkoli souvisejících otázek v oblasti ochrany údajů. Toto posouzení rizik průběžně aktualizuje.</w:t>
            </w:r>
          </w:p>
          <w:p w:rsidR="004F78A0" w:rsidRPr="004F78A0" w:rsidRDefault="004F78A0" w:rsidP="004F78A0">
            <w:pPr>
              <w:tabs>
                <w:tab w:val="left" w:pos="360"/>
              </w:tabs>
              <w:rPr>
                <w:rFonts w:cs="Arial"/>
                <w:sz w:val="20"/>
              </w:rPr>
            </w:pPr>
            <w:r w:rsidRPr="004F78A0">
              <w:rPr>
                <w:rFonts w:cs="Arial"/>
                <w:sz w:val="20"/>
              </w:rPr>
              <w:t>2. Každý členský stát určí orgán nebo vytvoří mechanismus, jímž bude koordinovat opatření na vnitrostátní úrovni v reakci na rizika uvedená v odstavci 1. Název tohoto orgánu nebo popis tohoto mechanismu oznámí Komisi, evropským orgánům dohledu a ostatním členským státům.</w:t>
            </w:r>
          </w:p>
          <w:p w:rsidR="004F78A0" w:rsidRPr="004F78A0" w:rsidRDefault="004F78A0" w:rsidP="004F78A0">
            <w:pPr>
              <w:tabs>
                <w:tab w:val="left" w:pos="360"/>
              </w:tabs>
              <w:rPr>
                <w:rFonts w:cs="Arial"/>
                <w:sz w:val="20"/>
              </w:rPr>
            </w:pPr>
            <w:r w:rsidRPr="004F78A0">
              <w:rPr>
                <w:rFonts w:cs="Arial"/>
                <w:sz w:val="20"/>
              </w:rPr>
              <w:t>3. Při provádění posouzení rizik uvedeného v odstavci 1 tohoto článku členské státy využijí zjištění obsažená ve zprávě uvedené v čl. 6 odst. 1.</w:t>
            </w:r>
          </w:p>
          <w:p w:rsidR="004F78A0" w:rsidRPr="004F78A0" w:rsidRDefault="004F78A0" w:rsidP="004F78A0">
            <w:pPr>
              <w:tabs>
                <w:tab w:val="left" w:pos="360"/>
              </w:tabs>
              <w:rPr>
                <w:rFonts w:cs="Arial"/>
                <w:sz w:val="20"/>
              </w:rPr>
            </w:pPr>
            <w:r w:rsidRPr="004F78A0">
              <w:rPr>
                <w:rFonts w:cs="Arial"/>
                <w:sz w:val="20"/>
              </w:rPr>
              <w:t>4. Pokud jde o posouzení rizik uvedené v odstavci 1, každý členský stát:</w:t>
            </w:r>
          </w:p>
          <w:p w:rsidR="004F78A0" w:rsidRPr="004F78A0" w:rsidRDefault="004F78A0" w:rsidP="004F78A0">
            <w:pPr>
              <w:tabs>
                <w:tab w:val="left" w:pos="360"/>
              </w:tabs>
              <w:rPr>
                <w:rFonts w:cs="Arial"/>
                <w:sz w:val="20"/>
              </w:rPr>
            </w:pPr>
            <w:r w:rsidRPr="004F78A0">
              <w:rPr>
                <w:rFonts w:cs="Arial"/>
                <w:sz w:val="20"/>
              </w:rPr>
              <w:t>a) je použije ke zdokonalení svého režimu pro boj proti praní peněz a financování terorismu, zejména určením veškerých oblastí, kde mají povinné osoby uplatňovat zesílená opatření, a případně s uvedením opatření, která mají být přijata;</w:t>
            </w:r>
          </w:p>
          <w:p w:rsidR="004F78A0" w:rsidRPr="004F78A0" w:rsidRDefault="004F78A0" w:rsidP="004F78A0">
            <w:pPr>
              <w:tabs>
                <w:tab w:val="left" w:pos="360"/>
              </w:tabs>
              <w:rPr>
                <w:rFonts w:cs="Arial"/>
                <w:sz w:val="20"/>
              </w:rPr>
            </w:pPr>
            <w:r w:rsidRPr="004F78A0">
              <w:rPr>
                <w:rFonts w:cs="Arial"/>
                <w:sz w:val="20"/>
              </w:rPr>
              <w:lastRenderedPageBreak/>
              <w:t>b) identifikuje případná odvětví nebo oblasti s nižším nebo vyšším rizikem praní peněz a financování terorismu;</w:t>
            </w:r>
          </w:p>
          <w:p w:rsidR="004F78A0" w:rsidRPr="004F78A0" w:rsidRDefault="004F78A0" w:rsidP="004F78A0">
            <w:pPr>
              <w:tabs>
                <w:tab w:val="left" w:pos="360"/>
              </w:tabs>
              <w:rPr>
                <w:rFonts w:cs="Arial"/>
                <w:sz w:val="20"/>
              </w:rPr>
            </w:pPr>
            <w:r w:rsidRPr="004F78A0">
              <w:rPr>
                <w:rFonts w:cs="Arial"/>
                <w:sz w:val="20"/>
              </w:rPr>
              <w:t>c) je použije, aby mu pomohlo při alokaci zdrojů a stanovení jejich priorit pro boj proti praní peněz a financování terorismu;</w:t>
            </w:r>
          </w:p>
          <w:p w:rsidR="004F78A0" w:rsidRPr="004F78A0" w:rsidRDefault="004F78A0" w:rsidP="004F78A0">
            <w:pPr>
              <w:tabs>
                <w:tab w:val="left" w:pos="360"/>
              </w:tabs>
              <w:rPr>
                <w:rFonts w:cs="Arial"/>
                <w:sz w:val="20"/>
              </w:rPr>
            </w:pPr>
            <w:r w:rsidRPr="004F78A0">
              <w:rPr>
                <w:rFonts w:cs="Arial"/>
                <w:sz w:val="20"/>
              </w:rPr>
              <w:t>d) je použije k zajištění toho, aby byla pro každé odvětví nebo pro každou oblast vypracována vhodná pravidla odpovídající rizikům praní peněz a financování terorismu;</w:t>
            </w:r>
          </w:p>
          <w:p w:rsidR="004F78A0" w:rsidRPr="004F78A0" w:rsidRDefault="004F78A0" w:rsidP="004F78A0">
            <w:pPr>
              <w:tabs>
                <w:tab w:val="left" w:pos="360"/>
              </w:tabs>
              <w:rPr>
                <w:rFonts w:cs="Arial"/>
                <w:sz w:val="20"/>
              </w:rPr>
            </w:pPr>
            <w:r w:rsidRPr="004F78A0">
              <w:rPr>
                <w:rFonts w:cs="Arial"/>
                <w:sz w:val="20"/>
              </w:rPr>
              <w:t>e) příslušné informace neprodleně zpřístupní povinným osobám, aby jim usnadnil provedení vlastních posouzení rizik v oblasti praní peněz a financování terorismu.</w:t>
            </w:r>
          </w:p>
          <w:p w:rsidR="004F78A0" w:rsidRDefault="004F78A0" w:rsidP="004F78A0">
            <w:pPr>
              <w:tabs>
                <w:tab w:val="left" w:pos="360"/>
              </w:tabs>
              <w:rPr>
                <w:sz w:val="16"/>
                <w:szCs w:val="16"/>
              </w:rPr>
            </w:pPr>
            <w:r w:rsidRPr="004F78A0">
              <w:rPr>
                <w:rFonts w:cs="Arial"/>
                <w:sz w:val="20"/>
              </w:rPr>
              <w:t>5. Členské státy poskytnou výsledky svých posouzení rizik Komisi, evropským orgánům dohledu a ostatním členským státům.</w:t>
            </w:r>
          </w:p>
        </w:tc>
      </w:tr>
      <w:tr w:rsidR="006A3874" w:rsidRPr="00A705AE" w:rsidTr="00810028">
        <w:trPr>
          <w:trHeight w:val="141"/>
        </w:trPr>
        <w:tc>
          <w:tcPr>
            <w:tcW w:w="1629" w:type="dxa"/>
            <w:tcBorders>
              <w:top w:val="single" w:sz="4" w:space="0" w:color="auto"/>
              <w:bottom w:val="nil"/>
            </w:tcBorders>
          </w:tcPr>
          <w:p w:rsidR="006A3874" w:rsidRDefault="006A3874" w:rsidP="00C62B29">
            <w:pPr>
              <w:tabs>
                <w:tab w:val="left" w:pos="360"/>
              </w:tabs>
              <w:rPr>
                <w:rFonts w:cs="Arial"/>
                <w:sz w:val="20"/>
              </w:rPr>
            </w:pPr>
            <w:r>
              <w:rPr>
                <w:rFonts w:cs="Arial"/>
                <w:sz w:val="20"/>
              </w:rPr>
              <w:lastRenderedPageBreak/>
              <w:t>§ 39 odst. 4</w:t>
            </w:r>
            <w:r w:rsidR="004956EB">
              <w:rPr>
                <w:rFonts w:cs="Arial"/>
                <w:sz w:val="20"/>
              </w:rPr>
              <w:t xml:space="preserve"> </w:t>
            </w:r>
          </w:p>
        </w:tc>
        <w:tc>
          <w:tcPr>
            <w:tcW w:w="4447" w:type="dxa"/>
            <w:tcBorders>
              <w:top w:val="single" w:sz="4" w:space="0" w:color="auto"/>
              <w:bottom w:val="nil"/>
            </w:tcBorders>
          </w:tcPr>
          <w:p w:rsidR="006A3874" w:rsidRDefault="006A3874" w:rsidP="004F78A0">
            <w:pPr>
              <w:tabs>
                <w:tab w:val="left" w:pos="360"/>
              </w:tabs>
              <w:rPr>
                <w:rFonts w:cs="Arial"/>
                <w:sz w:val="20"/>
              </w:rPr>
            </w:pPr>
            <w:r w:rsidRPr="006A3874">
              <w:rPr>
                <w:rFonts w:cs="Arial"/>
                <w:sz w:val="20"/>
              </w:rPr>
              <w:t>Výjimky uvedené v odstavci 1</w:t>
            </w:r>
            <w:r w:rsidR="00980A7C">
              <w:rPr>
                <w:rFonts w:cs="Arial"/>
                <w:sz w:val="20"/>
              </w:rPr>
              <w:t xml:space="preserve"> písmen c) až m)</w:t>
            </w:r>
          </w:p>
          <w:p w:rsidR="004956EB" w:rsidRDefault="004956EB" w:rsidP="004F78A0">
            <w:pPr>
              <w:tabs>
                <w:tab w:val="left" w:pos="360"/>
              </w:tabs>
              <w:rPr>
                <w:rFonts w:cs="Arial"/>
                <w:sz w:val="20"/>
              </w:rPr>
            </w:pPr>
            <w:r>
              <w:rPr>
                <w:rFonts w:cs="Arial"/>
                <w:sz w:val="20"/>
              </w:rPr>
              <w:t xml:space="preserve">a) </w:t>
            </w:r>
            <w:r w:rsidRPr="004956EB">
              <w:rPr>
                <w:rFonts w:cs="Arial"/>
                <w:sz w:val="20"/>
              </w:rPr>
              <w:t>se uplatní jen v nezbytně nutném rozsahu podle účelu poskytované informace, a to zejména s ohledem na ochranu informací o oznamovatelích podezřelých obchodů,</w:t>
            </w:r>
          </w:p>
          <w:p w:rsidR="006A3874" w:rsidRPr="004F78A0" w:rsidRDefault="006A3874" w:rsidP="004F78A0">
            <w:pPr>
              <w:tabs>
                <w:tab w:val="left" w:pos="360"/>
              </w:tabs>
              <w:rPr>
                <w:rFonts w:cs="Arial"/>
                <w:sz w:val="20"/>
              </w:rPr>
            </w:pPr>
            <w:r>
              <w:rPr>
                <w:rFonts w:cs="Arial"/>
                <w:sz w:val="20"/>
              </w:rPr>
              <w:t xml:space="preserve">b) </w:t>
            </w:r>
            <w:r w:rsidRPr="006A3874">
              <w:rPr>
                <w:rFonts w:cs="Arial"/>
                <w:sz w:val="20"/>
              </w:rPr>
              <w:t>nelze uplatnit, pokud by poskytnutí informací mohlo zmařit nebo ohrozit šetření podezřelého obchodu nebo probíhající trestní řízení, nebo jestliže by poskytnutí informací bylo zjevně nepřiměřené oprávněným zájmům osoby, jíž se informace týká, nebo účelu, pro který byla žádost podána.“.</w:t>
            </w:r>
          </w:p>
        </w:tc>
        <w:tc>
          <w:tcPr>
            <w:tcW w:w="1412" w:type="dxa"/>
            <w:tcBorders>
              <w:top w:val="single" w:sz="4" w:space="0" w:color="auto"/>
              <w:bottom w:val="nil"/>
            </w:tcBorders>
          </w:tcPr>
          <w:p w:rsidR="006A3874" w:rsidRDefault="006A3874" w:rsidP="00C62B29">
            <w:pPr>
              <w:tabs>
                <w:tab w:val="left" w:pos="360"/>
              </w:tabs>
              <w:rPr>
                <w:rFonts w:cs="Arial"/>
                <w:sz w:val="20"/>
              </w:rPr>
            </w:pPr>
            <w:r>
              <w:rPr>
                <w:rFonts w:cs="Arial"/>
                <w:sz w:val="20"/>
              </w:rPr>
              <w:t>32015L0849</w:t>
            </w:r>
          </w:p>
        </w:tc>
        <w:tc>
          <w:tcPr>
            <w:tcW w:w="1418" w:type="dxa"/>
            <w:tcBorders>
              <w:top w:val="single" w:sz="4" w:space="0" w:color="auto"/>
              <w:bottom w:val="nil"/>
            </w:tcBorders>
            <w:shd w:val="clear" w:color="auto" w:fill="auto"/>
          </w:tcPr>
          <w:p w:rsidR="006A3874" w:rsidRPr="000F52F2" w:rsidRDefault="006A3874" w:rsidP="004F78A0">
            <w:pPr>
              <w:rPr>
                <w:rFonts w:cs="Arial"/>
                <w:sz w:val="20"/>
              </w:rPr>
            </w:pPr>
            <w:r>
              <w:rPr>
                <w:rFonts w:cs="Arial"/>
                <w:sz w:val="20"/>
              </w:rPr>
              <w:t>čl. 32 odst. 5</w:t>
            </w:r>
          </w:p>
        </w:tc>
        <w:tc>
          <w:tcPr>
            <w:tcW w:w="5103" w:type="dxa"/>
            <w:tcBorders>
              <w:top w:val="single" w:sz="4" w:space="0" w:color="auto"/>
              <w:bottom w:val="nil"/>
            </w:tcBorders>
            <w:shd w:val="clear" w:color="auto" w:fill="auto"/>
          </w:tcPr>
          <w:p w:rsidR="006A3874" w:rsidRPr="004F78A0" w:rsidRDefault="006A3874" w:rsidP="004F78A0">
            <w:pPr>
              <w:tabs>
                <w:tab w:val="left" w:pos="360"/>
              </w:tabs>
              <w:rPr>
                <w:rFonts w:cs="Arial"/>
                <w:sz w:val="20"/>
              </w:rPr>
            </w:pPr>
            <w:r w:rsidRPr="006A3874">
              <w:rPr>
                <w:rFonts w:cs="Arial"/>
                <w:sz w:val="20"/>
              </w:rPr>
              <w:t>Finanční zpravodajská jednotka nemá povinnost žádosti o informace vyhovět, jestliže má objektivní důvody předpokládat, že by poskytnutí takových informací mělo nepříznivý dopad na probíhající vyšetřování nebo analýzy, nebo, ve výjimečných případech, jestliže by poskytnutí informací bylo zjevně nepřiměřené oprávněným zájmům fyzické nebo právnické osoby nebo irelevantní s ohledem na účely, pro které byla žádost podána.</w:t>
            </w:r>
          </w:p>
        </w:tc>
      </w:tr>
      <w:tr w:rsidR="004956EB" w:rsidRPr="00A705AE" w:rsidTr="00810028">
        <w:trPr>
          <w:trHeight w:val="141"/>
        </w:trPr>
        <w:tc>
          <w:tcPr>
            <w:tcW w:w="1629" w:type="dxa"/>
            <w:tcBorders>
              <w:top w:val="nil"/>
              <w:bottom w:val="single" w:sz="4" w:space="0" w:color="auto"/>
            </w:tcBorders>
          </w:tcPr>
          <w:p w:rsidR="004956EB" w:rsidRDefault="004956EB" w:rsidP="004F78A0">
            <w:pPr>
              <w:tabs>
                <w:tab w:val="left" w:pos="360"/>
              </w:tabs>
              <w:rPr>
                <w:rFonts w:cs="Arial"/>
                <w:sz w:val="20"/>
              </w:rPr>
            </w:pPr>
          </w:p>
        </w:tc>
        <w:tc>
          <w:tcPr>
            <w:tcW w:w="4447" w:type="dxa"/>
            <w:tcBorders>
              <w:top w:val="nil"/>
              <w:bottom w:val="single" w:sz="4" w:space="0" w:color="auto"/>
            </w:tcBorders>
          </w:tcPr>
          <w:p w:rsidR="004956EB" w:rsidRPr="004F78A0" w:rsidRDefault="004956EB" w:rsidP="004F78A0">
            <w:pPr>
              <w:tabs>
                <w:tab w:val="left" w:pos="360"/>
              </w:tabs>
              <w:rPr>
                <w:rFonts w:cs="Arial"/>
                <w:sz w:val="20"/>
              </w:rPr>
            </w:pPr>
          </w:p>
        </w:tc>
        <w:tc>
          <w:tcPr>
            <w:tcW w:w="1412" w:type="dxa"/>
            <w:tcBorders>
              <w:top w:val="nil"/>
              <w:bottom w:val="single" w:sz="4" w:space="0" w:color="auto"/>
            </w:tcBorders>
          </w:tcPr>
          <w:p w:rsidR="004956EB" w:rsidRDefault="009C4643" w:rsidP="00C62B29">
            <w:pPr>
              <w:tabs>
                <w:tab w:val="left" w:pos="360"/>
              </w:tabs>
              <w:rPr>
                <w:rFonts w:cs="Arial"/>
                <w:sz w:val="20"/>
              </w:rPr>
            </w:pPr>
            <w:r>
              <w:rPr>
                <w:rFonts w:cs="Arial"/>
                <w:sz w:val="20"/>
              </w:rPr>
              <w:t>32015L0849</w:t>
            </w:r>
          </w:p>
        </w:tc>
        <w:tc>
          <w:tcPr>
            <w:tcW w:w="1418" w:type="dxa"/>
            <w:tcBorders>
              <w:top w:val="nil"/>
              <w:bottom w:val="single" w:sz="4" w:space="0" w:color="auto"/>
            </w:tcBorders>
            <w:shd w:val="clear" w:color="auto" w:fill="auto"/>
          </w:tcPr>
          <w:p w:rsidR="004956EB" w:rsidRPr="000F52F2" w:rsidRDefault="009C4643" w:rsidP="004F78A0">
            <w:pPr>
              <w:rPr>
                <w:rFonts w:cs="Arial"/>
                <w:sz w:val="20"/>
              </w:rPr>
            </w:pPr>
            <w:r>
              <w:rPr>
                <w:rFonts w:cs="Arial"/>
                <w:sz w:val="20"/>
              </w:rPr>
              <w:t>čl. 38</w:t>
            </w:r>
          </w:p>
        </w:tc>
        <w:tc>
          <w:tcPr>
            <w:tcW w:w="5103" w:type="dxa"/>
            <w:tcBorders>
              <w:top w:val="nil"/>
              <w:bottom w:val="single" w:sz="4" w:space="0" w:color="auto"/>
            </w:tcBorders>
            <w:shd w:val="clear" w:color="auto" w:fill="auto"/>
          </w:tcPr>
          <w:p w:rsidR="004956EB" w:rsidRPr="004F78A0" w:rsidRDefault="009C4643" w:rsidP="004F78A0">
            <w:pPr>
              <w:tabs>
                <w:tab w:val="left" w:pos="360"/>
              </w:tabs>
              <w:rPr>
                <w:rFonts w:cs="Arial"/>
                <w:sz w:val="20"/>
              </w:rPr>
            </w:pPr>
            <w:r>
              <w:rPr>
                <w:sz w:val="19"/>
                <w:szCs w:val="19"/>
              </w:rPr>
              <w:t>Členské státy zajistí, aby fyzické osoby, včetně zaměstnanců a zástupců povinné osoby, které podávají oznámení o podezření na praní peněz nebo financování terorismu interně nebo finanční zpravodajské jednotce, byly chráněny před hrozbami nebo nepřátelským jednáním, zejména před nepříznivým nebo diskriminačním zacházením v zaměstnání.</w:t>
            </w:r>
          </w:p>
        </w:tc>
      </w:tr>
      <w:tr w:rsidR="004F78A0" w:rsidRPr="00A705AE" w:rsidTr="00810028">
        <w:trPr>
          <w:trHeight w:val="141"/>
        </w:trPr>
        <w:tc>
          <w:tcPr>
            <w:tcW w:w="1629" w:type="dxa"/>
            <w:tcBorders>
              <w:top w:val="single" w:sz="4" w:space="0" w:color="auto"/>
              <w:bottom w:val="dashSmallGap" w:sz="4" w:space="0" w:color="4F81BD" w:themeColor="accent1"/>
            </w:tcBorders>
          </w:tcPr>
          <w:p w:rsidR="004F78A0" w:rsidRDefault="004F78A0" w:rsidP="004F78A0">
            <w:pPr>
              <w:tabs>
                <w:tab w:val="left" w:pos="360"/>
              </w:tabs>
              <w:rPr>
                <w:rFonts w:cs="Arial"/>
                <w:sz w:val="20"/>
              </w:rPr>
            </w:pPr>
            <w:r>
              <w:rPr>
                <w:rFonts w:cs="Arial"/>
                <w:sz w:val="20"/>
              </w:rPr>
              <w:t>§ 51a</w:t>
            </w:r>
          </w:p>
        </w:tc>
        <w:tc>
          <w:tcPr>
            <w:tcW w:w="4447" w:type="dxa"/>
            <w:tcBorders>
              <w:top w:val="single" w:sz="4" w:space="0" w:color="auto"/>
              <w:bottom w:val="dashSmallGap" w:sz="4" w:space="0" w:color="4F81BD" w:themeColor="accent1"/>
            </w:tcBorders>
          </w:tcPr>
          <w:p w:rsidR="00C576E0" w:rsidRPr="00C576E0" w:rsidRDefault="00C576E0" w:rsidP="00C576E0">
            <w:pPr>
              <w:tabs>
                <w:tab w:val="left" w:pos="360"/>
              </w:tabs>
              <w:rPr>
                <w:rFonts w:cs="Arial"/>
                <w:sz w:val="20"/>
              </w:rPr>
            </w:pPr>
            <w:r w:rsidRPr="00C576E0">
              <w:rPr>
                <w:rFonts w:cs="Arial"/>
                <w:sz w:val="20"/>
              </w:rPr>
              <w:t xml:space="preserve">(1) Za správní delikt povinné osoby podle § 43 až 49 může správní orgán uvedený v § 35 odst. 1 s přihlédnutím k povaze a závažnosti, jakož i k dalším okolnostem spáchaného správního deliktu, uložit též sankci zveřejnění rozhodnutí o správním </w:t>
            </w:r>
            <w:r w:rsidRPr="00C576E0">
              <w:rPr>
                <w:rFonts w:cs="Arial"/>
                <w:sz w:val="20"/>
              </w:rPr>
              <w:lastRenderedPageBreak/>
              <w:t xml:space="preserve">deliktu. </w:t>
            </w:r>
          </w:p>
          <w:p w:rsidR="00C576E0" w:rsidRPr="00C576E0" w:rsidRDefault="00C576E0" w:rsidP="00C576E0">
            <w:pPr>
              <w:tabs>
                <w:tab w:val="left" w:pos="360"/>
              </w:tabs>
              <w:rPr>
                <w:rFonts w:cs="Arial"/>
                <w:sz w:val="20"/>
              </w:rPr>
            </w:pPr>
            <w:r w:rsidRPr="00C576E0">
              <w:rPr>
                <w:rFonts w:cs="Arial"/>
                <w:sz w:val="20"/>
              </w:rPr>
              <w:t>(2) Sankce zveřejnění rozhodnutí o správním deliktu spočívá v uveřejnění výrokové č</w:t>
            </w:r>
            <w:r>
              <w:rPr>
                <w:rFonts w:cs="Arial"/>
                <w:sz w:val="20"/>
              </w:rPr>
              <w:t>ásti pravomocného rozhodnutí o</w:t>
            </w:r>
            <w:r w:rsidRPr="00C576E0">
              <w:rPr>
                <w:rFonts w:cs="Arial"/>
                <w:sz w:val="20"/>
              </w:rPr>
              <w:t xml:space="preserve"> správním deliktu na internetových stránkách Úřadu po dobu 5 let. </w:t>
            </w:r>
          </w:p>
          <w:p w:rsidR="00C576E0" w:rsidRPr="00C576E0" w:rsidRDefault="00C576E0" w:rsidP="00C576E0">
            <w:pPr>
              <w:tabs>
                <w:tab w:val="left" w:pos="360"/>
              </w:tabs>
              <w:rPr>
                <w:rFonts w:cs="Arial"/>
                <w:sz w:val="20"/>
              </w:rPr>
            </w:pPr>
            <w:r w:rsidRPr="00C576E0">
              <w:rPr>
                <w:rFonts w:cs="Arial"/>
                <w:sz w:val="20"/>
              </w:rPr>
              <w:t xml:space="preserve">(3) Sankce zveřejnění rozhodnutí o správním deliktu nelze uložit, pokud se má za to, že </w:t>
            </w:r>
          </w:p>
          <w:p w:rsidR="00C576E0" w:rsidRPr="00C576E0" w:rsidRDefault="00C576E0" w:rsidP="00C576E0">
            <w:pPr>
              <w:tabs>
                <w:tab w:val="left" w:pos="360"/>
              </w:tabs>
              <w:rPr>
                <w:rFonts w:cs="Arial"/>
                <w:sz w:val="20"/>
              </w:rPr>
            </w:pPr>
            <w:r w:rsidRPr="00C576E0">
              <w:rPr>
                <w:rFonts w:cs="Arial"/>
                <w:sz w:val="20"/>
              </w:rPr>
              <w:t>a)</w:t>
            </w:r>
            <w:r w:rsidRPr="00C576E0">
              <w:rPr>
                <w:rFonts w:cs="Arial"/>
                <w:sz w:val="20"/>
              </w:rPr>
              <w:tab/>
              <w:t>by její uložení bylo zcela zjevně nepřiměřené povaze a závažnosti spáchaného správního deliktu, nebo</w:t>
            </w:r>
          </w:p>
          <w:p w:rsidR="00C576E0" w:rsidRPr="00C576E0" w:rsidRDefault="00C576E0" w:rsidP="00C576E0">
            <w:pPr>
              <w:tabs>
                <w:tab w:val="left" w:pos="360"/>
              </w:tabs>
              <w:rPr>
                <w:rFonts w:cs="Arial"/>
                <w:sz w:val="20"/>
              </w:rPr>
            </w:pPr>
            <w:r w:rsidRPr="00C576E0">
              <w:rPr>
                <w:rFonts w:cs="Arial"/>
                <w:sz w:val="20"/>
              </w:rPr>
              <w:t>b)</w:t>
            </w:r>
            <w:r w:rsidRPr="00C576E0">
              <w:rPr>
                <w:rFonts w:cs="Arial"/>
                <w:sz w:val="20"/>
              </w:rPr>
              <w:tab/>
              <w:t xml:space="preserve">by tím došlo k ohrožení stability finančních trhů. </w:t>
            </w:r>
          </w:p>
          <w:p w:rsidR="004F78A0" w:rsidRPr="004F78A0" w:rsidRDefault="00C576E0" w:rsidP="00C576E0">
            <w:pPr>
              <w:tabs>
                <w:tab w:val="left" w:pos="360"/>
              </w:tabs>
              <w:rPr>
                <w:rFonts w:cs="Arial"/>
                <w:sz w:val="20"/>
              </w:rPr>
            </w:pPr>
            <w:r w:rsidRPr="00C576E0">
              <w:rPr>
                <w:rFonts w:cs="Arial"/>
                <w:sz w:val="20"/>
              </w:rPr>
              <w:t>(4) Obsahem zveřejněného rozhodnutí o správním deliktu nesmějí být údaje umožňující identifi</w:t>
            </w:r>
            <w:r>
              <w:rPr>
                <w:rFonts w:cs="Arial"/>
                <w:sz w:val="20"/>
              </w:rPr>
              <w:t>kaci jiné osoby než pachatele.</w:t>
            </w:r>
          </w:p>
        </w:tc>
        <w:tc>
          <w:tcPr>
            <w:tcW w:w="1412" w:type="dxa"/>
            <w:tcBorders>
              <w:top w:val="single" w:sz="4" w:space="0" w:color="auto"/>
              <w:bottom w:val="dashSmallGap" w:sz="4" w:space="0" w:color="4F81BD" w:themeColor="accent1"/>
            </w:tcBorders>
          </w:tcPr>
          <w:p w:rsidR="004F78A0" w:rsidRPr="00E20AE9" w:rsidRDefault="00C62B29" w:rsidP="00C62B29">
            <w:pPr>
              <w:tabs>
                <w:tab w:val="left" w:pos="360"/>
              </w:tabs>
              <w:rPr>
                <w:rFonts w:cs="Arial"/>
                <w:sz w:val="20"/>
              </w:rPr>
            </w:pPr>
            <w:r>
              <w:rPr>
                <w:rFonts w:cs="Arial"/>
                <w:sz w:val="20"/>
              </w:rPr>
              <w:lastRenderedPageBreak/>
              <w:t>32015L0849</w:t>
            </w:r>
          </w:p>
        </w:tc>
        <w:tc>
          <w:tcPr>
            <w:tcW w:w="1418" w:type="dxa"/>
            <w:tcBorders>
              <w:top w:val="single" w:sz="4" w:space="0" w:color="auto"/>
              <w:bottom w:val="dashSmallGap" w:sz="4" w:space="0" w:color="4F81BD" w:themeColor="accent1"/>
            </w:tcBorders>
            <w:shd w:val="clear" w:color="auto" w:fill="auto"/>
          </w:tcPr>
          <w:p w:rsidR="004F78A0" w:rsidRPr="000F52F2" w:rsidRDefault="004F78A0" w:rsidP="004F78A0">
            <w:pPr>
              <w:rPr>
                <w:rFonts w:cs="Arial"/>
                <w:sz w:val="20"/>
              </w:rPr>
            </w:pPr>
            <w:r w:rsidRPr="000F52F2">
              <w:rPr>
                <w:rFonts w:cs="Arial"/>
                <w:sz w:val="20"/>
              </w:rPr>
              <w:t xml:space="preserve">čl. </w:t>
            </w:r>
            <w:r>
              <w:rPr>
                <w:rFonts w:cs="Arial"/>
                <w:sz w:val="20"/>
              </w:rPr>
              <w:t>59 odst. 2</w:t>
            </w:r>
          </w:p>
        </w:tc>
        <w:tc>
          <w:tcPr>
            <w:tcW w:w="5103" w:type="dxa"/>
            <w:tcBorders>
              <w:top w:val="single" w:sz="4" w:space="0" w:color="auto"/>
              <w:bottom w:val="dashSmallGap" w:sz="4" w:space="0" w:color="4F81BD" w:themeColor="accent1"/>
            </w:tcBorders>
            <w:shd w:val="clear" w:color="auto" w:fill="auto"/>
          </w:tcPr>
          <w:p w:rsidR="004F78A0" w:rsidRPr="004F78A0" w:rsidRDefault="004F78A0" w:rsidP="004F78A0">
            <w:pPr>
              <w:tabs>
                <w:tab w:val="left" w:pos="360"/>
              </w:tabs>
              <w:rPr>
                <w:rFonts w:cs="Arial"/>
                <w:sz w:val="20"/>
              </w:rPr>
            </w:pPr>
            <w:r w:rsidRPr="004F78A0">
              <w:rPr>
                <w:rFonts w:cs="Arial"/>
                <w:sz w:val="20"/>
              </w:rPr>
              <w:t>2. Členské státy zajis</w:t>
            </w:r>
            <w:r>
              <w:rPr>
                <w:rFonts w:cs="Arial"/>
                <w:sz w:val="20"/>
              </w:rPr>
              <w:t>tí, aby v případech uvedených v </w:t>
            </w:r>
            <w:r w:rsidRPr="004F78A0">
              <w:rPr>
                <w:rFonts w:cs="Arial"/>
                <w:sz w:val="20"/>
              </w:rPr>
              <w:t>odstavci 1 zahrnovaly správní sankce a opatření, které lze uložit, minimálně:</w:t>
            </w:r>
          </w:p>
          <w:p w:rsidR="004F78A0" w:rsidRPr="004F78A0" w:rsidRDefault="004F78A0" w:rsidP="004F78A0">
            <w:pPr>
              <w:tabs>
                <w:tab w:val="left" w:pos="360"/>
              </w:tabs>
              <w:rPr>
                <w:rFonts w:cs="Arial"/>
                <w:sz w:val="20"/>
              </w:rPr>
            </w:pPr>
            <w:r w:rsidRPr="004F78A0">
              <w:rPr>
                <w:rFonts w:cs="Arial"/>
                <w:sz w:val="20"/>
              </w:rPr>
              <w:t>a) veřejné oznámení, které uvádí fyzickou nebo právnickou osobu a povahu daného porušení předpisů;</w:t>
            </w:r>
          </w:p>
          <w:p w:rsidR="004F78A0" w:rsidRPr="004F78A0" w:rsidRDefault="004F78A0" w:rsidP="004F78A0">
            <w:pPr>
              <w:tabs>
                <w:tab w:val="left" w:pos="360"/>
              </w:tabs>
              <w:rPr>
                <w:rFonts w:cs="Arial"/>
                <w:sz w:val="20"/>
              </w:rPr>
            </w:pPr>
            <w:r w:rsidRPr="004F78A0">
              <w:rPr>
                <w:rFonts w:cs="Arial"/>
                <w:sz w:val="20"/>
              </w:rPr>
              <w:lastRenderedPageBreak/>
              <w:t>b) příkaz, aby fyzická nebo právnická osoba upustila od daného chování a vyvarovala se jeho opakování;</w:t>
            </w:r>
          </w:p>
          <w:p w:rsidR="004F78A0" w:rsidRPr="004F78A0" w:rsidRDefault="004F78A0" w:rsidP="004F78A0">
            <w:pPr>
              <w:tabs>
                <w:tab w:val="left" w:pos="360"/>
              </w:tabs>
              <w:rPr>
                <w:rFonts w:cs="Arial"/>
                <w:sz w:val="20"/>
              </w:rPr>
            </w:pPr>
            <w:r w:rsidRPr="004F78A0">
              <w:rPr>
                <w:rFonts w:cs="Arial"/>
                <w:sz w:val="20"/>
              </w:rPr>
              <w:t>c) podléhá-li povinná osoba povolení, odnětí nebo pozastavení tohoto povolení;</w:t>
            </w:r>
          </w:p>
          <w:p w:rsidR="004F78A0" w:rsidRPr="004F78A0" w:rsidRDefault="004F78A0" w:rsidP="004F78A0">
            <w:pPr>
              <w:tabs>
                <w:tab w:val="left" w:pos="360"/>
              </w:tabs>
              <w:rPr>
                <w:rFonts w:cs="Arial"/>
                <w:sz w:val="20"/>
              </w:rPr>
            </w:pPr>
            <w:r w:rsidRPr="004F78A0">
              <w:rPr>
                <w:rFonts w:cs="Arial"/>
                <w:sz w:val="20"/>
              </w:rPr>
              <w:t>d) dočasný zákaz výkonu vedoucích funkcí v povinných osobách pro kteroukoli osobu, která v povinné osobě plní řídící úkoly, nebo pro kteroukoli jinou fyzickou osobu, která byla shledána odpovědnou za dané porušení předpisů;</w:t>
            </w:r>
          </w:p>
          <w:p w:rsidR="004F78A0" w:rsidRPr="004F78A0" w:rsidRDefault="004F78A0" w:rsidP="004F78A0">
            <w:pPr>
              <w:tabs>
                <w:tab w:val="left" w:pos="360"/>
              </w:tabs>
              <w:rPr>
                <w:rFonts w:cs="Arial"/>
                <w:sz w:val="20"/>
              </w:rPr>
            </w:pPr>
            <w:r w:rsidRPr="004F78A0">
              <w:rPr>
                <w:rFonts w:cs="Arial"/>
                <w:sz w:val="20"/>
              </w:rPr>
              <w:t>e) maximální správní pokuty ve výši nejméně dvojnásobku výhody, která byla porušením předpisů získána, pokud lze tuto výhodu stanovit, ne</w:t>
            </w:r>
            <w:r>
              <w:rPr>
                <w:rFonts w:cs="Arial"/>
                <w:sz w:val="20"/>
              </w:rPr>
              <w:t>bo nejméně 1 </w:t>
            </w:r>
            <w:r w:rsidRPr="004F78A0">
              <w:rPr>
                <w:rFonts w:cs="Arial"/>
                <w:sz w:val="20"/>
              </w:rPr>
              <w:t>000 000 EUR.</w:t>
            </w:r>
          </w:p>
        </w:tc>
      </w:tr>
      <w:tr w:rsidR="00E32A1F" w:rsidRPr="00A705AE" w:rsidTr="00E32A1F">
        <w:trPr>
          <w:trHeight w:val="141"/>
        </w:trPr>
        <w:tc>
          <w:tcPr>
            <w:tcW w:w="1629" w:type="dxa"/>
            <w:tcBorders>
              <w:top w:val="dashSmallGap" w:sz="4" w:space="0" w:color="4F81BD" w:themeColor="accent1"/>
              <w:bottom w:val="single" w:sz="4" w:space="0" w:color="auto"/>
            </w:tcBorders>
          </w:tcPr>
          <w:p w:rsidR="00E32A1F" w:rsidRDefault="00E32A1F" w:rsidP="004F78A0">
            <w:pPr>
              <w:tabs>
                <w:tab w:val="left" w:pos="360"/>
              </w:tabs>
              <w:rPr>
                <w:rFonts w:cs="Arial"/>
                <w:sz w:val="20"/>
              </w:rPr>
            </w:pPr>
          </w:p>
        </w:tc>
        <w:tc>
          <w:tcPr>
            <w:tcW w:w="4447" w:type="dxa"/>
            <w:tcBorders>
              <w:top w:val="dashSmallGap" w:sz="4" w:space="0" w:color="4F81BD" w:themeColor="accent1"/>
              <w:bottom w:val="single" w:sz="4" w:space="0" w:color="auto"/>
            </w:tcBorders>
          </w:tcPr>
          <w:p w:rsidR="00E32A1F" w:rsidRPr="004F78A0" w:rsidRDefault="00E32A1F" w:rsidP="004F78A0">
            <w:pPr>
              <w:tabs>
                <w:tab w:val="left" w:pos="360"/>
              </w:tabs>
              <w:rPr>
                <w:rFonts w:cs="Arial"/>
                <w:sz w:val="20"/>
              </w:rPr>
            </w:pPr>
          </w:p>
        </w:tc>
        <w:tc>
          <w:tcPr>
            <w:tcW w:w="1412" w:type="dxa"/>
            <w:tcBorders>
              <w:top w:val="dashSmallGap" w:sz="4" w:space="0" w:color="4F81BD" w:themeColor="accent1"/>
              <w:bottom w:val="single" w:sz="4" w:space="0" w:color="auto"/>
            </w:tcBorders>
          </w:tcPr>
          <w:p w:rsidR="00E32A1F" w:rsidRDefault="00E32A1F" w:rsidP="00C62B29">
            <w:pPr>
              <w:tabs>
                <w:tab w:val="left" w:pos="360"/>
              </w:tabs>
              <w:rPr>
                <w:rFonts w:cs="Arial"/>
                <w:sz w:val="20"/>
              </w:rPr>
            </w:pPr>
          </w:p>
        </w:tc>
        <w:tc>
          <w:tcPr>
            <w:tcW w:w="1418" w:type="dxa"/>
            <w:tcBorders>
              <w:top w:val="dashSmallGap" w:sz="4" w:space="0" w:color="4F81BD" w:themeColor="accent1"/>
              <w:bottom w:val="single" w:sz="4" w:space="0" w:color="auto"/>
            </w:tcBorders>
            <w:shd w:val="clear" w:color="auto" w:fill="auto"/>
          </w:tcPr>
          <w:p w:rsidR="00E32A1F" w:rsidRPr="000F52F2" w:rsidRDefault="00E32A1F" w:rsidP="00E32A1F">
            <w:pPr>
              <w:tabs>
                <w:tab w:val="left" w:pos="360"/>
              </w:tabs>
              <w:rPr>
                <w:rFonts w:cs="Arial"/>
                <w:sz w:val="20"/>
              </w:rPr>
            </w:pPr>
            <w:r w:rsidRPr="000F52F2">
              <w:rPr>
                <w:rFonts w:cs="Arial"/>
                <w:sz w:val="20"/>
              </w:rPr>
              <w:t>čl.</w:t>
            </w:r>
            <w:r>
              <w:rPr>
                <w:rFonts w:cs="Arial"/>
                <w:sz w:val="20"/>
              </w:rPr>
              <w:t xml:space="preserve"> 60</w:t>
            </w:r>
          </w:p>
        </w:tc>
        <w:tc>
          <w:tcPr>
            <w:tcW w:w="5103" w:type="dxa"/>
            <w:tcBorders>
              <w:top w:val="dashSmallGap" w:sz="4" w:space="0" w:color="4F81BD" w:themeColor="accent1"/>
              <w:bottom w:val="single" w:sz="4" w:space="0" w:color="auto"/>
            </w:tcBorders>
            <w:shd w:val="clear" w:color="auto" w:fill="auto"/>
          </w:tcPr>
          <w:p w:rsidR="00E32A1F" w:rsidRPr="00E32A1F" w:rsidRDefault="00E32A1F" w:rsidP="00E32A1F">
            <w:pPr>
              <w:tabs>
                <w:tab w:val="left" w:pos="360"/>
              </w:tabs>
              <w:rPr>
                <w:rFonts w:cs="Arial"/>
                <w:sz w:val="20"/>
              </w:rPr>
            </w:pPr>
            <w:r w:rsidRPr="00E32A1F">
              <w:rPr>
                <w:rFonts w:cs="Arial"/>
                <w:sz w:val="20"/>
              </w:rPr>
              <w:t>1. Členské státy zajistí, aby příslušné orgány zveřejnily na svých oficiálních internetových stránkách rozhodnutí o uložení správní sankce nebo opatření za porušení vnitrostátního předpisu přijatého k provedení této směrnice, proti němuž již nelze podat opravný prostředek, bezprostředně poté, co byla o tomto rozhodnutí vyrozuměna osoba, jíž byly sankce nebo opatření uloženy. Zveřejní se přinejmenším informace o typu a povaze porušení předpisů a o totožnosti odpovědné osoby. Členské státy nejsou povinny tento pododstavec uplatňovat na rozhodnutí ukládající opatření vyšetřovací povahy.</w:t>
            </w:r>
          </w:p>
          <w:p w:rsidR="00E32A1F" w:rsidRPr="00E32A1F" w:rsidRDefault="00E32A1F" w:rsidP="00E32A1F">
            <w:pPr>
              <w:tabs>
                <w:tab w:val="left" w:pos="360"/>
              </w:tabs>
              <w:rPr>
                <w:rFonts w:cs="Arial"/>
                <w:sz w:val="20"/>
              </w:rPr>
            </w:pPr>
            <w:r w:rsidRPr="00E32A1F">
              <w:rPr>
                <w:rFonts w:cs="Arial"/>
                <w:sz w:val="20"/>
              </w:rPr>
              <w:t>Pokud má příslušný orgán na základě individuálního posouzení přiměřenosti zveřejnění údajů za to, že by zveřejnění totožnosti odpovědné osoby uvedené v prvním pododstavci nebo osobních údajů takové osoby bylo nepřiměřené, nebo pokud by zveřejnění ohrozilo stabilitu finančních trhů nebo probíhající vyšetřování, příslušné orgány:</w:t>
            </w:r>
          </w:p>
          <w:p w:rsidR="00E32A1F" w:rsidRPr="00E32A1F" w:rsidRDefault="00E32A1F" w:rsidP="00E32A1F">
            <w:pPr>
              <w:tabs>
                <w:tab w:val="left" w:pos="360"/>
              </w:tabs>
              <w:rPr>
                <w:rFonts w:cs="Arial"/>
                <w:sz w:val="20"/>
              </w:rPr>
            </w:pPr>
            <w:r w:rsidRPr="00E32A1F">
              <w:rPr>
                <w:rFonts w:cs="Arial"/>
                <w:sz w:val="20"/>
              </w:rPr>
              <w:t>a) odloží zveřejnění rozhodnutí o uložení správní sankce nebo opatření, dokud důvody pro nezveřejnění nepominou;</w:t>
            </w:r>
          </w:p>
          <w:p w:rsidR="00E32A1F" w:rsidRPr="00E32A1F" w:rsidRDefault="00E32A1F" w:rsidP="00E32A1F">
            <w:pPr>
              <w:tabs>
                <w:tab w:val="left" w:pos="360"/>
              </w:tabs>
              <w:rPr>
                <w:rFonts w:cs="Arial"/>
                <w:sz w:val="20"/>
              </w:rPr>
            </w:pPr>
            <w:r w:rsidRPr="00E32A1F">
              <w:rPr>
                <w:rFonts w:cs="Arial"/>
                <w:sz w:val="20"/>
              </w:rPr>
              <w:t xml:space="preserve">b) rozhodnutí o uložení správní sankce nebo opatření zveřejní anonymně způsobem, který je v souladu s </w:t>
            </w:r>
            <w:r w:rsidRPr="00E32A1F">
              <w:rPr>
                <w:rFonts w:cs="Arial"/>
                <w:sz w:val="20"/>
              </w:rPr>
              <w:lastRenderedPageBreak/>
              <w:t>vnitrostátním právem, pokud toto anonymní zveřejnění zajistí skutečnou ochranu dotyčných osobních údajů; v případě rozhodnutí zveřejnit správní sankci nebo opatření anonymně může být zveřejnění příslušných údajů o přiměřenou dobu odloženo, pokud se předpokládá, že důvody pro anonymní zveřejnění po uplynutí této doby pominou;</w:t>
            </w:r>
          </w:p>
          <w:p w:rsidR="00E32A1F" w:rsidRPr="00E32A1F" w:rsidRDefault="00E32A1F" w:rsidP="00E32A1F">
            <w:pPr>
              <w:tabs>
                <w:tab w:val="left" w:pos="360"/>
              </w:tabs>
              <w:rPr>
                <w:rFonts w:cs="Arial"/>
                <w:sz w:val="20"/>
              </w:rPr>
            </w:pPr>
            <w:r w:rsidRPr="00E32A1F">
              <w:rPr>
                <w:rFonts w:cs="Arial"/>
                <w:sz w:val="20"/>
              </w:rPr>
              <w:t>c) rozhodnutí o uložení správní sankce nebo opatření nezveřejní vůbec, pokud se má za to, že možnosti uvedené v písmenech a) a b) dostatečně nezajišťují:</w:t>
            </w:r>
          </w:p>
          <w:p w:rsidR="00E32A1F" w:rsidRPr="00E32A1F" w:rsidRDefault="00E32A1F" w:rsidP="00E32A1F">
            <w:pPr>
              <w:tabs>
                <w:tab w:val="left" w:pos="360"/>
              </w:tabs>
              <w:rPr>
                <w:rFonts w:cs="Arial"/>
                <w:sz w:val="20"/>
              </w:rPr>
            </w:pPr>
            <w:r w:rsidRPr="00E32A1F">
              <w:rPr>
                <w:rFonts w:cs="Arial"/>
                <w:sz w:val="20"/>
              </w:rPr>
              <w:t>i) že nebude ohrožena stabilita finančních trhů; nebo</w:t>
            </w:r>
          </w:p>
          <w:p w:rsidR="00E32A1F" w:rsidRPr="00E32A1F" w:rsidRDefault="00E32A1F" w:rsidP="00E32A1F">
            <w:pPr>
              <w:tabs>
                <w:tab w:val="left" w:pos="360"/>
              </w:tabs>
              <w:rPr>
                <w:rFonts w:cs="Arial"/>
                <w:sz w:val="20"/>
              </w:rPr>
            </w:pPr>
            <w:proofErr w:type="spellStart"/>
            <w:r w:rsidRPr="00E32A1F">
              <w:rPr>
                <w:rFonts w:cs="Arial"/>
                <w:sz w:val="20"/>
              </w:rPr>
              <w:t>ii</w:t>
            </w:r>
            <w:proofErr w:type="spellEnd"/>
            <w:r w:rsidRPr="00E32A1F">
              <w:rPr>
                <w:rFonts w:cs="Arial"/>
                <w:sz w:val="20"/>
              </w:rPr>
              <w:t>) přiměřenost zveřejnění takového rozhodnutí s ohledem na opatření považovaná za méně významná.</w:t>
            </w:r>
          </w:p>
          <w:p w:rsidR="00E32A1F" w:rsidRPr="00E32A1F" w:rsidRDefault="00E32A1F" w:rsidP="00E32A1F">
            <w:pPr>
              <w:tabs>
                <w:tab w:val="left" w:pos="360"/>
              </w:tabs>
              <w:rPr>
                <w:rFonts w:cs="Arial"/>
                <w:sz w:val="20"/>
              </w:rPr>
            </w:pPr>
            <w:r w:rsidRPr="00E32A1F">
              <w:rPr>
                <w:rFonts w:cs="Arial"/>
                <w:sz w:val="20"/>
              </w:rPr>
              <w:t>2. Pokud členské státy povolí zveřejnění rozhodnutí, proti nimž lze podat opravný prostředek, zveřejní příslušné orgány bezprostředně na svých oficiálních internetových stránkách rovněž tuto informaci a veškeré následné informace o výsledku tohoto opravného prostředku. Zveřejněno navíc musí být jakékoli rozhodnutí, kterým se ruší dříve přijaté rozhodnutí o uložení správní sankce nebo opatření.</w:t>
            </w:r>
          </w:p>
          <w:p w:rsidR="00E32A1F" w:rsidRPr="00E32A1F" w:rsidRDefault="00E32A1F" w:rsidP="00E32A1F">
            <w:pPr>
              <w:tabs>
                <w:tab w:val="left" w:pos="360"/>
              </w:tabs>
              <w:rPr>
                <w:rFonts w:cs="Arial"/>
                <w:sz w:val="20"/>
              </w:rPr>
            </w:pPr>
            <w:r w:rsidRPr="00E32A1F">
              <w:rPr>
                <w:rFonts w:cs="Arial"/>
                <w:sz w:val="20"/>
              </w:rPr>
              <w:t>3. Příslušné orgány zajistí, aby jakékoli zveřejnění v souladu s tímto článkem zůstalo na jejich oficiálních internetových stránkách po dobu pěti let od zveřejnění. Osobní údaje, jež taková zveřejněná informace obsahuje, jsou však na oficiálních internetových stránkách uchovávány pouze po nezbytnou dobu, v souladu s platnými předpisy o ochraně údajů.</w:t>
            </w:r>
          </w:p>
          <w:p w:rsidR="00E32A1F" w:rsidRPr="00E32A1F" w:rsidRDefault="00E32A1F" w:rsidP="00E32A1F">
            <w:pPr>
              <w:tabs>
                <w:tab w:val="left" w:pos="360"/>
              </w:tabs>
              <w:rPr>
                <w:rFonts w:cs="Arial"/>
                <w:sz w:val="20"/>
              </w:rPr>
            </w:pPr>
            <w:r w:rsidRPr="00E32A1F">
              <w:rPr>
                <w:rFonts w:cs="Arial"/>
                <w:sz w:val="20"/>
              </w:rPr>
              <w:t>4. Členské státy zajistí, aby příslušné orgány při určování druhu a výše správních sankcí nebo opatření zohlednily všechny relevantní okolnosti, případně včetně:</w:t>
            </w:r>
          </w:p>
          <w:p w:rsidR="00E32A1F" w:rsidRPr="00E32A1F" w:rsidRDefault="00E32A1F" w:rsidP="00E32A1F">
            <w:pPr>
              <w:tabs>
                <w:tab w:val="left" w:pos="360"/>
              </w:tabs>
              <w:rPr>
                <w:rFonts w:cs="Arial"/>
                <w:sz w:val="20"/>
              </w:rPr>
            </w:pPr>
            <w:r w:rsidRPr="00E32A1F">
              <w:rPr>
                <w:rFonts w:cs="Arial"/>
                <w:sz w:val="20"/>
              </w:rPr>
              <w:t>a) závažnosti a doby trvání porušení předpisů;</w:t>
            </w:r>
          </w:p>
          <w:p w:rsidR="00E32A1F" w:rsidRPr="00E32A1F" w:rsidRDefault="00E32A1F" w:rsidP="00E32A1F">
            <w:pPr>
              <w:tabs>
                <w:tab w:val="left" w:pos="360"/>
              </w:tabs>
              <w:rPr>
                <w:rFonts w:cs="Arial"/>
                <w:sz w:val="20"/>
              </w:rPr>
            </w:pPr>
            <w:r w:rsidRPr="00E32A1F">
              <w:rPr>
                <w:rFonts w:cs="Arial"/>
                <w:sz w:val="20"/>
              </w:rPr>
              <w:t>b) míry odpovědnosti fyzické nebo právnické osoby považované za odpovědnou;</w:t>
            </w:r>
          </w:p>
          <w:p w:rsidR="00E32A1F" w:rsidRPr="00E32A1F" w:rsidRDefault="00E32A1F" w:rsidP="00E32A1F">
            <w:pPr>
              <w:tabs>
                <w:tab w:val="left" w:pos="360"/>
              </w:tabs>
              <w:rPr>
                <w:rFonts w:cs="Arial"/>
                <w:sz w:val="20"/>
              </w:rPr>
            </w:pPr>
            <w:r w:rsidRPr="00E32A1F">
              <w:rPr>
                <w:rFonts w:cs="Arial"/>
                <w:sz w:val="20"/>
              </w:rPr>
              <w:t>c) finanční síly fyzické nebo právnické osoby považované za odpovědnou, kterou udává například celkový obrat právnické osoby považované za odpovědnou nebo roční příjem fyzické osoby považované za odpovědnou;</w:t>
            </w:r>
          </w:p>
          <w:p w:rsidR="00E32A1F" w:rsidRPr="00E32A1F" w:rsidRDefault="00E32A1F" w:rsidP="00E32A1F">
            <w:pPr>
              <w:tabs>
                <w:tab w:val="left" w:pos="360"/>
              </w:tabs>
              <w:rPr>
                <w:rFonts w:cs="Arial"/>
                <w:sz w:val="20"/>
              </w:rPr>
            </w:pPr>
            <w:r w:rsidRPr="00E32A1F">
              <w:rPr>
                <w:rFonts w:cs="Arial"/>
                <w:sz w:val="20"/>
              </w:rPr>
              <w:t xml:space="preserve">d) výhody získané porušením předpisů, které dosáhla </w:t>
            </w:r>
            <w:r w:rsidRPr="00E32A1F">
              <w:rPr>
                <w:rFonts w:cs="Arial"/>
                <w:sz w:val="20"/>
              </w:rPr>
              <w:lastRenderedPageBreak/>
              <w:t>fyzická nebo právnická osoba považovaná za odpovědnou, pokud lze tuto výhodu stanovit;</w:t>
            </w:r>
          </w:p>
          <w:p w:rsidR="00E32A1F" w:rsidRPr="00E32A1F" w:rsidRDefault="00E32A1F" w:rsidP="00E32A1F">
            <w:pPr>
              <w:tabs>
                <w:tab w:val="left" w:pos="360"/>
              </w:tabs>
              <w:rPr>
                <w:rFonts w:cs="Arial"/>
                <w:sz w:val="20"/>
              </w:rPr>
            </w:pPr>
            <w:r w:rsidRPr="00E32A1F">
              <w:rPr>
                <w:rFonts w:cs="Arial"/>
                <w:sz w:val="20"/>
              </w:rPr>
              <w:t>e) ztrát třetích stran způsobených porušením předpisů, pokud je možné je stanovit;</w:t>
            </w:r>
          </w:p>
          <w:p w:rsidR="00E32A1F" w:rsidRPr="00E32A1F" w:rsidRDefault="00E32A1F" w:rsidP="00E32A1F">
            <w:pPr>
              <w:tabs>
                <w:tab w:val="left" w:pos="360"/>
              </w:tabs>
              <w:rPr>
                <w:rFonts w:cs="Arial"/>
                <w:sz w:val="20"/>
              </w:rPr>
            </w:pPr>
            <w:r w:rsidRPr="00E32A1F">
              <w:rPr>
                <w:rFonts w:cs="Arial"/>
                <w:sz w:val="20"/>
              </w:rPr>
              <w:t>f) míry spolupráce fyzické nebo právnické osoby považované za odpovědnou s příslušným orgánem;</w:t>
            </w:r>
          </w:p>
          <w:p w:rsidR="00E32A1F" w:rsidRPr="00E32A1F" w:rsidRDefault="00E32A1F" w:rsidP="00E32A1F">
            <w:pPr>
              <w:tabs>
                <w:tab w:val="left" w:pos="360"/>
              </w:tabs>
              <w:rPr>
                <w:rFonts w:cs="Arial"/>
                <w:sz w:val="20"/>
              </w:rPr>
            </w:pPr>
            <w:r w:rsidRPr="00E32A1F">
              <w:rPr>
                <w:rFonts w:cs="Arial"/>
                <w:sz w:val="20"/>
              </w:rPr>
              <w:t>g) předchozích porušení předpisů fyzickou nebo právnickou osobou považovanou za odpovědnou.</w:t>
            </w:r>
          </w:p>
          <w:p w:rsidR="00E32A1F" w:rsidRPr="00E32A1F" w:rsidRDefault="00E32A1F" w:rsidP="00E32A1F">
            <w:pPr>
              <w:tabs>
                <w:tab w:val="left" w:pos="360"/>
              </w:tabs>
              <w:rPr>
                <w:rFonts w:cs="Arial"/>
                <w:sz w:val="20"/>
              </w:rPr>
            </w:pPr>
            <w:r w:rsidRPr="00E32A1F">
              <w:rPr>
                <w:rFonts w:cs="Arial"/>
                <w:sz w:val="20"/>
              </w:rPr>
              <w:t>5. Členské státy zajistí, aby právnické osoby mohly být činěny odpovědnými za porušení předpisů uvedená v čl. 59 odst. 1 spáchaná v jejich prospěch jakoukoli osobou jednající samostatně nebo jako člen orgánu právnické osoby a působící v této právnické osobě ve vedoucím postavení na základě:</w:t>
            </w:r>
          </w:p>
          <w:p w:rsidR="00E32A1F" w:rsidRPr="00E32A1F" w:rsidRDefault="00E32A1F" w:rsidP="00E32A1F">
            <w:pPr>
              <w:tabs>
                <w:tab w:val="left" w:pos="360"/>
              </w:tabs>
              <w:rPr>
                <w:rFonts w:cs="Arial"/>
                <w:sz w:val="20"/>
              </w:rPr>
            </w:pPr>
            <w:r w:rsidRPr="00E32A1F">
              <w:rPr>
                <w:rFonts w:cs="Arial"/>
                <w:sz w:val="20"/>
              </w:rPr>
              <w:t>a) oprávnění zastupovat tuto právnickou osobu;</w:t>
            </w:r>
          </w:p>
          <w:p w:rsidR="00E32A1F" w:rsidRPr="00E32A1F" w:rsidRDefault="00E32A1F" w:rsidP="00E32A1F">
            <w:pPr>
              <w:tabs>
                <w:tab w:val="left" w:pos="360"/>
              </w:tabs>
              <w:rPr>
                <w:rFonts w:cs="Arial"/>
                <w:sz w:val="20"/>
              </w:rPr>
            </w:pPr>
            <w:r w:rsidRPr="00E32A1F">
              <w:rPr>
                <w:rFonts w:cs="Arial"/>
                <w:sz w:val="20"/>
              </w:rPr>
              <w:t>b) pravomoci přijímat rozhodnutí jménem této právnické osoby; nebo</w:t>
            </w:r>
          </w:p>
          <w:p w:rsidR="00E32A1F" w:rsidRPr="00E32A1F" w:rsidRDefault="00E32A1F" w:rsidP="00E32A1F">
            <w:pPr>
              <w:tabs>
                <w:tab w:val="left" w:pos="360"/>
              </w:tabs>
              <w:rPr>
                <w:rFonts w:cs="Arial"/>
                <w:sz w:val="20"/>
              </w:rPr>
            </w:pPr>
            <w:r w:rsidRPr="00E32A1F">
              <w:rPr>
                <w:rFonts w:cs="Arial"/>
                <w:sz w:val="20"/>
              </w:rPr>
              <w:t>c) pravomoci vykonávat kontrolu v rámci této právnické osoby.</w:t>
            </w:r>
          </w:p>
          <w:p w:rsidR="00E32A1F" w:rsidRPr="004F78A0" w:rsidRDefault="00E32A1F" w:rsidP="00E32A1F">
            <w:pPr>
              <w:tabs>
                <w:tab w:val="left" w:pos="360"/>
              </w:tabs>
              <w:rPr>
                <w:rFonts w:cs="Arial"/>
                <w:sz w:val="20"/>
              </w:rPr>
            </w:pPr>
            <w:r w:rsidRPr="00E32A1F">
              <w:rPr>
                <w:rFonts w:cs="Arial"/>
                <w:sz w:val="20"/>
              </w:rPr>
              <w:t>6. Členské státy rovněž zajistí, aby právnické osoby mohly být činěny odpovědnými v případech, kdy nedostatek dohledu nebo kontroly ze strany osoby uvedené v odstavci 5 tohoto článku umožnil spáchání porušení předpisů uvedených v čl. 59 odst. 1 ve prospěch této právnické osoby osobou spadající do její pravomoci.</w:t>
            </w:r>
          </w:p>
        </w:tc>
      </w:tr>
      <w:tr w:rsidR="00587A27" w:rsidRPr="00A705AE" w:rsidTr="001100C4">
        <w:trPr>
          <w:trHeight w:val="141"/>
        </w:trPr>
        <w:tc>
          <w:tcPr>
            <w:tcW w:w="1629" w:type="dxa"/>
            <w:tcBorders>
              <w:top w:val="single" w:sz="4" w:space="0" w:color="auto"/>
            </w:tcBorders>
          </w:tcPr>
          <w:p w:rsidR="00587A27" w:rsidRDefault="00587A27" w:rsidP="004F78A0">
            <w:pPr>
              <w:tabs>
                <w:tab w:val="left" w:pos="360"/>
              </w:tabs>
              <w:rPr>
                <w:rFonts w:cs="Arial"/>
                <w:sz w:val="20"/>
              </w:rPr>
            </w:pPr>
            <w:r>
              <w:rPr>
                <w:rFonts w:cs="Arial"/>
                <w:sz w:val="20"/>
              </w:rPr>
              <w:lastRenderedPageBreak/>
              <w:t xml:space="preserve">§ 54 odst. </w:t>
            </w:r>
            <w:r w:rsidR="00755C4B">
              <w:rPr>
                <w:rFonts w:cs="Arial"/>
                <w:sz w:val="20"/>
              </w:rPr>
              <w:t>10</w:t>
            </w:r>
          </w:p>
        </w:tc>
        <w:tc>
          <w:tcPr>
            <w:tcW w:w="4447" w:type="dxa"/>
            <w:tcBorders>
              <w:top w:val="single" w:sz="4" w:space="0" w:color="auto"/>
            </w:tcBorders>
          </w:tcPr>
          <w:p w:rsidR="00587A27" w:rsidRPr="004F78A0" w:rsidRDefault="00587A27" w:rsidP="004F78A0">
            <w:pPr>
              <w:tabs>
                <w:tab w:val="left" w:pos="360"/>
              </w:tabs>
              <w:rPr>
                <w:rFonts w:cs="Arial"/>
                <w:sz w:val="20"/>
              </w:rPr>
            </w:pPr>
            <w:r w:rsidRPr="00060273">
              <w:rPr>
                <w:rFonts w:cs="Arial"/>
                <w:sz w:val="20"/>
              </w:rPr>
              <w:t>(</w:t>
            </w:r>
            <w:r w:rsidR="00755C4B">
              <w:rPr>
                <w:rFonts w:cs="Arial"/>
                <w:sz w:val="20"/>
              </w:rPr>
              <w:t>10</w:t>
            </w:r>
            <w:r w:rsidRPr="00060273">
              <w:rPr>
                <w:rFonts w:cs="Arial"/>
                <w:sz w:val="20"/>
              </w:rPr>
              <w:t xml:space="preserve">) Pravidla zákona o ochraně osobních údajů se na činnosti vykonávané </w:t>
            </w:r>
            <w:r w:rsidR="00755C4B">
              <w:rPr>
                <w:rFonts w:cs="Arial"/>
                <w:sz w:val="20"/>
              </w:rPr>
              <w:t xml:space="preserve">povinným osobami </w:t>
            </w:r>
            <w:r w:rsidRPr="00060273">
              <w:rPr>
                <w:rFonts w:cs="Arial"/>
                <w:sz w:val="20"/>
              </w:rPr>
              <w:t>podle tohoto zákona použijí jen v rozsahu povinností správce při zpracování osobních údajů za účelem předcházení, vyhledávání a odhalování trestné čin</w:t>
            </w:r>
            <w:r>
              <w:rPr>
                <w:rFonts w:cs="Arial"/>
                <w:sz w:val="20"/>
              </w:rPr>
              <w:t>nosti a stíhání trestných činů.</w:t>
            </w:r>
          </w:p>
        </w:tc>
        <w:tc>
          <w:tcPr>
            <w:tcW w:w="1412" w:type="dxa"/>
            <w:tcBorders>
              <w:top w:val="single" w:sz="4" w:space="0" w:color="auto"/>
            </w:tcBorders>
          </w:tcPr>
          <w:p w:rsidR="00587A27" w:rsidRPr="00E20AE9" w:rsidRDefault="00C62B29" w:rsidP="00C62B29">
            <w:pPr>
              <w:tabs>
                <w:tab w:val="left" w:pos="360"/>
              </w:tabs>
              <w:rPr>
                <w:rFonts w:cs="Arial"/>
                <w:sz w:val="20"/>
              </w:rPr>
            </w:pPr>
            <w:r>
              <w:rPr>
                <w:rFonts w:cs="Arial"/>
                <w:sz w:val="20"/>
              </w:rPr>
              <w:t>32015L0849</w:t>
            </w:r>
          </w:p>
        </w:tc>
        <w:tc>
          <w:tcPr>
            <w:tcW w:w="1418" w:type="dxa"/>
            <w:tcBorders>
              <w:top w:val="single" w:sz="4" w:space="0" w:color="auto"/>
            </w:tcBorders>
            <w:shd w:val="clear" w:color="auto" w:fill="auto"/>
          </w:tcPr>
          <w:p w:rsidR="00587A27" w:rsidRPr="000F52F2" w:rsidRDefault="00587A27" w:rsidP="00587A27">
            <w:pPr>
              <w:tabs>
                <w:tab w:val="left" w:pos="360"/>
              </w:tabs>
              <w:rPr>
                <w:rFonts w:cs="Arial"/>
                <w:sz w:val="20"/>
              </w:rPr>
            </w:pPr>
            <w:r w:rsidRPr="000F52F2">
              <w:rPr>
                <w:rFonts w:cs="Arial"/>
                <w:sz w:val="20"/>
              </w:rPr>
              <w:t xml:space="preserve">čl. </w:t>
            </w:r>
            <w:r>
              <w:rPr>
                <w:rFonts w:cs="Arial"/>
                <w:sz w:val="20"/>
              </w:rPr>
              <w:t>41 odst. 2</w:t>
            </w:r>
          </w:p>
        </w:tc>
        <w:tc>
          <w:tcPr>
            <w:tcW w:w="5103" w:type="dxa"/>
            <w:tcBorders>
              <w:top w:val="single" w:sz="4" w:space="0" w:color="auto"/>
            </w:tcBorders>
            <w:shd w:val="clear" w:color="auto" w:fill="auto"/>
          </w:tcPr>
          <w:p w:rsidR="00587A27" w:rsidRDefault="00587A27" w:rsidP="00587A27">
            <w:pPr>
              <w:tabs>
                <w:tab w:val="left" w:pos="360"/>
              </w:tabs>
              <w:rPr>
                <w:rFonts w:cs="Arial"/>
                <w:sz w:val="20"/>
              </w:rPr>
            </w:pPr>
            <w:r w:rsidRPr="00587A27">
              <w:rPr>
                <w:rFonts w:cs="Arial"/>
                <w:sz w:val="20"/>
              </w:rPr>
              <w:t>2. Osobní údaje smějí povinné osoby zpracovávat na základě této směrnice pouze pro účely předcházení praní peněz a financování terorismu, jak je uvedeno v článku 1, a nesmějí je dále zpracovávat způsobem, který je s těmito účely neslučitelný. Zpracovávání osobních údajů na základě této směrnice pro jakékoli jiné účely, například komerční, se zakazuje.</w:t>
            </w:r>
          </w:p>
          <w:p w:rsidR="00587A27" w:rsidRDefault="00587A27" w:rsidP="00587A27">
            <w:pPr>
              <w:tabs>
                <w:tab w:val="left" w:pos="360"/>
              </w:tabs>
              <w:rPr>
                <w:rFonts w:cs="Arial"/>
                <w:sz w:val="20"/>
              </w:rPr>
            </w:pPr>
          </w:p>
          <w:p w:rsidR="00587A27" w:rsidRDefault="00587A27" w:rsidP="00587A27">
            <w:pPr>
              <w:tabs>
                <w:tab w:val="left" w:pos="360"/>
              </w:tabs>
              <w:rPr>
                <w:rFonts w:cs="Arial"/>
                <w:sz w:val="20"/>
              </w:rPr>
            </w:pPr>
          </w:p>
          <w:p w:rsidR="00587A27" w:rsidRDefault="00587A27" w:rsidP="00587A27">
            <w:pPr>
              <w:tabs>
                <w:tab w:val="left" w:pos="360"/>
              </w:tabs>
              <w:rPr>
                <w:rFonts w:cs="Arial"/>
                <w:sz w:val="20"/>
              </w:rPr>
            </w:pPr>
          </w:p>
          <w:p w:rsidR="00587A27" w:rsidRDefault="00587A27" w:rsidP="00587A27">
            <w:pPr>
              <w:tabs>
                <w:tab w:val="left" w:pos="360"/>
              </w:tabs>
              <w:rPr>
                <w:rFonts w:cs="Arial"/>
                <w:sz w:val="20"/>
              </w:rPr>
            </w:pPr>
          </w:p>
          <w:p w:rsidR="00587A27" w:rsidRPr="004F78A0" w:rsidRDefault="00587A27" w:rsidP="00587A27">
            <w:pPr>
              <w:tabs>
                <w:tab w:val="left" w:pos="360"/>
              </w:tabs>
              <w:rPr>
                <w:rFonts w:cs="Arial"/>
                <w:sz w:val="20"/>
              </w:rPr>
            </w:pPr>
          </w:p>
        </w:tc>
      </w:tr>
      <w:tr w:rsidR="00587A27" w:rsidRPr="00E20AE9" w:rsidTr="00C62B29">
        <w:trPr>
          <w:trHeight w:val="555"/>
        </w:trPr>
        <w:tc>
          <w:tcPr>
            <w:tcW w:w="6076" w:type="dxa"/>
            <w:gridSpan w:val="2"/>
          </w:tcPr>
          <w:p w:rsidR="00587A27" w:rsidRPr="00E20AE9" w:rsidRDefault="00587A27" w:rsidP="00C62B29">
            <w:pPr>
              <w:tabs>
                <w:tab w:val="left" w:pos="360"/>
              </w:tabs>
              <w:jc w:val="center"/>
              <w:rPr>
                <w:rFonts w:cs="Arial"/>
                <w:b/>
                <w:sz w:val="22"/>
                <w:szCs w:val="22"/>
              </w:rPr>
            </w:pPr>
            <w:r w:rsidRPr="00587A27">
              <w:rPr>
                <w:rFonts w:cs="Arial"/>
                <w:b/>
                <w:sz w:val="22"/>
                <w:szCs w:val="22"/>
              </w:rPr>
              <w:lastRenderedPageBreak/>
              <w:t>Změna zákona o veřejných rejstřících právnických a fyzických osob</w:t>
            </w:r>
          </w:p>
        </w:tc>
        <w:tc>
          <w:tcPr>
            <w:tcW w:w="7933" w:type="dxa"/>
            <w:gridSpan w:val="3"/>
          </w:tcPr>
          <w:p w:rsidR="00587A27" w:rsidRPr="00E20AE9" w:rsidRDefault="00587A27" w:rsidP="00C62B29">
            <w:pPr>
              <w:tabs>
                <w:tab w:val="left" w:pos="360"/>
              </w:tabs>
              <w:jc w:val="center"/>
              <w:rPr>
                <w:rFonts w:cs="Arial"/>
                <w:b/>
                <w:sz w:val="22"/>
                <w:szCs w:val="22"/>
              </w:rPr>
            </w:pPr>
          </w:p>
        </w:tc>
      </w:tr>
      <w:tr w:rsidR="00587A27" w:rsidRPr="004F78A0" w:rsidTr="00C62B29">
        <w:trPr>
          <w:trHeight w:val="141"/>
        </w:trPr>
        <w:tc>
          <w:tcPr>
            <w:tcW w:w="1629" w:type="dxa"/>
            <w:tcBorders>
              <w:top w:val="single" w:sz="4" w:space="0" w:color="auto"/>
            </w:tcBorders>
          </w:tcPr>
          <w:p w:rsidR="00587A27" w:rsidRDefault="00587A27" w:rsidP="00587A27">
            <w:pPr>
              <w:tabs>
                <w:tab w:val="left" w:pos="360"/>
              </w:tabs>
              <w:rPr>
                <w:rFonts w:cs="Arial"/>
                <w:sz w:val="20"/>
              </w:rPr>
            </w:pPr>
            <w:r>
              <w:rPr>
                <w:rFonts w:cs="Arial"/>
                <w:sz w:val="20"/>
              </w:rPr>
              <w:t>§ 25a</w:t>
            </w:r>
          </w:p>
        </w:tc>
        <w:tc>
          <w:tcPr>
            <w:tcW w:w="4447" w:type="dxa"/>
            <w:tcBorders>
              <w:top w:val="single" w:sz="4" w:space="0" w:color="auto"/>
            </w:tcBorders>
          </w:tcPr>
          <w:p w:rsidR="00DB5393" w:rsidRPr="00DB5393" w:rsidRDefault="00DB5393" w:rsidP="00DB5393">
            <w:pPr>
              <w:tabs>
                <w:tab w:val="left" w:pos="360"/>
              </w:tabs>
              <w:rPr>
                <w:rFonts w:cs="Arial"/>
                <w:sz w:val="20"/>
              </w:rPr>
            </w:pPr>
            <w:r w:rsidRPr="00DB5393">
              <w:rPr>
                <w:rFonts w:cs="Arial"/>
                <w:sz w:val="20"/>
              </w:rPr>
              <w:t>(1) Jde-li o právnickou osobu, do veřejného rejstříku se o jejím skutečném majiteli zapíše také</w:t>
            </w:r>
          </w:p>
          <w:p w:rsidR="00DB5393" w:rsidRPr="00DB5393" w:rsidRDefault="00DB5393" w:rsidP="00DB5393">
            <w:pPr>
              <w:tabs>
                <w:tab w:val="left" w:pos="360"/>
              </w:tabs>
              <w:rPr>
                <w:rFonts w:cs="Arial"/>
                <w:sz w:val="20"/>
              </w:rPr>
            </w:pPr>
            <w:r w:rsidRPr="00DB5393">
              <w:rPr>
                <w:rFonts w:cs="Arial"/>
                <w:sz w:val="20"/>
              </w:rPr>
              <w:t>a)</w:t>
            </w:r>
            <w:r w:rsidRPr="00DB5393">
              <w:rPr>
                <w:rFonts w:cs="Arial"/>
                <w:sz w:val="20"/>
              </w:rPr>
              <w:tab/>
              <w:t>jméno a adresa místa pobytu, popřípadě také bydliště, liší-li se od adresy místa pobytu,</w:t>
            </w:r>
          </w:p>
          <w:p w:rsidR="00DB5393" w:rsidRPr="00DB5393" w:rsidRDefault="00DB5393" w:rsidP="00DB5393">
            <w:pPr>
              <w:tabs>
                <w:tab w:val="left" w:pos="360"/>
              </w:tabs>
              <w:rPr>
                <w:rFonts w:cs="Arial"/>
                <w:sz w:val="20"/>
              </w:rPr>
            </w:pPr>
            <w:r w:rsidRPr="00DB5393">
              <w:rPr>
                <w:rFonts w:cs="Arial"/>
                <w:sz w:val="20"/>
              </w:rPr>
              <w:t>b)</w:t>
            </w:r>
            <w:r w:rsidRPr="00DB5393">
              <w:rPr>
                <w:rFonts w:cs="Arial"/>
                <w:sz w:val="20"/>
              </w:rPr>
              <w:tab/>
              <w:t>datum narození a rodné číslo, bylo-li mu přiděleno,</w:t>
            </w:r>
          </w:p>
          <w:p w:rsidR="00DB5393" w:rsidRPr="00DB5393" w:rsidRDefault="00DB5393" w:rsidP="00DB5393">
            <w:pPr>
              <w:tabs>
                <w:tab w:val="left" w:pos="360"/>
              </w:tabs>
              <w:rPr>
                <w:rFonts w:cs="Arial"/>
                <w:sz w:val="20"/>
              </w:rPr>
            </w:pPr>
            <w:r w:rsidRPr="00DB5393">
              <w:rPr>
                <w:rFonts w:cs="Arial"/>
                <w:sz w:val="20"/>
              </w:rPr>
              <w:t>c)</w:t>
            </w:r>
            <w:r w:rsidRPr="00DB5393">
              <w:rPr>
                <w:rFonts w:cs="Arial"/>
                <w:sz w:val="20"/>
              </w:rPr>
              <w:tab/>
              <w:t>státní příslušnost a</w:t>
            </w:r>
          </w:p>
          <w:p w:rsidR="00DB5393" w:rsidRPr="00DB5393" w:rsidRDefault="00DB5393" w:rsidP="00DB5393">
            <w:pPr>
              <w:tabs>
                <w:tab w:val="left" w:pos="360"/>
              </w:tabs>
              <w:rPr>
                <w:rFonts w:cs="Arial"/>
                <w:sz w:val="20"/>
              </w:rPr>
            </w:pPr>
            <w:r w:rsidRPr="00DB5393">
              <w:rPr>
                <w:rFonts w:cs="Arial"/>
                <w:sz w:val="20"/>
              </w:rPr>
              <w:t>d)</w:t>
            </w:r>
            <w:r w:rsidRPr="00DB5393">
              <w:rPr>
                <w:rFonts w:cs="Arial"/>
                <w:sz w:val="20"/>
              </w:rPr>
              <w:tab/>
              <w:t xml:space="preserve">údaj o </w:t>
            </w:r>
          </w:p>
          <w:p w:rsidR="00DB5393" w:rsidRPr="00DB5393" w:rsidRDefault="00DB5393" w:rsidP="00DB5393">
            <w:pPr>
              <w:tabs>
                <w:tab w:val="left" w:pos="360"/>
              </w:tabs>
              <w:rPr>
                <w:rFonts w:cs="Arial"/>
                <w:sz w:val="20"/>
              </w:rPr>
            </w:pPr>
            <w:r w:rsidRPr="00DB5393">
              <w:rPr>
                <w:rFonts w:cs="Arial"/>
                <w:sz w:val="20"/>
              </w:rPr>
              <w:t xml:space="preserve">1. </w:t>
            </w:r>
            <w:r w:rsidRPr="00DB5393">
              <w:rPr>
                <w:rFonts w:cs="Arial"/>
                <w:sz w:val="20"/>
              </w:rPr>
              <w:tab/>
              <w:t>podílu na hlasovacích právech, zakládá-li se postavení skutečného majitele na účasti v právnické osobě,</w:t>
            </w:r>
          </w:p>
          <w:p w:rsidR="00DB5393" w:rsidRPr="00DB5393" w:rsidRDefault="00DB5393" w:rsidP="00DB5393">
            <w:pPr>
              <w:tabs>
                <w:tab w:val="left" w:pos="360"/>
              </w:tabs>
              <w:rPr>
                <w:rFonts w:cs="Arial"/>
                <w:sz w:val="20"/>
              </w:rPr>
            </w:pPr>
            <w:r w:rsidRPr="00DB5393">
              <w:rPr>
                <w:rFonts w:cs="Arial"/>
                <w:sz w:val="20"/>
              </w:rPr>
              <w:t xml:space="preserve">2. </w:t>
            </w:r>
            <w:r w:rsidRPr="00DB5393">
              <w:rPr>
                <w:rFonts w:cs="Arial"/>
                <w:sz w:val="20"/>
              </w:rPr>
              <w:tab/>
              <w:t>podílu na rozdělovaných prostředcích, zakládá-li se postavení skutečného majitele na tom, že je jejich příjemcem, anebo</w:t>
            </w:r>
          </w:p>
          <w:p w:rsidR="00DB5393" w:rsidRPr="00DB5393" w:rsidRDefault="00DB5393" w:rsidP="00DB5393">
            <w:pPr>
              <w:tabs>
                <w:tab w:val="left" w:pos="360"/>
              </w:tabs>
              <w:rPr>
                <w:rFonts w:cs="Arial"/>
                <w:sz w:val="20"/>
              </w:rPr>
            </w:pPr>
            <w:r w:rsidRPr="00DB5393">
              <w:rPr>
                <w:rFonts w:cs="Arial"/>
                <w:sz w:val="20"/>
              </w:rPr>
              <w:t xml:space="preserve">3. </w:t>
            </w:r>
            <w:r w:rsidRPr="00DB5393">
              <w:rPr>
                <w:rFonts w:cs="Arial"/>
                <w:sz w:val="20"/>
              </w:rPr>
              <w:tab/>
              <w:t>jiné skutečnosti, je-li postavení skutečného majitele založeno jinak.</w:t>
            </w:r>
          </w:p>
          <w:p w:rsidR="00DB5393" w:rsidRPr="00DB5393" w:rsidRDefault="00DB5393" w:rsidP="00DB5393">
            <w:pPr>
              <w:tabs>
                <w:tab w:val="left" w:pos="360"/>
              </w:tabs>
              <w:rPr>
                <w:rFonts w:cs="Arial"/>
                <w:sz w:val="20"/>
              </w:rPr>
            </w:pPr>
            <w:r w:rsidRPr="00DB5393">
              <w:rPr>
                <w:rFonts w:cs="Arial"/>
                <w:sz w:val="20"/>
              </w:rPr>
              <w:t>Skutečným majitelem se rozumí skutečný majitel podle zákona o některých opatřeních proti legalizaci výnosů z trestné činnosti a financování terorismu.</w:t>
            </w:r>
          </w:p>
          <w:p w:rsidR="00DB5393" w:rsidRPr="00DB5393" w:rsidRDefault="00DB5393" w:rsidP="00DB5393">
            <w:pPr>
              <w:tabs>
                <w:tab w:val="left" w:pos="360"/>
              </w:tabs>
              <w:rPr>
                <w:rFonts w:cs="Arial"/>
                <w:sz w:val="20"/>
              </w:rPr>
            </w:pPr>
            <w:r w:rsidRPr="00DB5393">
              <w:rPr>
                <w:rFonts w:cs="Arial"/>
                <w:sz w:val="20"/>
              </w:rPr>
              <w:t xml:space="preserve">(2) Skutečnosti zapisované o skutečném majiteli se neuvádí v opisu zápisu z veřejného rejstříku ani se neuveřejňují, s výjimkou údajů o jméně, roce a měsíci narození, obci bydliště a státní příslušnosti skutečného majitele. Opis zápisu podle § 3 až 5 může také v rozsahu údajů podle odstavce 1 písm. d) obdržet ten, </w:t>
            </w:r>
            <w:r w:rsidR="00B3503F" w:rsidRPr="00B3503F">
              <w:rPr>
                <w:rFonts w:cs="Arial"/>
                <w:sz w:val="20"/>
              </w:rPr>
              <w:t xml:space="preserve">kdo prokáže oprávněný zájem v souvislosti s předcházením trestným činům podílnictví (§ 214 trestního zákoníku), podílnictví z nedbalosti (§ 215 trestního zákoníku), legalizace výnosů z trestné činnosti (§ 216 trestního zákoníku), legalizace </w:t>
            </w:r>
            <w:r w:rsidR="00B3503F" w:rsidRPr="00B3503F">
              <w:rPr>
                <w:rFonts w:cs="Arial"/>
                <w:sz w:val="20"/>
              </w:rPr>
              <w:lastRenderedPageBreak/>
              <w:t>výnosů z trestné činnosti z nedbalosti (§ 217 trestního zákoníku) a jejich zdrojovým trestným činům a trestného činu teroristického útoku podle § 311 odst</w:t>
            </w:r>
            <w:r w:rsidR="00B3503F">
              <w:rPr>
                <w:rFonts w:cs="Arial"/>
                <w:sz w:val="20"/>
              </w:rPr>
              <w:t>. 2 alinea 3 trestního zákoníku</w:t>
            </w:r>
            <w:r w:rsidRPr="00DB5393">
              <w:rPr>
                <w:rFonts w:cs="Arial"/>
                <w:sz w:val="20"/>
              </w:rPr>
              <w:t>.</w:t>
            </w:r>
          </w:p>
          <w:p w:rsidR="00DB5393" w:rsidRPr="00DB5393" w:rsidRDefault="00DB5393" w:rsidP="00DB5393">
            <w:pPr>
              <w:tabs>
                <w:tab w:val="left" w:pos="360"/>
              </w:tabs>
              <w:rPr>
                <w:rFonts w:cs="Arial"/>
                <w:sz w:val="20"/>
              </w:rPr>
            </w:pPr>
            <w:r w:rsidRPr="00DB5393">
              <w:rPr>
                <w:rFonts w:cs="Arial"/>
                <w:sz w:val="20"/>
              </w:rPr>
              <w:t>(3) Ministerstvo spravedlnosti umožní dálkový přístup k údajům o skutečném majiteli</w:t>
            </w:r>
          </w:p>
          <w:p w:rsidR="00DB5393" w:rsidRPr="00DB5393" w:rsidRDefault="00DB5393" w:rsidP="00DB5393">
            <w:pPr>
              <w:tabs>
                <w:tab w:val="left" w:pos="360"/>
              </w:tabs>
              <w:rPr>
                <w:rFonts w:cs="Arial"/>
                <w:sz w:val="20"/>
              </w:rPr>
            </w:pPr>
            <w:r w:rsidRPr="00DB5393">
              <w:rPr>
                <w:rFonts w:cs="Arial"/>
                <w:sz w:val="20"/>
              </w:rPr>
              <w:t>a)</w:t>
            </w:r>
            <w:r w:rsidRPr="00DB5393">
              <w:rPr>
                <w:rFonts w:cs="Arial"/>
                <w:sz w:val="20"/>
              </w:rPr>
              <w:tab/>
              <w:t>soudu pro účely soudního řízení,</w:t>
            </w:r>
          </w:p>
          <w:p w:rsidR="00DB5393" w:rsidRPr="00DB5393" w:rsidRDefault="00DB5393" w:rsidP="00DB5393">
            <w:pPr>
              <w:tabs>
                <w:tab w:val="left" w:pos="360"/>
              </w:tabs>
              <w:rPr>
                <w:rFonts w:cs="Arial"/>
                <w:sz w:val="20"/>
              </w:rPr>
            </w:pPr>
            <w:r w:rsidRPr="00DB5393">
              <w:rPr>
                <w:rFonts w:cs="Arial"/>
                <w:sz w:val="20"/>
              </w:rPr>
              <w:t>b)</w:t>
            </w:r>
            <w:r w:rsidRPr="00DB5393">
              <w:rPr>
                <w:rFonts w:cs="Arial"/>
                <w:sz w:val="20"/>
              </w:rPr>
              <w:tab/>
              <w:t>orgánům činným v trestním řízení pro účely trestního řízení a státnímu zastupitelství též pro</w:t>
            </w:r>
            <w:r w:rsidR="006B18A2">
              <w:rPr>
                <w:rFonts w:cs="Arial"/>
                <w:sz w:val="20"/>
              </w:rPr>
              <w:t xml:space="preserve"> účely</w:t>
            </w:r>
            <w:r w:rsidRPr="00DB5393">
              <w:rPr>
                <w:rFonts w:cs="Arial"/>
                <w:sz w:val="20"/>
              </w:rPr>
              <w:t xml:space="preserve"> výkon</w:t>
            </w:r>
            <w:r w:rsidR="006B18A2">
              <w:rPr>
                <w:rFonts w:cs="Arial"/>
                <w:sz w:val="20"/>
              </w:rPr>
              <w:t>u jiné</w:t>
            </w:r>
            <w:r w:rsidRPr="00DB5393">
              <w:rPr>
                <w:rFonts w:cs="Arial"/>
                <w:sz w:val="20"/>
              </w:rPr>
              <w:t xml:space="preserve"> ne</w:t>
            </w:r>
            <w:r w:rsidR="006B18A2">
              <w:rPr>
                <w:rFonts w:cs="Arial"/>
                <w:sz w:val="20"/>
              </w:rPr>
              <w:t xml:space="preserve">ž </w:t>
            </w:r>
            <w:r w:rsidRPr="00DB5393">
              <w:rPr>
                <w:rFonts w:cs="Arial"/>
                <w:sz w:val="20"/>
              </w:rPr>
              <w:t>trestní působnosti,</w:t>
            </w:r>
          </w:p>
          <w:p w:rsidR="00DB5393" w:rsidRPr="00DB5393" w:rsidRDefault="00DB5393" w:rsidP="00DB5393">
            <w:pPr>
              <w:tabs>
                <w:tab w:val="left" w:pos="360"/>
              </w:tabs>
              <w:rPr>
                <w:rFonts w:cs="Arial"/>
                <w:sz w:val="20"/>
              </w:rPr>
            </w:pPr>
            <w:r w:rsidRPr="00DB5393">
              <w:rPr>
                <w:rFonts w:cs="Arial"/>
                <w:sz w:val="20"/>
              </w:rPr>
              <w:t>c)</w:t>
            </w:r>
            <w:r w:rsidRPr="00DB5393">
              <w:rPr>
                <w:rFonts w:cs="Arial"/>
                <w:sz w:val="20"/>
              </w:rPr>
              <w:tab/>
              <w:t>správci daně, poplatku nebo jiného obdobného peněžitého plnění pro účely výkonu jejich správy,</w:t>
            </w:r>
          </w:p>
          <w:p w:rsidR="00DB5393" w:rsidRPr="00DB5393" w:rsidRDefault="00DB5393" w:rsidP="00DB5393">
            <w:pPr>
              <w:tabs>
                <w:tab w:val="left" w:pos="360"/>
              </w:tabs>
              <w:rPr>
                <w:rFonts w:cs="Arial"/>
                <w:sz w:val="20"/>
              </w:rPr>
            </w:pPr>
            <w:r w:rsidRPr="00DB5393">
              <w:rPr>
                <w:rFonts w:cs="Arial"/>
                <w:sz w:val="20"/>
              </w:rPr>
              <w:t>d)</w:t>
            </w:r>
            <w:r w:rsidRPr="00DB5393">
              <w:rPr>
                <w:rFonts w:cs="Arial"/>
                <w:sz w:val="20"/>
              </w:rPr>
              <w:tab/>
              <w:t>zpravodajské službě pro účely plnění úkolů podle zákona, který upravuje činnost zpravodajských služeb,</w:t>
            </w:r>
          </w:p>
          <w:p w:rsidR="00DB5393" w:rsidRPr="00DB5393" w:rsidRDefault="00DB5393" w:rsidP="00DB5393">
            <w:pPr>
              <w:tabs>
                <w:tab w:val="left" w:pos="360"/>
              </w:tabs>
              <w:rPr>
                <w:rFonts w:cs="Arial"/>
                <w:sz w:val="20"/>
              </w:rPr>
            </w:pPr>
            <w:r w:rsidRPr="00DB5393">
              <w:rPr>
                <w:rFonts w:cs="Arial"/>
                <w:sz w:val="20"/>
              </w:rPr>
              <w:t>e)</w:t>
            </w:r>
            <w:r w:rsidRPr="00DB5393">
              <w:rPr>
                <w:rFonts w:cs="Arial"/>
                <w:sz w:val="20"/>
              </w:rPr>
              <w:tab/>
              <w:t>Finančnímu analytickému úřadu, České národní bance a dalším orgánům při výkonu činností podle zákona o některých opatřeních proti legalizaci výnosů z trestné činnosti a financování terorismu nebo zákona o provádění mezinárodních sankcí za účelem udržování mezinárodního míru a bezpečnosti, ochrany základních lidských práv a boje proti terorismu,</w:t>
            </w:r>
          </w:p>
          <w:p w:rsidR="00DB5393" w:rsidRPr="00DB5393" w:rsidRDefault="00DB5393" w:rsidP="00DB5393">
            <w:pPr>
              <w:tabs>
                <w:tab w:val="left" w:pos="360"/>
              </w:tabs>
              <w:rPr>
                <w:rFonts w:cs="Arial"/>
                <w:sz w:val="20"/>
              </w:rPr>
            </w:pPr>
            <w:r w:rsidRPr="00DB5393">
              <w:rPr>
                <w:rFonts w:cs="Arial"/>
                <w:sz w:val="20"/>
              </w:rPr>
              <w:t>f)</w:t>
            </w:r>
            <w:r w:rsidRPr="00DB5393">
              <w:rPr>
                <w:rFonts w:cs="Arial"/>
                <w:sz w:val="20"/>
              </w:rPr>
              <w:tab/>
              <w:t xml:space="preserve">České národní bance při výkonu dohledu nad osobami působícími na finančním trhu a při výkonu činností podle zákona o ozdravných postupech a řešení krize na finančním trhu, </w:t>
            </w:r>
          </w:p>
          <w:p w:rsidR="00DB5393" w:rsidRPr="00DB5393" w:rsidRDefault="00DB5393" w:rsidP="00DB5393">
            <w:pPr>
              <w:tabs>
                <w:tab w:val="left" w:pos="360"/>
              </w:tabs>
              <w:rPr>
                <w:rFonts w:cs="Arial"/>
                <w:sz w:val="20"/>
              </w:rPr>
            </w:pPr>
            <w:r w:rsidRPr="00DB5393">
              <w:rPr>
                <w:rFonts w:cs="Arial"/>
                <w:sz w:val="20"/>
              </w:rPr>
              <w:t>g)</w:t>
            </w:r>
            <w:r w:rsidRPr="00DB5393">
              <w:rPr>
                <w:rFonts w:cs="Arial"/>
                <w:sz w:val="20"/>
              </w:rPr>
              <w:tab/>
              <w:t>Národnímu bezpečnostnímu úřadu, Ministerstvu vnitra nebo zpravodajské službě pro účely bezpečnostního řízení podle zákona, který upravuje ochranu utajovaných informací a bezpečnostní způsobilost,</w:t>
            </w:r>
          </w:p>
          <w:p w:rsidR="00DB5393" w:rsidRPr="00DB5393" w:rsidRDefault="00DB5393" w:rsidP="00DB5393">
            <w:pPr>
              <w:tabs>
                <w:tab w:val="left" w:pos="360"/>
              </w:tabs>
              <w:rPr>
                <w:rFonts w:cs="Arial"/>
                <w:sz w:val="20"/>
              </w:rPr>
            </w:pPr>
            <w:r w:rsidRPr="00DB5393">
              <w:rPr>
                <w:rFonts w:cs="Arial"/>
                <w:sz w:val="20"/>
              </w:rPr>
              <w:t>h)</w:t>
            </w:r>
            <w:r w:rsidRPr="00DB5393">
              <w:rPr>
                <w:rFonts w:cs="Arial"/>
                <w:sz w:val="20"/>
              </w:rPr>
              <w:tab/>
              <w:t>Nejvyššímu kontrolnímu úřadu pro účely výkonu jeho působnosti podle jiného právního předpisu16),</w:t>
            </w:r>
          </w:p>
          <w:p w:rsidR="00DB5393" w:rsidRPr="00DB5393" w:rsidRDefault="00DB5393" w:rsidP="00DB5393">
            <w:pPr>
              <w:tabs>
                <w:tab w:val="left" w:pos="360"/>
              </w:tabs>
              <w:rPr>
                <w:rFonts w:cs="Arial"/>
                <w:sz w:val="20"/>
              </w:rPr>
            </w:pPr>
            <w:r w:rsidRPr="00DB5393">
              <w:rPr>
                <w:rFonts w:cs="Arial"/>
                <w:sz w:val="20"/>
              </w:rPr>
              <w:t>i)</w:t>
            </w:r>
            <w:r w:rsidRPr="00DB5393">
              <w:rPr>
                <w:rFonts w:cs="Arial"/>
                <w:sz w:val="20"/>
              </w:rPr>
              <w:tab/>
              <w:t xml:space="preserve">exekutorovi pro účely exekučního řízení, </w:t>
            </w:r>
          </w:p>
          <w:p w:rsidR="00DB5393" w:rsidRPr="00DB5393" w:rsidRDefault="00DB5393" w:rsidP="00DB5393">
            <w:pPr>
              <w:tabs>
                <w:tab w:val="left" w:pos="360"/>
              </w:tabs>
              <w:rPr>
                <w:rFonts w:cs="Arial"/>
                <w:sz w:val="20"/>
              </w:rPr>
            </w:pPr>
            <w:r w:rsidRPr="00DB5393">
              <w:rPr>
                <w:rFonts w:cs="Arial"/>
                <w:sz w:val="20"/>
              </w:rPr>
              <w:t>j)</w:t>
            </w:r>
            <w:r w:rsidRPr="00DB5393">
              <w:rPr>
                <w:rFonts w:cs="Arial"/>
                <w:sz w:val="20"/>
              </w:rPr>
              <w:tab/>
              <w:t>insolvenčnímu správci pro účely insolvenčního řízení, a</w:t>
            </w:r>
          </w:p>
          <w:p w:rsidR="00DB5393" w:rsidRPr="00DB5393" w:rsidRDefault="00DB5393" w:rsidP="00DB5393">
            <w:pPr>
              <w:tabs>
                <w:tab w:val="left" w:pos="360"/>
              </w:tabs>
              <w:rPr>
                <w:rFonts w:cs="Arial"/>
                <w:sz w:val="20"/>
              </w:rPr>
            </w:pPr>
            <w:r w:rsidRPr="00DB5393">
              <w:rPr>
                <w:rFonts w:cs="Arial"/>
                <w:sz w:val="20"/>
              </w:rPr>
              <w:lastRenderedPageBreak/>
              <w:t>k)</w:t>
            </w:r>
            <w:r w:rsidRPr="00DB5393">
              <w:rPr>
                <w:rFonts w:cs="Arial"/>
                <w:sz w:val="20"/>
              </w:rPr>
              <w:tab/>
              <w:t xml:space="preserve">povinné osobě v souvislosti s prováděním identifikace a kontroly klienta podle zákona o některých opatřeních proti legalizaci výnosů z trestné činnosti a financování terorismu.  </w:t>
            </w:r>
          </w:p>
          <w:p w:rsidR="00DB5393" w:rsidRPr="00DB5393" w:rsidRDefault="00DB5393" w:rsidP="00DB5393">
            <w:pPr>
              <w:tabs>
                <w:tab w:val="left" w:pos="360"/>
              </w:tabs>
              <w:rPr>
                <w:rFonts w:cs="Arial"/>
                <w:sz w:val="20"/>
              </w:rPr>
            </w:pPr>
            <w:r w:rsidRPr="00DB5393">
              <w:rPr>
                <w:rFonts w:cs="Arial"/>
                <w:sz w:val="20"/>
              </w:rPr>
              <w:t>(4) Ministerstvo spravedlnosti umožní přístup podle odstavce 3, bude-li zjistitelná identita konkrétních f</w:t>
            </w:r>
            <w:r>
              <w:rPr>
                <w:rFonts w:cs="Arial"/>
                <w:sz w:val="20"/>
              </w:rPr>
              <w:t>yzických osob, které k údajům o </w:t>
            </w:r>
            <w:r w:rsidRPr="00DB5393">
              <w:rPr>
                <w:rFonts w:cs="Arial"/>
                <w:sz w:val="20"/>
              </w:rPr>
              <w:t>skutečném majiteli mohou přistupovat. Podmínky přístupu k údajům o skutečném majiteli stanoví Ministerstvo spravedlnosti vyhláškou.</w:t>
            </w:r>
          </w:p>
          <w:p w:rsidR="00755C4B" w:rsidRPr="00810028" w:rsidRDefault="00DB5393" w:rsidP="00DB5393">
            <w:pPr>
              <w:tabs>
                <w:tab w:val="left" w:pos="360"/>
              </w:tabs>
              <w:rPr>
                <w:rFonts w:cs="Arial"/>
                <w:b/>
                <w:sz w:val="20"/>
              </w:rPr>
            </w:pPr>
            <w:r w:rsidRPr="00DB5393">
              <w:rPr>
                <w:rFonts w:cs="Arial"/>
                <w:sz w:val="20"/>
              </w:rPr>
              <w:t>(5) Za umožnění přístupu podle odstavce 3 písmena k) náleží náhrada nákladů. Výši náhrady nákladů stanoví Ministerstvo spravedlnosti vyhláškou v hodnotě odpovídající skutečně vynaloženým nákladům spojeným s provozem a aktualizací aplikace umožňující přístup podle věty první.</w:t>
            </w:r>
          </w:p>
        </w:tc>
        <w:tc>
          <w:tcPr>
            <w:tcW w:w="1412" w:type="dxa"/>
            <w:tcBorders>
              <w:top w:val="single" w:sz="4" w:space="0" w:color="auto"/>
            </w:tcBorders>
          </w:tcPr>
          <w:p w:rsidR="00587A27" w:rsidRPr="00E20AE9" w:rsidRDefault="00C62B29" w:rsidP="00C62B29">
            <w:pPr>
              <w:tabs>
                <w:tab w:val="left" w:pos="360"/>
              </w:tabs>
              <w:rPr>
                <w:rFonts w:cs="Arial"/>
                <w:sz w:val="20"/>
              </w:rPr>
            </w:pPr>
            <w:r>
              <w:rPr>
                <w:rFonts w:cs="Arial"/>
                <w:sz w:val="20"/>
              </w:rPr>
              <w:lastRenderedPageBreak/>
              <w:t>32015L0849</w:t>
            </w:r>
          </w:p>
        </w:tc>
        <w:tc>
          <w:tcPr>
            <w:tcW w:w="1418" w:type="dxa"/>
            <w:tcBorders>
              <w:top w:val="single" w:sz="4" w:space="0" w:color="auto"/>
            </w:tcBorders>
            <w:shd w:val="clear" w:color="auto" w:fill="auto"/>
          </w:tcPr>
          <w:p w:rsidR="00587A27" w:rsidRPr="000F52F2" w:rsidRDefault="00587A27" w:rsidP="00587A27">
            <w:pPr>
              <w:tabs>
                <w:tab w:val="left" w:pos="360"/>
              </w:tabs>
              <w:rPr>
                <w:rFonts w:cs="Arial"/>
                <w:sz w:val="20"/>
              </w:rPr>
            </w:pPr>
            <w:r w:rsidRPr="000F52F2">
              <w:rPr>
                <w:rFonts w:cs="Arial"/>
                <w:sz w:val="20"/>
              </w:rPr>
              <w:t xml:space="preserve">čl. </w:t>
            </w:r>
            <w:r>
              <w:rPr>
                <w:rFonts w:cs="Arial"/>
                <w:sz w:val="20"/>
              </w:rPr>
              <w:t>30</w:t>
            </w:r>
          </w:p>
        </w:tc>
        <w:tc>
          <w:tcPr>
            <w:tcW w:w="5103" w:type="dxa"/>
            <w:tcBorders>
              <w:top w:val="single" w:sz="4" w:space="0" w:color="auto"/>
            </w:tcBorders>
            <w:shd w:val="clear" w:color="auto" w:fill="auto"/>
          </w:tcPr>
          <w:p w:rsidR="00587A27" w:rsidRPr="00587A27" w:rsidRDefault="00587A27" w:rsidP="00587A27">
            <w:pPr>
              <w:tabs>
                <w:tab w:val="left" w:pos="360"/>
              </w:tabs>
              <w:rPr>
                <w:rFonts w:cs="Arial"/>
                <w:sz w:val="20"/>
              </w:rPr>
            </w:pPr>
            <w:r>
              <w:rPr>
                <w:rFonts w:cs="Arial"/>
                <w:sz w:val="20"/>
              </w:rPr>
              <w:t xml:space="preserve">1. </w:t>
            </w:r>
            <w:r w:rsidRPr="00587A27">
              <w:rPr>
                <w:rFonts w:cs="Arial"/>
                <w:sz w:val="20"/>
              </w:rPr>
              <w:t>Členské státy zajistí, aby společnosti a jiné právnické osoby zapsané v rejstříku na jejich území měly povinnost získat a mít adekvátní, přesné a současné informace o svém skutečném vlastnictví, včetně údajů o skutečné držené účasti.</w:t>
            </w:r>
          </w:p>
          <w:p w:rsidR="00587A27" w:rsidRPr="00587A27" w:rsidRDefault="00587A27" w:rsidP="00587A27">
            <w:pPr>
              <w:tabs>
                <w:tab w:val="left" w:pos="360"/>
              </w:tabs>
              <w:rPr>
                <w:rFonts w:cs="Arial"/>
                <w:sz w:val="20"/>
              </w:rPr>
            </w:pPr>
            <w:r w:rsidRPr="00587A27">
              <w:rPr>
                <w:rFonts w:cs="Arial"/>
                <w:sz w:val="20"/>
              </w:rPr>
              <w:t>Členské státy zajistí, aby tyto subjekty měly povinnost povinným osobám při provádění opatření hloubkové kontroly klienta v souladu s kapitolou II poskytnout kromě informací o svém právním majiteli i informace o svém skutečném majiteli.</w:t>
            </w:r>
          </w:p>
          <w:p w:rsidR="00587A27" w:rsidRPr="00587A27" w:rsidRDefault="00587A27" w:rsidP="00587A27">
            <w:pPr>
              <w:tabs>
                <w:tab w:val="left" w:pos="360"/>
              </w:tabs>
              <w:rPr>
                <w:rFonts w:cs="Arial"/>
                <w:sz w:val="20"/>
              </w:rPr>
            </w:pPr>
            <w:r>
              <w:rPr>
                <w:rFonts w:cs="Arial"/>
                <w:sz w:val="20"/>
              </w:rPr>
              <w:t xml:space="preserve">2. </w:t>
            </w:r>
            <w:r w:rsidRPr="00587A27">
              <w:rPr>
                <w:rFonts w:cs="Arial"/>
                <w:sz w:val="20"/>
              </w:rPr>
              <w:t>Členské státy vyžadují, aby informace uvedené v odstavci 1 byly včas k dispozici příslušným orgánům a finančním zpravodajským jednotkám.</w:t>
            </w:r>
          </w:p>
          <w:p w:rsidR="00587A27" w:rsidRPr="00587A27" w:rsidRDefault="00587A27" w:rsidP="00587A27">
            <w:pPr>
              <w:tabs>
                <w:tab w:val="left" w:pos="360"/>
              </w:tabs>
              <w:rPr>
                <w:rFonts w:cs="Arial"/>
                <w:sz w:val="20"/>
              </w:rPr>
            </w:pPr>
            <w:r>
              <w:rPr>
                <w:rFonts w:cs="Arial"/>
                <w:sz w:val="20"/>
              </w:rPr>
              <w:t xml:space="preserve">3. </w:t>
            </w:r>
            <w:r w:rsidRPr="00587A27">
              <w:rPr>
                <w:rFonts w:cs="Arial"/>
                <w:sz w:val="20"/>
              </w:rPr>
              <w:t>Členské státy zajistí, aby informace uvedené v odstavci 1 byly v každém členském státě uchovávány v centrálním registru, například v obchodním rejstříku, podnikovém rejstříku podle článku 3 směrnice Evropského parlamentu a Rady 2009/101/ES</w:t>
            </w:r>
            <w:r w:rsidRPr="00587A27">
              <w:rPr>
                <w:rFonts w:cs="Arial"/>
                <w:sz w:val="20"/>
              </w:rPr>
              <w:footnoteReference w:id="1"/>
            </w:r>
            <w:r w:rsidRPr="00587A27">
              <w:rPr>
                <w:rFonts w:cs="Arial"/>
                <w:sz w:val="20"/>
              </w:rPr>
              <w:t xml:space="preserve"> nebo veřejném rejstříku. Členské státy oznámí Komisi charakteristiky těchto vnitrostátních mechanismů. Informace o skutečném vlastnictví obsažené v této databázi mohou být shromažďovány v souladu s vnitrostátními systémy.</w:t>
            </w:r>
          </w:p>
          <w:p w:rsidR="00587A27" w:rsidRPr="00587A27" w:rsidRDefault="00587A27" w:rsidP="00587A27">
            <w:pPr>
              <w:tabs>
                <w:tab w:val="left" w:pos="360"/>
              </w:tabs>
              <w:rPr>
                <w:rFonts w:cs="Arial"/>
                <w:sz w:val="20"/>
              </w:rPr>
            </w:pPr>
            <w:r w:rsidRPr="00587A27">
              <w:rPr>
                <w:rFonts w:cs="Arial"/>
                <w:sz w:val="20"/>
              </w:rPr>
              <w:br w:type="page"/>
            </w:r>
            <w:r>
              <w:rPr>
                <w:rFonts w:cs="Arial"/>
                <w:sz w:val="20"/>
              </w:rPr>
              <w:t xml:space="preserve">4. </w:t>
            </w:r>
            <w:r w:rsidRPr="00587A27">
              <w:rPr>
                <w:rFonts w:cs="Arial"/>
                <w:sz w:val="20"/>
              </w:rPr>
              <w:t>Členské státy vyžadují, aby informace uchovávané v centrálním registru podle odstavce 3 byly adekvátní, přesné a současné.</w:t>
            </w:r>
          </w:p>
          <w:p w:rsidR="00587A27" w:rsidRPr="00587A27" w:rsidRDefault="00587A27" w:rsidP="00587A27">
            <w:pPr>
              <w:tabs>
                <w:tab w:val="left" w:pos="360"/>
              </w:tabs>
              <w:rPr>
                <w:rFonts w:cs="Arial"/>
                <w:sz w:val="20"/>
              </w:rPr>
            </w:pPr>
            <w:r>
              <w:rPr>
                <w:rFonts w:cs="Arial"/>
                <w:sz w:val="20"/>
              </w:rPr>
              <w:t xml:space="preserve">5. </w:t>
            </w:r>
            <w:r w:rsidRPr="00587A27">
              <w:rPr>
                <w:rFonts w:cs="Arial"/>
                <w:sz w:val="20"/>
              </w:rPr>
              <w:t>Členské státy zajistí, aby informace o skutečném vlastnictví byly vždy k dispozici:</w:t>
            </w:r>
          </w:p>
          <w:p w:rsidR="00587A27" w:rsidRPr="00587A27" w:rsidRDefault="00587A27" w:rsidP="00587A27">
            <w:pPr>
              <w:tabs>
                <w:tab w:val="left" w:pos="360"/>
              </w:tabs>
              <w:rPr>
                <w:rFonts w:cs="Arial"/>
                <w:sz w:val="20"/>
              </w:rPr>
            </w:pPr>
            <w:r>
              <w:rPr>
                <w:rFonts w:cs="Arial"/>
                <w:sz w:val="20"/>
              </w:rPr>
              <w:t xml:space="preserve">a) </w:t>
            </w:r>
            <w:r w:rsidRPr="00587A27">
              <w:rPr>
                <w:rFonts w:cs="Arial"/>
                <w:sz w:val="20"/>
              </w:rPr>
              <w:t>příslušným orgánům a finančním zpravodajským jednotkám, a to bez omezení;</w:t>
            </w:r>
          </w:p>
          <w:p w:rsidR="00587A27" w:rsidRPr="00587A27" w:rsidRDefault="00587A27" w:rsidP="00587A27">
            <w:pPr>
              <w:tabs>
                <w:tab w:val="left" w:pos="360"/>
              </w:tabs>
              <w:rPr>
                <w:rFonts w:cs="Arial"/>
                <w:sz w:val="20"/>
              </w:rPr>
            </w:pPr>
            <w:r>
              <w:rPr>
                <w:rFonts w:cs="Arial"/>
                <w:sz w:val="20"/>
              </w:rPr>
              <w:t xml:space="preserve">b) </w:t>
            </w:r>
            <w:r w:rsidRPr="00587A27">
              <w:rPr>
                <w:rFonts w:cs="Arial"/>
                <w:sz w:val="20"/>
              </w:rPr>
              <w:t>povinným osobám v rámci hloubkové kontroly klienta v souladu s kapitolou II;</w:t>
            </w:r>
          </w:p>
          <w:p w:rsidR="00587A27" w:rsidRPr="00587A27" w:rsidRDefault="00587A27" w:rsidP="00587A27">
            <w:pPr>
              <w:tabs>
                <w:tab w:val="left" w:pos="360"/>
              </w:tabs>
              <w:rPr>
                <w:rFonts w:cs="Arial"/>
                <w:sz w:val="20"/>
              </w:rPr>
            </w:pPr>
            <w:r>
              <w:rPr>
                <w:rFonts w:cs="Arial"/>
                <w:sz w:val="20"/>
              </w:rPr>
              <w:lastRenderedPageBreak/>
              <w:t xml:space="preserve">c) </w:t>
            </w:r>
            <w:r w:rsidRPr="00587A27">
              <w:rPr>
                <w:rFonts w:cs="Arial"/>
                <w:sz w:val="20"/>
              </w:rPr>
              <w:t>kterékoli osobě nebo organizaci, která může prokázat oprávněný zájem.</w:t>
            </w:r>
          </w:p>
          <w:p w:rsidR="00587A27" w:rsidRPr="00587A27" w:rsidRDefault="00587A27" w:rsidP="00587A27">
            <w:pPr>
              <w:tabs>
                <w:tab w:val="left" w:pos="360"/>
              </w:tabs>
              <w:rPr>
                <w:rFonts w:cs="Arial"/>
                <w:sz w:val="20"/>
              </w:rPr>
            </w:pPr>
            <w:r w:rsidRPr="00587A27">
              <w:rPr>
                <w:rFonts w:cs="Arial"/>
                <w:sz w:val="20"/>
              </w:rPr>
              <w:t>Osoby nebo organizace uvedené v prvním pododstavci písm. c) musí mít přístup přinejmenším k informacím o jméně, měsíci a roku narození, státní příslušnosti a zemi bydliště skutečného majitele a o povaze a rozsahu skutečné držené účasti.</w:t>
            </w:r>
          </w:p>
          <w:p w:rsidR="00587A27" w:rsidRPr="00587A27" w:rsidRDefault="00587A27" w:rsidP="00587A27">
            <w:pPr>
              <w:tabs>
                <w:tab w:val="left" w:pos="360"/>
              </w:tabs>
              <w:rPr>
                <w:rFonts w:cs="Arial"/>
                <w:sz w:val="20"/>
              </w:rPr>
            </w:pPr>
            <w:r w:rsidRPr="00587A27">
              <w:rPr>
                <w:rFonts w:cs="Arial"/>
                <w:sz w:val="20"/>
              </w:rPr>
              <w:t>Pro účely tohoto odstavce musí být přístup k informacím o skutečném vlastnictví v souladu s pravidly pro ochranu údajů a může být podmíněn registrací online a zpoplatněn. Poplatky za získání informací nesmějí převyšovat administrativní náklady s tím spojené.</w:t>
            </w:r>
          </w:p>
          <w:p w:rsidR="00587A27" w:rsidRPr="00587A27" w:rsidRDefault="00587A27" w:rsidP="00587A27">
            <w:pPr>
              <w:tabs>
                <w:tab w:val="left" w:pos="360"/>
              </w:tabs>
              <w:rPr>
                <w:rFonts w:cs="Arial"/>
                <w:sz w:val="20"/>
              </w:rPr>
            </w:pPr>
            <w:r>
              <w:rPr>
                <w:rFonts w:cs="Arial"/>
                <w:sz w:val="20"/>
              </w:rPr>
              <w:t xml:space="preserve">6. </w:t>
            </w:r>
            <w:r w:rsidRPr="00587A27">
              <w:rPr>
                <w:rFonts w:cs="Arial"/>
                <w:sz w:val="20"/>
              </w:rPr>
              <w:t>Centrální registr uvedený v odstavci 3 zajistí včasný a neomezený přístup pro příslušné orgány a finanční zpravodajské jednotky bez upozornění dotčeného subjektu. Umožní rovněž včasný přístup pro povinné osoby při přijímání opatření hloubkové kontroly klienta.</w:t>
            </w:r>
          </w:p>
          <w:p w:rsidR="00587A27" w:rsidRPr="00587A27" w:rsidRDefault="00587A27" w:rsidP="00587A27">
            <w:pPr>
              <w:tabs>
                <w:tab w:val="left" w:pos="360"/>
              </w:tabs>
              <w:rPr>
                <w:rFonts w:cs="Arial"/>
                <w:sz w:val="20"/>
              </w:rPr>
            </w:pPr>
            <w:r w:rsidRPr="00587A27">
              <w:rPr>
                <w:rFonts w:cs="Arial"/>
                <w:sz w:val="20"/>
              </w:rPr>
              <w:br w:type="page"/>
            </w:r>
            <w:r>
              <w:rPr>
                <w:rFonts w:cs="Arial"/>
                <w:sz w:val="20"/>
              </w:rPr>
              <w:t xml:space="preserve">7. </w:t>
            </w:r>
            <w:r w:rsidRPr="00587A27">
              <w:rPr>
                <w:rFonts w:cs="Arial"/>
                <w:sz w:val="20"/>
              </w:rPr>
              <w:t>Členské státy zajistí, aby byly příslušné orgány a finanční zpravodajské jednotky schopny informace uvedené v odstavcích 1 a 3 včas poskytovat příslušným orgánům a finančním zpravodajským jednotkám jiných členských států.</w:t>
            </w:r>
          </w:p>
          <w:p w:rsidR="00587A27" w:rsidRPr="00587A27" w:rsidRDefault="00587A27" w:rsidP="00587A27">
            <w:pPr>
              <w:tabs>
                <w:tab w:val="left" w:pos="360"/>
              </w:tabs>
              <w:rPr>
                <w:rFonts w:cs="Arial"/>
                <w:sz w:val="20"/>
              </w:rPr>
            </w:pPr>
            <w:r>
              <w:rPr>
                <w:rFonts w:cs="Arial"/>
                <w:sz w:val="20"/>
              </w:rPr>
              <w:t xml:space="preserve">8. </w:t>
            </w:r>
            <w:r w:rsidRPr="00587A27">
              <w:rPr>
                <w:rFonts w:cs="Arial"/>
                <w:sz w:val="20"/>
              </w:rPr>
              <w:t>Členské státy vyžadují, aby se povinné osoby při plnění jejich požadavků na hloubkovou kontrolu klienta v souladu s kapitolou II nespoléhaly výhradně na centrální registr uvedený v odstavci 3. Tyto požadavky musí být plněny použitím přístupu založeného na posouzení rizik.</w:t>
            </w:r>
          </w:p>
          <w:p w:rsidR="00587A27" w:rsidRPr="00587A27" w:rsidRDefault="00587A27" w:rsidP="00587A27">
            <w:pPr>
              <w:tabs>
                <w:tab w:val="left" w:pos="360"/>
              </w:tabs>
              <w:rPr>
                <w:rFonts w:cs="Arial"/>
                <w:sz w:val="20"/>
              </w:rPr>
            </w:pPr>
            <w:r>
              <w:rPr>
                <w:rFonts w:cs="Arial"/>
                <w:sz w:val="20"/>
              </w:rPr>
              <w:t xml:space="preserve">9. </w:t>
            </w:r>
            <w:r w:rsidRPr="00587A27">
              <w:rPr>
                <w:rFonts w:cs="Arial"/>
                <w:sz w:val="20"/>
              </w:rPr>
              <w:t>Členské státy mohou v jednotlivých případech za výjimečných okolností stanovit výjimku z přístupu ke všem nebo některým informacím o skutečném vlastnictví podle odst. 5 písm. b) a c), pokud by poskytnutí tohoto přístupu skutečného majitele vystavilo riziku podvodu, únosu, vydírání, násilí nebo zastrašování nebo pokud je skutečným majitelem nezletilá nebo jinak nezpůsobilá osoba. Výjimky udělené podle tohoto odstavce se nevztahují na úvěrové instituce a finanční instituce a na ty povinné osoby uvedené v čl. 2 odst. 1 bodě 3 písm. b), které jsou veřejnými činiteli.</w:t>
            </w:r>
          </w:p>
          <w:p w:rsidR="00587A27" w:rsidRPr="004F78A0" w:rsidRDefault="00587A27" w:rsidP="00587A27">
            <w:pPr>
              <w:tabs>
                <w:tab w:val="left" w:pos="360"/>
              </w:tabs>
              <w:rPr>
                <w:rFonts w:cs="Arial"/>
                <w:sz w:val="20"/>
              </w:rPr>
            </w:pPr>
          </w:p>
        </w:tc>
      </w:tr>
    </w:tbl>
    <w:p w:rsidR="00A37FEE" w:rsidRPr="00E20AE9" w:rsidRDefault="00A37FEE" w:rsidP="00A37FEE">
      <w:pPr>
        <w:tabs>
          <w:tab w:val="left" w:pos="360"/>
        </w:tabs>
        <w:rPr>
          <w:rFonts w:cs="Arial"/>
        </w:rPr>
      </w:pPr>
    </w:p>
    <w:tbl>
      <w:tblPr>
        <w:tblW w:w="0" w:type="auto"/>
        <w:tblInd w:w="-112" w:type="dxa"/>
        <w:tblLayout w:type="fixed"/>
        <w:tblCellMar>
          <w:left w:w="0" w:type="dxa"/>
          <w:right w:w="0" w:type="dxa"/>
        </w:tblCellMar>
        <w:tblLook w:val="0000" w:firstRow="0" w:lastRow="0" w:firstColumn="0" w:lastColumn="0" w:noHBand="0" w:noVBand="0"/>
      </w:tblPr>
      <w:tblGrid>
        <w:gridCol w:w="4606"/>
        <w:gridCol w:w="9408"/>
      </w:tblGrid>
      <w:tr w:rsidR="00A37FEE" w:rsidRPr="00E20AE9" w:rsidTr="002B5BFA">
        <w:trPr>
          <w:cantSplit/>
        </w:trPr>
        <w:tc>
          <w:tcPr>
            <w:tcW w:w="4606" w:type="dxa"/>
            <w:tcBorders>
              <w:top w:val="single" w:sz="8" w:space="0" w:color="000000"/>
              <w:left w:val="single" w:sz="8" w:space="0" w:color="000000"/>
            </w:tcBorders>
          </w:tcPr>
          <w:p w:rsidR="00A37FEE" w:rsidRPr="00090672" w:rsidRDefault="00A37FEE" w:rsidP="00C62B29">
            <w:pPr>
              <w:tabs>
                <w:tab w:val="left" w:pos="360"/>
              </w:tabs>
              <w:rPr>
                <w:rFonts w:cs="Arial"/>
                <w:b/>
                <w:sz w:val="22"/>
                <w:szCs w:val="22"/>
              </w:rPr>
            </w:pPr>
            <w:r w:rsidRPr="00090672">
              <w:rPr>
                <w:rFonts w:cs="Arial"/>
                <w:b/>
                <w:sz w:val="22"/>
                <w:szCs w:val="22"/>
              </w:rPr>
              <w:t xml:space="preserve">Číslo předpisu EU (kód </w:t>
            </w:r>
            <w:proofErr w:type="spellStart"/>
            <w:r w:rsidRPr="00090672">
              <w:rPr>
                <w:rFonts w:cs="Arial"/>
                <w:b/>
                <w:sz w:val="22"/>
                <w:szCs w:val="22"/>
              </w:rPr>
              <w:t>celex</w:t>
            </w:r>
            <w:proofErr w:type="spellEnd"/>
            <w:r w:rsidRPr="00090672">
              <w:rPr>
                <w:rFonts w:cs="Arial"/>
                <w:b/>
                <w:sz w:val="22"/>
                <w:szCs w:val="22"/>
              </w:rPr>
              <w:t>)</w:t>
            </w:r>
          </w:p>
        </w:tc>
        <w:tc>
          <w:tcPr>
            <w:tcW w:w="9408" w:type="dxa"/>
            <w:tcBorders>
              <w:top w:val="single" w:sz="8" w:space="0" w:color="000000"/>
              <w:left w:val="single" w:sz="8" w:space="0" w:color="000000"/>
              <w:right w:val="single" w:sz="8" w:space="0" w:color="000000"/>
            </w:tcBorders>
          </w:tcPr>
          <w:p w:rsidR="00A37FEE" w:rsidRPr="00090672" w:rsidRDefault="00A37FEE" w:rsidP="00C62B29">
            <w:pPr>
              <w:tabs>
                <w:tab w:val="left" w:pos="360"/>
              </w:tabs>
              <w:rPr>
                <w:rFonts w:cs="Arial"/>
                <w:b/>
                <w:sz w:val="22"/>
                <w:szCs w:val="22"/>
              </w:rPr>
            </w:pPr>
            <w:r w:rsidRPr="00090672">
              <w:rPr>
                <w:rFonts w:cs="Arial"/>
                <w:b/>
                <w:sz w:val="22"/>
                <w:szCs w:val="22"/>
              </w:rPr>
              <w:t>Název předpisu EU</w:t>
            </w:r>
          </w:p>
        </w:tc>
      </w:tr>
      <w:tr w:rsidR="00A37FEE" w:rsidRPr="00E20AE9" w:rsidTr="002B5BFA">
        <w:trPr>
          <w:cantSplit/>
        </w:trPr>
        <w:tc>
          <w:tcPr>
            <w:tcW w:w="4606" w:type="dxa"/>
            <w:tcBorders>
              <w:top w:val="single" w:sz="8" w:space="0" w:color="000000"/>
              <w:left w:val="single" w:sz="8" w:space="0" w:color="000000"/>
              <w:bottom w:val="single" w:sz="1" w:space="0" w:color="000000"/>
            </w:tcBorders>
          </w:tcPr>
          <w:p w:rsidR="00A37FEE" w:rsidRPr="00090672" w:rsidRDefault="00C62B29" w:rsidP="00C62B29">
            <w:pPr>
              <w:tabs>
                <w:tab w:val="left" w:pos="360"/>
              </w:tabs>
              <w:rPr>
                <w:rFonts w:cs="Arial"/>
                <w:sz w:val="20"/>
              </w:rPr>
            </w:pPr>
            <w:r w:rsidRPr="00090672">
              <w:rPr>
                <w:rFonts w:cs="Arial"/>
                <w:sz w:val="20"/>
              </w:rPr>
              <w:t>32015L0849</w:t>
            </w:r>
          </w:p>
        </w:tc>
        <w:tc>
          <w:tcPr>
            <w:tcW w:w="9408" w:type="dxa"/>
            <w:tcBorders>
              <w:top w:val="single" w:sz="8" w:space="0" w:color="000000"/>
              <w:left w:val="single" w:sz="8" w:space="0" w:color="000000"/>
              <w:bottom w:val="single" w:sz="1" w:space="0" w:color="000000"/>
              <w:right w:val="single" w:sz="8" w:space="0" w:color="000000"/>
            </w:tcBorders>
          </w:tcPr>
          <w:p w:rsidR="00A37FEE" w:rsidRPr="00090672" w:rsidRDefault="002B5BFA" w:rsidP="00BD563D">
            <w:pPr>
              <w:tabs>
                <w:tab w:val="left" w:pos="360"/>
              </w:tabs>
              <w:rPr>
                <w:rFonts w:cs="Arial"/>
                <w:sz w:val="20"/>
              </w:rPr>
            </w:pPr>
            <w:r w:rsidRPr="00090672">
              <w:rPr>
                <w:rFonts w:cs="Arial"/>
                <w:sz w:val="20"/>
              </w:rPr>
              <w:t xml:space="preserve">Směrnice </w:t>
            </w:r>
            <w:r w:rsidR="00BD563D" w:rsidRPr="00090672">
              <w:rPr>
                <w:rFonts w:cs="Arial"/>
                <w:sz w:val="20"/>
              </w:rPr>
              <w:t>Evropského parlamentu a Rady (EU) 2015/849 ze dne 20. května 2015 o </w:t>
            </w:r>
            <w:r w:rsidRPr="00090672">
              <w:rPr>
                <w:rFonts w:cs="Arial"/>
                <w:sz w:val="20"/>
              </w:rPr>
              <w:t xml:space="preserve">předcházení </w:t>
            </w:r>
            <w:r w:rsidR="00BD563D" w:rsidRPr="00090672">
              <w:rPr>
                <w:rFonts w:cs="Arial"/>
                <w:sz w:val="20"/>
              </w:rPr>
              <w:t>využívání</w:t>
            </w:r>
            <w:r w:rsidRPr="00090672">
              <w:rPr>
                <w:rFonts w:cs="Arial"/>
                <w:sz w:val="20"/>
              </w:rPr>
              <w:t xml:space="preserve"> finančního systému k praní peněz a financování terorismu</w:t>
            </w:r>
            <w:r w:rsidR="00BD563D" w:rsidRPr="00090672">
              <w:rPr>
                <w:sz w:val="20"/>
              </w:rPr>
              <w:t>, o změně nařízení Evropského parlamentu a Rady (EU) č. 648/2012 a o zrušení směrnice Evropského parlamentu a Rady 2005/60/ES a směrnice Komise 2006/70/ES</w:t>
            </w:r>
          </w:p>
        </w:tc>
      </w:tr>
      <w:tr w:rsidR="00A37FEE" w:rsidRPr="00E20AE9" w:rsidTr="002B5BFA">
        <w:trPr>
          <w:cantSplit/>
        </w:trPr>
        <w:tc>
          <w:tcPr>
            <w:tcW w:w="4606" w:type="dxa"/>
            <w:tcBorders>
              <w:left w:val="single" w:sz="8" w:space="0" w:color="000000"/>
              <w:bottom w:val="single" w:sz="8" w:space="0" w:color="000000"/>
            </w:tcBorders>
          </w:tcPr>
          <w:p w:rsidR="00A37FEE" w:rsidRPr="00090672" w:rsidRDefault="00D64050" w:rsidP="00BD563D">
            <w:pPr>
              <w:tabs>
                <w:tab w:val="left" w:pos="360"/>
              </w:tabs>
              <w:rPr>
                <w:rFonts w:cs="Arial"/>
                <w:sz w:val="20"/>
              </w:rPr>
            </w:pPr>
            <w:r w:rsidRPr="00090672">
              <w:rPr>
                <w:sz w:val="20"/>
              </w:rPr>
              <w:t>32015R</w:t>
            </w:r>
            <w:r w:rsidR="00BD563D" w:rsidRPr="00090672">
              <w:rPr>
                <w:sz w:val="20"/>
              </w:rPr>
              <w:t>0847</w:t>
            </w:r>
          </w:p>
        </w:tc>
        <w:tc>
          <w:tcPr>
            <w:tcW w:w="9408" w:type="dxa"/>
            <w:tcBorders>
              <w:left w:val="single" w:sz="8" w:space="0" w:color="000000"/>
              <w:bottom w:val="single" w:sz="8" w:space="0" w:color="000000"/>
              <w:right w:val="single" w:sz="8" w:space="0" w:color="000000"/>
            </w:tcBorders>
          </w:tcPr>
          <w:p w:rsidR="00A37FEE" w:rsidRPr="00090672" w:rsidRDefault="00BD563D" w:rsidP="00C62B29">
            <w:pPr>
              <w:tabs>
                <w:tab w:val="left" w:pos="360"/>
              </w:tabs>
              <w:rPr>
                <w:rFonts w:cs="Arial"/>
                <w:sz w:val="20"/>
              </w:rPr>
            </w:pPr>
            <w:r w:rsidRPr="00090672">
              <w:rPr>
                <w:rFonts w:cs="Arial"/>
                <w:sz w:val="20"/>
              </w:rPr>
              <w:t>Nařízení Evropského parlamentu a Rady (EU) 2015/847 ze dne 20. května 2015</w:t>
            </w:r>
            <w:r w:rsidRPr="00090672">
              <w:rPr>
                <w:sz w:val="20"/>
              </w:rPr>
              <w:t xml:space="preserve"> </w:t>
            </w:r>
            <w:r w:rsidRPr="00090672">
              <w:rPr>
                <w:rFonts w:cs="Arial"/>
                <w:sz w:val="20"/>
              </w:rPr>
              <w:t>o informacích doprovázejících převody peněžních prostředků a o zrušení nařízení (ES) č. 1781/2006</w:t>
            </w:r>
          </w:p>
        </w:tc>
      </w:tr>
    </w:tbl>
    <w:p w:rsidR="005618EF" w:rsidRDefault="005618EF"/>
    <w:sectPr w:rsidR="005618EF" w:rsidSect="00A37FEE">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F7" w:rsidRDefault="00C66CF7" w:rsidP="00E20AE9">
      <w:r>
        <w:separator/>
      </w:r>
    </w:p>
  </w:endnote>
  <w:endnote w:type="continuationSeparator" w:id="0">
    <w:p w:rsidR="00C66CF7" w:rsidRDefault="00C66CF7" w:rsidP="00E2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29765"/>
      <w:docPartObj>
        <w:docPartGallery w:val="Page Numbers (Bottom of Page)"/>
        <w:docPartUnique/>
      </w:docPartObj>
    </w:sdtPr>
    <w:sdtContent>
      <w:sdt>
        <w:sdtPr>
          <w:id w:val="-1669238322"/>
          <w:docPartObj>
            <w:docPartGallery w:val="Page Numbers (Top of Page)"/>
            <w:docPartUnique/>
          </w:docPartObj>
        </w:sdtPr>
        <w:sdtContent>
          <w:p w:rsidR="00004415" w:rsidRDefault="00004415">
            <w:pPr>
              <w:pStyle w:val="Zpat"/>
              <w:jc w:val="center"/>
            </w:pPr>
            <w:r>
              <w:t xml:space="preserve">Stránka </w:t>
            </w:r>
            <w:r>
              <w:rPr>
                <w:b/>
                <w:bCs/>
                <w:szCs w:val="24"/>
              </w:rPr>
              <w:fldChar w:fldCharType="begin"/>
            </w:r>
            <w:r>
              <w:rPr>
                <w:b/>
                <w:bCs/>
              </w:rPr>
              <w:instrText>PAGE</w:instrText>
            </w:r>
            <w:r>
              <w:rPr>
                <w:b/>
                <w:bCs/>
                <w:szCs w:val="24"/>
              </w:rPr>
              <w:fldChar w:fldCharType="separate"/>
            </w:r>
            <w:r>
              <w:rPr>
                <w:b/>
                <w:bCs/>
                <w:noProof/>
              </w:rPr>
              <w:t>29</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29</w:t>
            </w:r>
            <w:r>
              <w:rPr>
                <w:b/>
                <w:bCs/>
                <w:szCs w:val="24"/>
              </w:rPr>
              <w:fldChar w:fldCharType="end"/>
            </w:r>
          </w:p>
        </w:sdtContent>
      </w:sdt>
    </w:sdtContent>
  </w:sdt>
  <w:p w:rsidR="00004415" w:rsidRDefault="000044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F7" w:rsidRDefault="00C66CF7" w:rsidP="00E20AE9">
      <w:r>
        <w:separator/>
      </w:r>
    </w:p>
  </w:footnote>
  <w:footnote w:type="continuationSeparator" w:id="0">
    <w:p w:rsidR="00C66CF7" w:rsidRDefault="00C66CF7" w:rsidP="00E20AE9">
      <w:r>
        <w:continuationSeparator/>
      </w:r>
    </w:p>
  </w:footnote>
  <w:footnote w:id="1">
    <w:p w:rsidR="00A65EAB" w:rsidRPr="005F2F62" w:rsidRDefault="00A65EAB" w:rsidP="00587A27">
      <w:pPr>
        <w:pStyle w:val="Textpoznpodarou"/>
        <w:rPr>
          <w:iCs/>
          <w:szCs w:val="24"/>
        </w:rPr>
      </w:pPr>
      <w:r w:rsidRPr="005C4529">
        <w:rPr>
          <w:rStyle w:val="Znakapoznpodarou"/>
        </w:rPr>
        <w:footnoteRef/>
      </w:r>
      <w:r>
        <w:tab/>
        <w:t xml:space="preserve">Směrnice Evropského parlamentu a Rady 2009/101/ES ze dne 16. září 2009 o koordinaci ochranných opatření, která jsou na ochranu zájmů společníků a třetích osob vyžadována v členských státech od společností ve smyslu čl. 48 druhého pododstavce Smlouvy, za účelem dosažení rovnocennosti těchto opatření </w:t>
      </w:r>
      <w:r w:rsidRPr="005F2F62">
        <w:rPr>
          <w:iCs/>
          <w:color w:val="000000" w:themeColor="text1"/>
        </w:rPr>
        <w:t>(</w:t>
      </w:r>
      <w:proofErr w:type="spellStart"/>
      <w:r w:rsidRPr="005F2F62">
        <w:rPr>
          <w:iCs/>
          <w:color w:val="000000" w:themeColor="text1"/>
        </w:rPr>
        <w:t>Úř</w:t>
      </w:r>
      <w:proofErr w:type="spellEnd"/>
      <w:r w:rsidRPr="005F2F62">
        <w:rPr>
          <w:iCs/>
          <w:color w:val="000000" w:themeColor="text1"/>
        </w:rPr>
        <w:t>. </w:t>
      </w:r>
      <w:proofErr w:type="spellStart"/>
      <w:proofErr w:type="gramStart"/>
      <w:r w:rsidRPr="005F2F62">
        <w:rPr>
          <w:iCs/>
          <w:color w:val="000000" w:themeColor="text1"/>
        </w:rPr>
        <w:t>věst</w:t>
      </w:r>
      <w:proofErr w:type="spellEnd"/>
      <w:proofErr w:type="gramEnd"/>
      <w:r w:rsidRPr="005F2F62">
        <w:rPr>
          <w:iCs/>
          <w:color w:val="000000" w:themeColor="text1"/>
        </w:rPr>
        <w:t xml:space="preserve">. L 258, </w:t>
      </w:r>
      <w:proofErr w:type="gramStart"/>
      <w:r w:rsidRPr="005F2F62">
        <w:rPr>
          <w:iCs/>
          <w:color w:val="000000" w:themeColor="text1"/>
        </w:rPr>
        <w:t>1.10.2009</w:t>
      </w:r>
      <w:proofErr w:type="gramEnd"/>
      <w:r w:rsidRPr="005F2F62">
        <w:rPr>
          <w:iCs/>
          <w:color w:val="000000" w:themeColor="text1"/>
        </w:rPr>
        <w:t>, s.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AB" w:rsidRPr="0053521D" w:rsidRDefault="00A65EAB" w:rsidP="0053521D">
    <w:pPr>
      <w:pStyle w:val="Zhlav"/>
      <w:jc w:val="right"/>
    </w:pPr>
    <w:r w:rsidRPr="0053521D">
      <w:rPr>
        <w:b/>
      </w:rPr>
      <w:t xml:space="preserve">V.          </w:t>
    </w:r>
    <w:r w:rsidRPr="0053521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EE"/>
    <w:rsid w:val="00004415"/>
    <w:rsid w:val="0002415F"/>
    <w:rsid w:val="00041CED"/>
    <w:rsid w:val="00060273"/>
    <w:rsid w:val="00090672"/>
    <w:rsid w:val="000A2818"/>
    <w:rsid w:val="000C519F"/>
    <w:rsid w:val="000F197E"/>
    <w:rsid w:val="000F52F2"/>
    <w:rsid w:val="001100C4"/>
    <w:rsid w:val="0011178D"/>
    <w:rsid w:val="001123F6"/>
    <w:rsid w:val="0015487B"/>
    <w:rsid w:val="00173A27"/>
    <w:rsid w:val="00176EE0"/>
    <w:rsid w:val="001825EA"/>
    <w:rsid w:val="001B4438"/>
    <w:rsid w:val="001E29EE"/>
    <w:rsid w:val="001F7246"/>
    <w:rsid w:val="001F7CEC"/>
    <w:rsid w:val="002A602B"/>
    <w:rsid w:val="002B5BFA"/>
    <w:rsid w:val="003467FC"/>
    <w:rsid w:val="004223BB"/>
    <w:rsid w:val="00425AF7"/>
    <w:rsid w:val="00446663"/>
    <w:rsid w:val="00457237"/>
    <w:rsid w:val="00480A8E"/>
    <w:rsid w:val="004956EB"/>
    <w:rsid w:val="004C3E28"/>
    <w:rsid w:val="004F78A0"/>
    <w:rsid w:val="0053521D"/>
    <w:rsid w:val="005439AC"/>
    <w:rsid w:val="005618EF"/>
    <w:rsid w:val="00587A27"/>
    <w:rsid w:val="005B3976"/>
    <w:rsid w:val="005B4831"/>
    <w:rsid w:val="00636FA6"/>
    <w:rsid w:val="006A3874"/>
    <w:rsid w:val="006B18A2"/>
    <w:rsid w:val="00702286"/>
    <w:rsid w:val="00724313"/>
    <w:rsid w:val="00755C4B"/>
    <w:rsid w:val="007841EB"/>
    <w:rsid w:val="007C3B51"/>
    <w:rsid w:val="007E12B1"/>
    <w:rsid w:val="007E3957"/>
    <w:rsid w:val="007F7991"/>
    <w:rsid w:val="00810028"/>
    <w:rsid w:val="00880465"/>
    <w:rsid w:val="008D25DB"/>
    <w:rsid w:val="008D5E52"/>
    <w:rsid w:val="008D5E5D"/>
    <w:rsid w:val="009530BB"/>
    <w:rsid w:val="00980A7C"/>
    <w:rsid w:val="00991E26"/>
    <w:rsid w:val="009C4643"/>
    <w:rsid w:val="009F3B54"/>
    <w:rsid w:val="00A20951"/>
    <w:rsid w:val="00A37FEE"/>
    <w:rsid w:val="00A65EAB"/>
    <w:rsid w:val="00A705AE"/>
    <w:rsid w:val="00AF3729"/>
    <w:rsid w:val="00B3503F"/>
    <w:rsid w:val="00B5439E"/>
    <w:rsid w:val="00B5442B"/>
    <w:rsid w:val="00B60984"/>
    <w:rsid w:val="00B70332"/>
    <w:rsid w:val="00B96E41"/>
    <w:rsid w:val="00BB3D5E"/>
    <w:rsid w:val="00BD563D"/>
    <w:rsid w:val="00BE5293"/>
    <w:rsid w:val="00BF0847"/>
    <w:rsid w:val="00BF27A1"/>
    <w:rsid w:val="00C3177C"/>
    <w:rsid w:val="00C52E87"/>
    <w:rsid w:val="00C576E0"/>
    <w:rsid w:val="00C62B29"/>
    <w:rsid w:val="00C66CF7"/>
    <w:rsid w:val="00C819CC"/>
    <w:rsid w:val="00C85DC2"/>
    <w:rsid w:val="00D129D8"/>
    <w:rsid w:val="00D44AE7"/>
    <w:rsid w:val="00D64050"/>
    <w:rsid w:val="00DB2B97"/>
    <w:rsid w:val="00DB4EFD"/>
    <w:rsid w:val="00DB5393"/>
    <w:rsid w:val="00DF5023"/>
    <w:rsid w:val="00E20AE9"/>
    <w:rsid w:val="00E32A1F"/>
    <w:rsid w:val="00E41452"/>
    <w:rsid w:val="00E416FF"/>
    <w:rsid w:val="00E52297"/>
    <w:rsid w:val="00E933EB"/>
    <w:rsid w:val="00F5403A"/>
    <w:rsid w:val="00F8632B"/>
    <w:rsid w:val="00FC1C85"/>
    <w:rsid w:val="00FE1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7FEE"/>
    <w:pPr>
      <w:suppressAutoHyphens/>
      <w:spacing w:after="0" w:line="240" w:lineRule="auto"/>
    </w:pPr>
    <w:rPr>
      <w:rFonts w:ascii="Arial" w:eastAsia="Times New Roman" w:hAnsi="Arial"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int0">
    <w:name w:val="Point 0"/>
    <w:basedOn w:val="Normln"/>
    <w:rsid w:val="00F5403A"/>
    <w:pPr>
      <w:suppressAutoHyphens w:val="0"/>
      <w:spacing w:before="120" w:after="120" w:line="360" w:lineRule="auto"/>
      <w:ind w:left="850" w:hanging="850"/>
    </w:pPr>
    <w:rPr>
      <w:rFonts w:ascii="Times New Roman" w:hAnsi="Times New Roman"/>
      <w:szCs w:val="24"/>
      <w:lang w:eastAsia="en-US"/>
    </w:rPr>
  </w:style>
  <w:style w:type="paragraph" w:customStyle="1" w:styleId="Point1">
    <w:name w:val="Point 1"/>
    <w:basedOn w:val="Normln"/>
    <w:rsid w:val="00F5403A"/>
    <w:pPr>
      <w:suppressAutoHyphens w:val="0"/>
      <w:spacing w:before="120" w:after="120" w:line="360" w:lineRule="auto"/>
      <w:ind w:left="1417" w:hanging="567"/>
      <w:outlineLvl w:val="0"/>
    </w:pPr>
    <w:rPr>
      <w:rFonts w:ascii="Times New Roman" w:hAnsi="Times New Roman"/>
      <w:szCs w:val="24"/>
      <w:lang w:eastAsia="en-US"/>
    </w:rPr>
  </w:style>
  <w:style w:type="paragraph" w:styleId="Textpoznpodarou">
    <w:name w:val="footnote text"/>
    <w:basedOn w:val="Normln"/>
    <w:link w:val="TextpoznpodarouChar"/>
    <w:qFormat/>
    <w:rsid w:val="00E20AE9"/>
    <w:pPr>
      <w:widowControl w:val="0"/>
      <w:tabs>
        <w:tab w:val="left" w:pos="851"/>
      </w:tabs>
      <w:suppressAutoHyphens w:val="0"/>
      <w:spacing w:after="120"/>
      <w:ind w:left="850" w:hanging="425"/>
      <w:jc w:val="both"/>
    </w:pPr>
    <w:rPr>
      <w:rFonts w:ascii="Times New Roman" w:hAnsi="Times New Roman"/>
      <w:snapToGrid w:val="0"/>
      <w:sz w:val="20"/>
      <w:lang w:eastAsia="cs-CZ"/>
    </w:rPr>
  </w:style>
  <w:style w:type="character" w:customStyle="1" w:styleId="TextpoznpodarouChar">
    <w:name w:val="Text pozn. pod čarou Char"/>
    <w:basedOn w:val="Standardnpsmoodstavce"/>
    <w:link w:val="Textpoznpodarou"/>
    <w:rsid w:val="00E20AE9"/>
    <w:rPr>
      <w:rFonts w:ascii="Times New Roman" w:eastAsia="Times New Roman" w:hAnsi="Times New Roman" w:cs="Times New Roman"/>
      <w:snapToGrid w:val="0"/>
      <w:sz w:val="20"/>
      <w:szCs w:val="20"/>
      <w:lang w:eastAsia="cs-CZ"/>
    </w:rPr>
  </w:style>
  <w:style w:type="character" w:styleId="Znakapoznpodarou">
    <w:name w:val="footnote reference"/>
    <w:rsid w:val="00E20AE9"/>
    <w:rPr>
      <w:vertAlign w:val="superscript"/>
    </w:rPr>
  </w:style>
  <w:style w:type="paragraph" w:styleId="Zhlav">
    <w:name w:val="header"/>
    <w:basedOn w:val="Normln"/>
    <w:link w:val="ZhlavChar"/>
    <w:uiPriority w:val="99"/>
    <w:unhideWhenUsed/>
    <w:rsid w:val="004C3E28"/>
    <w:pPr>
      <w:tabs>
        <w:tab w:val="center" w:pos="4536"/>
        <w:tab w:val="right" w:pos="9072"/>
      </w:tabs>
    </w:pPr>
  </w:style>
  <w:style w:type="character" w:customStyle="1" w:styleId="ZhlavChar">
    <w:name w:val="Záhlaví Char"/>
    <w:basedOn w:val="Standardnpsmoodstavce"/>
    <w:link w:val="Zhlav"/>
    <w:uiPriority w:val="99"/>
    <w:rsid w:val="004C3E28"/>
    <w:rPr>
      <w:rFonts w:ascii="Arial" w:eastAsia="Times New Roman" w:hAnsi="Arial" w:cs="Times New Roman"/>
      <w:sz w:val="24"/>
      <w:szCs w:val="20"/>
      <w:lang w:eastAsia="ar-SA"/>
    </w:rPr>
  </w:style>
  <w:style w:type="paragraph" w:styleId="Zpat">
    <w:name w:val="footer"/>
    <w:basedOn w:val="Normln"/>
    <w:link w:val="ZpatChar"/>
    <w:uiPriority w:val="99"/>
    <w:unhideWhenUsed/>
    <w:rsid w:val="004C3E28"/>
    <w:pPr>
      <w:tabs>
        <w:tab w:val="center" w:pos="4536"/>
        <w:tab w:val="right" w:pos="9072"/>
      </w:tabs>
    </w:pPr>
  </w:style>
  <w:style w:type="character" w:customStyle="1" w:styleId="ZpatChar">
    <w:name w:val="Zápatí Char"/>
    <w:basedOn w:val="Standardnpsmoodstavce"/>
    <w:link w:val="Zpat"/>
    <w:uiPriority w:val="99"/>
    <w:rsid w:val="004C3E28"/>
    <w:rPr>
      <w:rFonts w:ascii="Arial" w:eastAsia="Times New Roman" w:hAnsi="Arial" w:cs="Times New Roman"/>
      <w:sz w:val="24"/>
      <w:szCs w:val="20"/>
      <w:lang w:eastAsia="ar-SA"/>
    </w:rPr>
  </w:style>
  <w:style w:type="paragraph" w:customStyle="1" w:styleId="CELEX">
    <w:name w:val="CELEX"/>
    <w:basedOn w:val="Normln"/>
    <w:next w:val="Normln"/>
    <w:rsid w:val="00D64050"/>
    <w:pPr>
      <w:suppressAutoHyphens w:val="0"/>
      <w:spacing w:before="60"/>
      <w:jc w:val="both"/>
    </w:pPr>
    <w:rPr>
      <w:rFonts w:ascii="Times New Roman" w:hAnsi="Times New Roman"/>
      <w:i/>
      <w:sz w:val="20"/>
      <w:lang w:eastAsia="cs-CZ"/>
    </w:rPr>
  </w:style>
  <w:style w:type="paragraph" w:customStyle="1" w:styleId="Text1">
    <w:name w:val="Text 1"/>
    <w:basedOn w:val="Normln"/>
    <w:link w:val="Text1Carcter"/>
    <w:uiPriority w:val="99"/>
    <w:rsid w:val="00587A27"/>
    <w:pPr>
      <w:suppressAutoHyphens w:val="0"/>
      <w:spacing w:before="120" w:after="120" w:line="360" w:lineRule="auto"/>
      <w:ind w:left="850"/>
      <w:outlineLvl w:val="0"/>
    </w:pPr>
    <w:rPr>
      <w:rFonts w:ascii="Times New Roman" w:hAnsi="Times New Roman"/>
      <w:szCs w:val="24"/>
      <w:lang w:eastAsia="en-US"/>
    </w:rPr>
  </w:style>
  <w:style w:type="paragraph" w:customStyle="1" w:styleId="ManualNumPar1">
    <w:name w:val="Manual NumPar 1"/>
    <w:basedOn w:val="Normln"/>
    <w:next w:val="Text1"/>
    <w:link w:val="ManualNumPar1Char"/>
    <w:rsid w:val="00587A27"/>
    <w:pPr>
      <w:suppressAutoHyphens w:val="0"/>
      <w:spacing w:before="120" w:after="120" w:line="360" w:lineRule="auto"/>
      <w:ind w:left="850" w:hanging="850"/>
      <w:outlineLvl w:val="0"/>
    </w:pPr>
    <w:rPr>
      <w:rFonts w:ascii="Times New Roman" w:hAnsi="Times New Roman"/>
      <w:szCs w:val="24"/>
      <w:lang w:eastAsia="en-US"/>
    </w:rPr>
  </w:style>
  <w:style w:type="paragraph" w:customStyle="1" w:styleId="Titrearticle">
    <w:name w:val="Titre article"/>
    <w:basedOn w:val="Normln"/>
    <w:next w:val="Normln"/>
    <w:rsid w:val="00587A27"/>
    <w:pPr>
      <w:keepNext/>
      <w:suppressAutoHyphens w:val="0"/>
      <w:spacing w:before="360" w:after="120" w:line="360" w:lineRule="auto"/>
      <w:jc w:val="center"/>
    </w:pPr>
    <w:rPr>
      <w:rFonts w:ascii="Times New Roman" w:hAnsi="Times New Roman"/>
      <w:i/>
      <w:szCs w:val="24"/>
      <w:lang w:eastAsia="en-US"/>
    </w:rPr>
  </w:style>
  <w:style w:type="character" w:customStyle="1" w:styleId="ManualNumPar1Char">
    <w:name w:val="Manual NumPar 1 Char"/>
    <w:link w:val="ManualNumPar1"/>
    <w:rsid w:val="00587A27"/>
    <w:rPr>
      <w:rFonts w:ascii="Times New Roman" w:eastAsia="Times New Roman" w:hAnsi="Times New Roman" w:cs="Times New Roman"/>
      <w:sz w:val="24"/>
      <w:szCs w:val="24"/>
    </w:rPr>
  </w:style>
  <w:style w:type="character" w:customStyle="1" w:styleId="Text1Carcter">
    <w:name w:val="Text 1 Carácter"/>
    <w:link w:val="Text1"/>
    <w:uiPriority w:val="99"/>
    <w:rsid w:val="00587A27"/>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9C4643"/>
    <w:rPr>
      <w:rFonts w:ascii="Tahoma" w:hAnsi="Tahoma" w:cs="Tahoma"/>
      <w:sz w:val="16"/>
      <w:szCs w:val="16"/>
    </w:rPr>
  </w:style>
  <w:style w:type="character" w:customStyle="1" w:styleId="TextbublinyChar">
    <w:name w:val="Text bubliny Char"/>
    <w:basedOn w:val="Standardnpsmoodstavce"/>
    <w:link w:val="Textbubliny"/>
    <w:uiPriority w:val="99"/>
    <w:semiHidden/>
    <w:rsid w:val="009C464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7FEE"/>
    <w:pPr>
      <w:suppressAutoHyphens/>
      <w:spacing w:after="0" w:line="240" w:lineRule="auto"/>
    </w:pPr>
    <w:rPr>
      <w:rFonts w:ascii="Arial" w:eastAsia="Times New Roman" w:hAnsi="Arial"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int0">
    <w:name w:val="Point 0"/>
    <w:basedOn w:val="Normln"/>
    <w:rsid w:val="00F5403A"/>
    <w:pPr>
      <w:suppressAutoHyphens w:val="0"/>
      <w:spacing w:before="120" w:after="120" w:line="360" w:lineRule="auto"/>
      <w:ind w:left="850" w:hanging="850"/>
    </w:pPr>
    <w:rPr>
      <w:rFonts w:ascii="Times New Roman" w:hAnsi="Times New Roman"/>
      <w:szCs w:val="24"/>
      <w:lang w:eastAsia="en-US"/>
    </w:rPr>
  </w:style>
  <w:style w:type="paragraph" w:customStyle="1" w:styleId="Point1">
    <w:name w:val="Point 1"/>
    <w:basedOn w:val="Normln"/>
    <w:rsid w:val="00F5403A"/>
    <w:pPr>
      <w:suppressAutoHyphens w:val="0"/>
      <w:spacing w:before="120" w:after="120" w:line="360" w:lineRule="auto"/>
      <w:ind w:left="1417" w:hanging="567"/>
      <w:outlineLvl w:val="0"/>
    </w:pPr>
    <w:rPr>
      <w:rFonts w:ascii="Times New Roman" w:hAnsi="Times New Roman"/>
      <w:szCs w:val="24"/>
      <w:lang w:eastAsia="en-US"/>
    </w:rPr>
  </w:style>
  <w:style w:type="paragraph" w:styleId="Textpoznpodarou">
    <w:name w:val="footnote text"/>
    <w:basedOn w:val="Normln"/>
    <w:link w:val="TextpoznpodarouChar"/>
    <w:qFormat/>
    <w:rsid w:val="00E20AE9"/>
    <w:pPr>
      <w:widowControl w:val="0"/>
      <w:tabs>
        <w:tab w:val="left" w:pos="851"/>
      </w:tabs>
      <w:suppressAutoHyphens w:val="0"/>
      <w:spacing w:after="120"/>
      <w:ind w:left="850" w:hanging="425"/>
      <w:jc w:val="both"/>
    </w:pPr>
    <w:rPr>
      <w:rFonts w:ascii="Times New Roman" w:hAnsi="Times New Roman"/>
      <w:snapToGrid w:val="0"/>
      <w:sz w:val="20"/>
      <w:lang w:eastAsia="cs-CZ"/>
    </w:rPr>
  </w:style>
  <w:style w:type="character" w:customStyle="1" w:styleId="TextpoznpodarouChar">
    <w:name w:val="Text pozn. pod čarou Char"/>
    <w:basedOn w:val="Standardnpsmoodstavce"/>
    <w:link w:val="Textpoznpodarou"/>
    <w:rsid w:val="00E20AE9"/>
    <w:rPr>
      <w:rFonts w:ascii="Times New Roman" w:eastAsia="Times New Roman" w:hAnsi="Times New Roman" w:cs="Times New Roman"/>
      <w:snapToGrid w:val="0"/>
      <w:sz w:val="20"/>
      <w:szCs w:val="20"/>
      <w:lang w:eastAsia="cs-CZ"/>
    </w:rPr>
  </w:style>
  <w:style w:type="character" w:styleId="Znakapoznpodarou">
    <w:name w:val="footnote reference"/>
    <w:rsid w:val="00E20AE9"/>
    <w:rPr>
      <w:vertAlign w:val="superscript"/>
    </w:rPr>
  </w:style>
  <w:style w:type="paragraph" w:styleId="Zhlav">
    <w:name w:val="header"/>
    <w:basedOn w:val="Normln"/>
    <w:link w:val="ZhlavChar"/>
    <w:uiPriority w:val="99"/>
    <w:unhideWhenUsed/>
    <w:rsid w:val="004C3E28"/>
    <w:pPr>
      <w:tabs>
        <w:tab w:val="center" w:pos="4536"/>
        <w:tab w:val="right" w:pos="9072"/>
      </w:tabs>
    </w:pPr>
  </w:style>
  <w:style w:type="character" w:customStyle="1" w:styleId="ZhlavChar">
    <w:name w:val="Záhlaví Char"/>
    <w:basedOn w:val="Standardnpsmoodstavce"/>
    <w:link w:val="Zhlav"/>
    <w:uiPriority w:val="99"/>
    <w:rsid w:val="004C3E28"/>
    <w:rPr>
      <w:rFonts w:ascii="Arial" w:eastAsia="Times New Roman" w:hAnsi="Arial" w:cs="Times New Roman"/>
      <w:sz w:val="24"/>
      <w:szCs w:val="20"/>
      <w:lang w:eastAsia="ar-SA"/>
    </w:rPr>
  </w:style>
  <w:style w:type="paragraph" w:styleId="Zpat">
    <w:name w:val="footer"/>
    <w:basedOn w:val="Normln"/>
    <w:link w:val="ZpatChar"/>
    <w:uiPriority w:val="99"/>
    <w:unhideWhenUsed/>
    <w:rsid w:val="004C3E28"/>
    <w:pPr>
      <w:tabs>
        <w:tab w:val="center" w:pos="4536"/>
        <w:tab w:val="right" w:pos="9072"/>
      </w:tabs>
    </w:pPr>
  </w:style>
  <w:style w:type="character" w:customStyle="1" w:styleId="ZpatChar">
    <w:name w:val="Zápatí Char"/>
    <w:basedOn w:val="Standardnpsmoodstavce"/>
    <w:link w:val="Zpat"/>
    <w:uiPriority w:val="99"/>
    <w:rsid w:val="004C3E28"/>
    <w:rPr>
      <w:rFonts w:ascii="Arial" w:eastAsia="Times New Roman" w:hAnsi="Arial" w:cs="Times New Roman"/>
      <w:sz w:val="24"/>
      <w:szCs w:val="20"/>
      <w:lang w:eastAsia="ar-SA"/>
    </w:rPr>
  </w:style>
  <w:style w:type="paragraph" w:customStyle="1" w:styleId="CELEX">
    <w:name w:val="CELEX"/>
    <w:basedOn w:val="Normln"/>
    <w:next w:val="Normln"/>
    <w:rsid w:val="00D64050"/>
    <w:pPr>
      <w:suppressAutoHyphens w:val="0"/>
      <w:spacing w:before="60"/>
      <w:jc w:val="both"/>
    </w:pPr>
    <w:rPr>
      <w:rFonts w:ascii="Times New Roman" w:hAnsi="Times New Roman"/>
      <w:i/>
      <w:sz w:val="20"/>
      <w:lang w:eastAsia="cs-CZ"/>
    </w:rPr>
  </w:style>
  <w:style w:type="paragraph" w:customStyle="1" w:styleId="Text1">
    <w:name w:val="Text 1"/>
    <w:basedOn w:val="Normln"/>
    <w:link w:val="Text1Carcter"/>
    <w:uiPriority w:val="99"/>
    <w:rsid w:val="00587A27"/>
    <w:pPr>
      <w:suppressAutoHyphens w:val="0"/>
      <w:spacing w:before="120" w:after="120" w:line="360" w:lineRule="auto"/>
      <w:ind w:left="850"/>
      <w:outlineLvl w:val="0"/>
    </w:pPr>
    <w:rPr>
      <w:rFonts w:ascii="Times New Roman" w:hAnsi="Times New Roman"/>
      <w:szCs w:val="24"/>
      <w:lang w:eastAsia="en-US"/>
    </w:rPr>
  </w:style>
  <w:style w:type="paragraph" w:customStyle="1" w:styleId="ManualNumPar1">
    <w:name w:val="Manual NumPar 1"/>
    <w:basedOn w:val="Normln"/>
    <w:next w:val="Text1"/>
    <w:link w:val="ManualNumPar1Char"/>
    <w:rsid w:val="00587A27"/>
    <w:pPr>
      <w:suppressAutoHyphens w:val="0"/>
      <w:spacing w:before="120" w:after="120" w:line="360" w:lineRule="auto"/>
      <w:ind w:left="850" w:hanging="850"/>
      <w:outlineLvl w:val="0"/>
    </w:pPr>
    <w:rPr>
      <w:rFonts w:ascii="Times New Roman" w:hAnsi="Times New Roman"/>
      <w:szCs w:val="24"/>
      <w:lang w:eastAsia="en-US"/>
    </w:rPr>
  </w:style>
  <w:style w:type="paragraph" w:customStyle="1" w:styleId="Titrearticle">
    <w:name w:val="Titre article"/>
    <w:basedOn w:val="Normln"/>
    <w:next w:val="Normln"/>
    <w:rsid w:val="00587A27"/>
    <w:pPr>
      <w:keepNext/>
      <w:suppressAutoHyphens w:val="0"/>
      <w:spacing w:before="360" w:after="120" w:line="360" w:lineRule="auto"/>
      <w:jc w:val="center"/>
    </w:pPr>
    <w:rPr>
      <w:rFonts w:ascii="Times New Roman" w:hAnsi="Times New Roman"/>
      <w:i/>
      <w:szCs w:val="24"/>
      <w:lang w:eastAsia="en-US"/>
    </w:rPr>
  </w:style>
  <w:style w:type="character" w:customStyle="1" w:styleId="ManualNumPar1Char">
    <w:name w:val="Manual NumPar 1 Char"/>
    <w:link w:val="ManualNumPar1"/>
    <w:rsid w:val="00587A27"/>
    <w:rPr>
      <w:rFonts w:ascii="Times New Roman" w:eastAsia="Times New Roman" w:hAnsi="Times New Roman" w:cs="Times New Roman"/>
      <w:sz w:val="24"/>
      <w:szCs w:val="24"/>
    </w:rPr>
  </w:style>
  <w:style w:type="character" w:customStyle="1" w:styleId="Text1Carcter">
    <w:name w:val="Text 1 Carácter"/>
    <w:link w:val="Text1"/>
    <w:uiPriority w:val="99"/>
    <w:rsid w:val="00587A27"/>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9C4643"/>
    <w:rPr>
      <w:rFonts w:ascii="Tahoma" w:hAnsi="Tahoma" w:cs="Tahoma"/>
      <w:sz w:val="16"/>
      <w:szCs w:val="16"/>
    </w:rPr>
  </w:style>
  <w:style w:type="character" w:customStyle="1" w:styleId="TextbublinyChar">
    <w:name w:val="Text bubliny Char"/>
    <w:basedOn w:val="Standardnpsmoodstavce"/>
    <w:link w:val="Textbubliny"/>
    <w:uiPriority w:val="99"/>
    <w:semiHidden/>
    <w:rsid w:val="009C464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10244</Words>
  <Characters>60442</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Katolická Michaela</dc:creator>
  <cp:lastModifiedBy>Katolická Michaela</cp:lastModifiedBy>
  <cp:revision>6</cp:revision>
  <dcterms:created xsi:type="dcterms:W3CDTF">2015-09-22T07:36:00Z</dcterms:created>
  <dcterms:modified xsi:type="dcterms:W3CDTF">2015-09-23T08:28:00Z</dcterms:modified>
</cp:coreProperties>
</file>