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E" w:rsidRPr="002D4EB6" w:rsidRDefault="00EB58DE" w:rsidP="00EB58DE">
      <w:pPr>
        <w:rPr>
          <w:b/>
          <w:sz w:val="28"/>
          <w:szCs w:val="28"/>
          <w:u w:val="single"/>
        </w:rPr>
      </w:pPr>
      <w:r w:rsidRPr="002D4EB6">
        <w:rPr>
          <w:b/>
          <w:sz w:val="28"/>
          <w:szCs w:val="28"/>
          <w:u w:val="single"/>
        </w:rPr>
        <w:t>Seminář č. I</w:t>
      </w:r>
      <w:r w:rsidR="00503D68">
        <w:rPr>
          <w:b/>
          <w:sz w:val="28"/>
          <w:szCs w:val="28"/>
          <w:u w:val="single"/>
        </w:rPr>
        <w:t>I</w:t>
      </w:r>
      <w:r w:rsidRPr="002D4EB6">
        <w:rPr>
          <w:b/>
          <w:sz w:val="28"/>
          <w:szCs w:val="28"/>
          <w:u w:val="single"/>
        </w:rPr>
        <w:t>I. –</w:t>
      </w:r>
      <w:r w:rsidR="00503D68">
        <w:rPr>
          <w:b/>
          <w:sz w:val="28"/>
          <w:szCs w:val="28"/>
          <w:u w:val="single"/>
        </w:rPr>
        <w:t xml:space="preserve"> T</w:t>
      </w:r>
      <w:r w:rsidRPr="002D4EB6">
        <w:rPr>
          <w:b/>
          <w:sz w:val="28"/>
          <w:szCs w:val="28"/>
          <w:u w:val="single"/>
        </w:rPr>
        <w:t xml:space="preserve">radiční </w:t>
      </w:r>
      <w:r w:rsidR="00503D68">
        <w:rPr>
          <w:b/>
          <w:sz w:val="28"/>
          <w:szCs w:val="28"/>
          <w:u w:val="single"/>
        </w:rPr>
        <w:t xml:space="preserve">právní </w:t>
      </w:r>
      <w:r w:rsidRPr="002D4EB6">
        <w:rPr>
          <w:b/>
          <w:sz w:val="28"/>
          <w:szCs w:val="28"/>
          <w:u w:val="single"/>
        </w:rPr>
        <w:t>argumenty</w:t>
      </w:r>
    </w:p>
    <w:p w:rsidR="003769CD" w:rsidRDefault="003769CD" w:rsidP="00EB58DE">
      <w:pPr>
        <w:rPr>
          <w:b/>
          <w:u w:val="single"/>
        </w:rPr>
      </w:pPr>
    </w:p>
    <w:p w:rsidR="00964C2E" w:rsidRDefault="00964C2E" w:rsidP="00964C2E">
      <w:pPr>
        <w:ind w:left="705" w:hanging="705"/>
        <w:rPr>
          <w:b/>
        </w:rPr>
      </w:pPr>
      <w:r>
        <w:rPr>
          <w:b/>
        </w:rPr>
        <w:t>I.</w:t>
      </w:r>
      <w:r w:rsidR="003769CD" w:rsidRPr="003769CD">
        <w:rPr>
          <w:b/>
        </w:rPr>
        <w:t xml:space="preserve"> </w:t>
      </w:r>
      <w:r w:rsidR="003769CD" w:rsidRPr="003769CD">
        <w:rPr>
          <w:b/>
        </w:rPr>
        <w:tab/>
        <w:t xml:space="preserve">Prostudujte si úryvek z knihy Ch. </w:t>
      </w:r>
      <w:proofErr w:type="spellStart"/>
      <w:r w:rsidR="003769CD" w:rsidRPr="003769CD">
        <w:rPr>
          <w:b/>
        </w:rPr>
        <w:t>Perelmana</w:t>
      </w:r>
      <w:proofErr w:type="spellEnd"/>
      <w:r w:rsidR="003769CD" w:rsidRPr="003769CD">
        <w:rPr>
          <w:b/>
        </w:rPr>
        <w:t xml:space="preserve"> Právní logika</w:t>
      </w:r>
      <w:r>
        <w:rPr>
          <w:b/>
        </w:rPr>
        <w:t xml:space="preserve"> a odpovězte na následující otázky:</w:t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1) V čem se změnilo pojímání právní argumentace mezi pojetím pojmové jurisprudence a tzv. sociologických škol?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2) Které argumenty svědčí pro rozšíření dosahu pravidla o zákazu vstupu psů na stanici?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 xml:space="preserve">3) Z přehledu argumentů uvedených v bodě 33 </w:t>
      </w:r>
      <w:r w:rsidR="00723E87">
        <w:rPr>
          <w:color w:val="000000"/>
        </w:rPr>
        <w:t xml:space="preserve">tohoto úryvku </w:t>
      </w:r>
      <w:r w:rsidRPr="002D4EB6">
        <w:rPr>
          <w:color w:val="000000"/>
        </w:rPr>
        <w:t>jsou založeny na eliminaci a které na analogii?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4) Pokuste se charakterizovat společné rysy obou skupin argumentů.</w:t>
      </w:r>
    </w:p>
    <w:p w:rsidR="00964C2E" w:rsidRDefault="002D4EB6" w:rsidP="002D4EB6">
      <w:pPr>
        <w:ind w:left="705"/>
        <w:rPr>
          <w:rFonts w:ascii="Arial" w:hAnsi="Arial" w:cs="Arial"/>
          <w:color w:val="000000"/>
        </w:rPr>
      </w:pPr>
      <w:r w:rsidRPr="002D4EB6">
        <w:rPr>
          <w:color w:val="000000"/>
        </w:rPr>
        <w:t>5) Které právnické argumenty jsou založeny na ideji práva jako systému?</w:t>
      </w:r>
    </w:p>
    <w:p w:rsidR="002D4EB6" w:rsidRDefault="002D4EB6" w:rsidP="002D4EB6">
      <w:pPr>
        <w:rPr>
          <w:rFonts w:ascii="Arial" w:hAnsi="Arial" w:cs="Arial"/>
          <w:color w:val="000000"/>
        </w:rPr>
      </w:pPr>
    </w:p>
    <w:p w:rsidR="002D4EB6" w:rsidRDefault="002D4EB6" w:rsidP="002D4EB6">
      <w:pPr>
        <w:ind w:left="705" w:hanging="705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Přiřaďte k jednotlivým výkladům použité právní argumenty a určete, ze které výkladové metody jsou dovozeny. Dále zdůvodněte, zda jsou uvedená řešení správná:</w:t>
      </w:r>
    </w:p>
    <w:p w:rsidR="002D4EB6" w:rsidRDefault="002D4EB6" w:rsidP="002D4EB6">
      <w:pPr>
        <w:ind w:left="705" w:hanging="705"/>
        <w:jc w:val="both"/>
        <w:rPr>
          <w:b/>
        </w:rPr>
      </w:pPr>
    </w:p>
    <w:p w:rsidR="002D4EB6" w:rsidRDefault="002D4EB6" w:rsidP="002D4EB6">
      <w:pPr>
        <w:ind w:left="705" w:hanging="705"/>
        <w:jc w:val="both"/>
      </w:pPr>
      <w:r w:rsidRPr="000D0D08">
        <w:t>a)</w:t>
      </w:r>
      <w:r>
        <w:rPr>
          <w:b/>
        </w:rPr>
        <w:tab/>
      </w:r>
      <w:r>
        <w:t>Věci jsou podle § 498 nového občanského zákoníku movité nebo nemovité, třetí možnost není.</w:t>
      </w:r>
      <w:r w:rsidR="00FA240A">
        <w:t xml:space="preserve"> Zvíře není věc nemovitá, neboť se nejedná ani o pozemek, ani o stavbu, ani o právo nemovité povahy. Z toho vyplývá, že zvíře je věc movitá. </w:t>
      </w:r>
    </w:p>
    <w:p w:rsidR="002D4EB6" w:rsidRDefault="002D4EB6" w:rsidP="002D4EB6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b</w:t>
      </w:r>
      <w:r w:rsidR="002D4EB6">
        <w:t>)</w:t>
      </w:r>
      <w:r w:rsidR="002D4EB6">
        <w:tab/>
        <w:t>Rozhodnutí</w:t>
      </w:r>
      <w:r w:rsidR="002D4EB6" w:rsidRPr="002D4EB6">
        <w:t xml:space="preserve">, kterým se dodatečně stavba nebo její změna povoluje, musí mít obsahově stejné náležitosti </w:t>
      </w:r>
      <w:r w:rsidR="00EB58DE" w:rsidRPr="00964C2E">
        <w:t>jako stavební po</w:t>
      </w:r>
      <w:bookmarkStart w:id="0" w:name="_GoBack"/>
      <w:bookmarkEnd w:id="0"/>
      <w:r w:rsidR="00EB58DE" w:rsidRPr="00964C2E">
        <w:t>volení. Nelze připustit výklad zákona, který by stanovil mírnější kritéria pro dodatečné povolení stavby, resp. její změny, než jaká jsou kladena na řádné stavební povolení. Má-li totiž norma určité požadavky na řádné rozhodnutí v situaci, kdy žadatel o stavební povolení postupoval podle zákona, tím spíše je musí mít na rozhodnutí svou povahou mimořádné, kdy žadatel od počátku zákon nerespektoval.</w:t>
      </w:r>
      <w:r w:rsidR="00EB58DE" w:rsidRPr="00964C2E">
        <w:rPr>
          <w:rStyle w:val="Znakapoznpodarou"/>
        </w:rPr>
        <w:footnoteReference w:id="1"/>
      </w:r>
      <w:r w:rsidR="00EB58DE" w:rsidRPr="00964C2E">
        <w:t xml:space="preserve"> </w:t>
      </w:r>
    </w:p>
    <w:p w:rsidR="00EB58DE" w:rsidRPr="00EB58DE" w:rsidRDefault="00EB58DE" w:rsidP="00EB58DE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c</w:t>
      </w:r>
      <w:r w:rsidR="00EB58DE" w:rsidRPr="00964C2E">
        <w:t xml:space="preserve">) </w:t>
      </w:r>
      <w:r w:rsidR="00EB58DE" w:rsidRPr="00964C2E">
        <w:tab/>
        <w:t xml:space="preserve">Je-li pro řízení o kasační stížnosti (z. </w:t>
      </w:r>
      <w:proofErr w:type="gramStart"/>
      <w:r w:rsidR="00EB58DE" w:rsidRPr="00964C2E">
        <w:t>č.</w:t>
      </w:r>
      <w:proofErr w:type="gramEnd"/>
      <w:r w:rsidR="00EB58DE" w:rsidRPr="00964C2E">
        <w:t xml:space="preserve"> 150/2002 Sb., soudní řád správní) před Nejvyšším správním soudem třeba povinného zastoupení advokátem, nelze trvat na této procesní povinnosti tehdy, pokud se jedná o kasační stížnost proti usnesení krajského soudu o neustanovení advokáta pro řízení o žalobě před krajským soudem. </w:t>
      </w:r>
    </w:p>
    <w:p w:rsidR="00EB58DE" w:rsidRDefault="00EB58DE" w:rsidP="00EB58DE">
      <w:pPr>
        <w:ind w:left="705" w:hanging="705"/>
        <w:jc w:val="both"/>
      </w:pPr>
    </w:p>
    <w:p w:rsidR="00EB58DE" w:rsidRDefault="00964C2E" w:rsidP="003769CD">
      <w:pPr>
        <w:ind w:left="705" w:hanging="705"/>
        <w:jc w:val="both"/>
        <w:rPr>
          <w:b/>
        </w:rPr>
      </w:pPr>
      <w:r>
        <w:t>III.</w:t>
      </w:r>
      <w:r w:rsidR="00EB58DE">
        <w:tab/>
      </w:r>
      <w:r w:rsidR="00EB58DE" w:rsidRPr="0063373B">
        <w:rPr>
          <w:b/>
        </w:rPr>
        <w:t xml:space="preserve">Který argument je podstatou </w:t>
      </w:r>
      <w:r w:rsidR="00EB58DE">
        <w:rPr>
          <w:b/>
        </w:rPr>
        <w:t xml:space="preserve">aplikace </w:t>
      </w:r>
      <w:r w:rsidR="00EB58DE" w:rsidRPr="0063373B">
        <w:rPr>
          <w:b/>
        </w:rPr>
        <w:t>následujících zákonných ustanovení? Zvažte, jaké důsledky má tato metoda právní úpravy v kontextu principu právní jistoty a autonomie vůle</w:t>
      </w:r>
      <w:r w:rsidR="00EB58DE">
        <w:rPr>
          <w:b/>
        </w:rPr>
        <w:t>, příp. ve veřejném právu?</w:t>
      </w:r>
      <w:r w:rsidR="00EB58DE" w:rsidRPr="002338BE">
        <w:rPr>
          <w:b/>
          <w:i/>
        </w:rPr>
        <w:t xml:space="preserve"> </w:t>
      </w:r>
      <w:r w:rsidR="00EB58DE" w:rsidRPr="002338BE">
        <w:rPr>
          <w:b/>
        </w:rPr>
        <w:t>Kde nalezneme pravidla pro legislativní užití výrazů „obdobně“ a „přiměřeně“? Diskutujte o povaze tohoto výkladového instrumentu.</w:t>
      </w:r>
    </w:p>
    <w:p w:rsidR="00825F25" w:rsidRDefault="00825F25" w:rsidP="003769CD">
      <w:pPr>
        <w:ind w:left="705" w:hanging="705"/>
        <w:jc w:val="both"/>
        <w:rPr>
          <w:b/>
        </w:rPr>
      </w:pPr>
    </w:p>
    <w:p w:rsidR="00EB58DE" w:rsidRDefault="00EB58DE" w:rsidP="00EB58DE">
      <w:pPr>
        <w:jc w:val="both"/>
      </w:pPr>
      <w:r>
        <w:t>a)</w:t>
      </w:r>
      <w:r>
        <w:tab/>
        <w:t>§ 2188 nového občanského zákoníku:</w:t>
      </w:r>
    </w:p>
    <w:p w:rsidR="00EB58DE" w:rsidRDefault="00EB58DE" w:rsidP="00EB58DE">
      <w:pPr>
        <w:jc w:val="both"/>
      </w:pPr>
    </w:p>
    <w:p w:rsidR="00EB58DE" w:rsidRDefault="00EB58DE" w:rsidP="00EB58DE">
      <w:pPr>
        <w:ind w:left="705" w:hanging="705"/>
        <w:jc w:val="both"/>
      </w:pPr>
      <w:r>
        <w:tab/>
      </w:r>
      <w:r w:rsidRPr="00E5677B">
        <w:t xml:space="preserve">V ostatním se na směnnou smlouvu </w:t>
      </w:r>
      <w:r w:rsidRPr="00503D68">
        <w:rPr>
          <w:b/>
        </w:rPr>
        <w:t>přiměřeně</w:t>
      </w:r>
      <w:r w:rsidRPr="00E5677B">
        <w:t xml:space="preserve"> použijí ustanovení o kupní smlouvě s tím, že se každá ze stran považuje ohledně věci, kterou směnou dává, za stranu prodávající, a ohledně věci, kterou přijímá, za stranu kupující.</w:t>
      </w:r>
    </w:p>
    <w:p w:rsidR="00EB58DE" w:rsidRDefault="00EB58DE" w:rsidP="00EB58DE">
      <w:pPr>
        <w:ind w:left="705" w:hanging="705"/>
        <w:jc w:val="both"/>
      </w:pPr>
    </w:p>
    <w:p w:rsidR="00503D68" w:rsidRDefault="00FA240A" w:rsidP="00503D68">
      <w:pPr>
        <w:ind w:left="705" w:hanging="705"/>
        <w:jc w:val="both"/>
      </w:pPr>
      <w:r>
        <w:lastRenderedPageBreak/>
        <w:t>b)</w:t>
      </w:r>
      <w:r>
        <w:tab/>
      </w:r>
      <w:r w:rsidR="00503D68" w:rsidRPr="00503D68">
        <w:t xml:space="preserve">§ 44 </w:t>
      </w:r>
      <w:r w:rsidR="00503D68">
        <w:t>zákona č. 99/1963 Sb., občanského soudního řádu, ve znění pozdějších předpisů:</w:t>
      </w:r>
    </w:p>
    <w:p w:rsidR="00503D68" w:rsidRPr="00503D68" w:rsidRDefault="00503D68" w:rsidP="00503D68">
      <w:pPr>
        <w:ind w:left="705" w:hanging="705"/>
        <w:jc w:val="both"/>
      </w:pPr>
    </w:p>
    <w:p w:rsidR="00503D68" w:rsidRPr="00503D68" w:rsidRDefault="00503D68" w:rsidP="00503D68">
      <w:pPr>
        <w:ind w:left="705" w:hanging="705"/>
        <w:jc w:val="both"/>
      </w:pPr>
      <w:r w:rsidRPr="00503D68">
        <w:tab/>
        <w:t>(1) Účastníci a jejich zástupci mají právo nahlížet do soudního spisu, s výjimkou protokolu o hlasování, a činit si z něho výpisy a opisy.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(2) Každému, kdo na tom má právní zájem nebo kdo pro to má vážné důvody, předseda senátu na žádost povolí, aby nahlédl do spisu a aby si z něho učinil výpisy nebo opisy, ledaže jde o spis, o němž právní předpisy stanoví, že jeho obsah musí zůstat utajen.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(3) Při povolování nahlížet do spisů je nutno učinit takové opatření, aby byla zachována tajnost utajovaných informací chráněných zvláštním zákonem.</w:t>
      </w:r>
    </w:p>
    <w:p w:rsidR="00FA240A" w:rsidRDefault="00503D68" w:rsidP="00503D68">
      <w:pPr>
        <w:ind w:left="705" w:hanging="705"/>
        <w:jc w:val="both"/>
      </w:pPr>
      <w:r w:rsidRPr="00503D68">
        <w:tab/>
        <w:t xml:space="preserve">(4) Odstavce 1 až 3 se použijí </w:t>
      </w:r>
      <w:r w:rsidRPr="00503D68">
        <w:rPr>
          <w:b/>
        </w:rPr>
        <w:t xml:space="preserve">obdobně </w:t>
      </w:r>
      <w:r w:rsidRPr="00503D68">
        <w:t>pro přehrávání záznamů, poskytování jejich kopií nebo pro jiné způsoby zachycení obsahu listiny.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>c)</w:t>
      </w:r>
      <w:r>
        <w:tab/>
      </w:r>
      <w:r>
        <w:t>§ 21 odst. 4 a 5</w:t>
      </w:r>
      <w:r>
        <w:t xml:space="preserve"> </w:t>
      </w:r>
      <w:r>
        <w:t>zákona č. 99/1963 Sb., občanského soudního řád</w:t>
      </w:r>
      <w:r>
        <w:t>u, ve znění pozdějších předpisů (dále jen „</w:t>
      </w:r>
      <w:proofErr w:type="gramStart"/>
      <w:r>
        <w:t>o.s.</w:t>
      </w:r>
      <w:proofErr w:type="gramEnd"/>
      <w:r>
        <w:t>ř.“)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</w:t>
      </w:r>
      <w:r>
        <w:t>4</w:t>
      </w:r>
      <w:r>
        <w:t>) Za právnickou osobu nemůže jednat ten, jehož zájmy jsou v rozporu se zájmy právnické osoby.</w:t>
      </w:r>
    </w:p>
    <w:p w:rsidR="00503D68" w:rsidRDefault="00503D68" w:rsidP="00503D68">
      <w:pPr>
        <w:ind w:left="705" w:hanging="705"/>
        <w:jc w:val="both"/>
      </w:pPr>
      <w:r>
        <w:tab/>
        <w:t>(5) Každý, kdo jedná za právnickou osobu, musí své oprávnění prokázat. V téže věci může za právnickou osobu současně jednat jen jediná osoba.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/>
        <w:jc w:val="both"/>
      </w:pPr>
      <w:r>
        <w:t xml:space="preserve">§ 21b  </w:t>
      </w:r>
      <w:proofErr w:type="gramStart"/>
      <w:r>
        <w:t>o.s.</w:t>
      </w:r>
      <w:proofErr w:type="gramEnd"/>
      <w:r>
        <w:t>ř.</w:t>
      </w:r>
    </w:p>
    <w:p w:rsidR="00503D68" w:rsidRDefault="00503D68" w:rsidP="00503D68">
      <w:pPr>
        <w:ind w:left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(1) Za obec a za vyšší územně samosprávný celek jedná ten, kdo je podle zvláštního zákona oprávněn je zastupovat navenek, nebo jejich zaměstnanec, který tím byl touto osobou pověřen.</w:t>
      </w:r>
    </w:p>
    <w:p w:rsidR="00503D68" w:rsidRPr="00503D68" w:rsidRDefault="00503D68" w:rsidP="00503D68">
      <w:pPr>
        <w:ind w:left="705" w:hanging="705"/>
        <w:jc w:val="both"/>
      </w:pPr>
      <w:r>
        <w:tab/>
        <w:t xml:space="preserve">(2) Ustanovení § 21 odst. 4 a 5 platí </w:t>
      </w:r>
      <w:r w:rsidRPr="00503D68">
        <w:rPr>
          <w:b/>
        </w:rPr>
        <w:t>obdobně</w:t>
      </w:r>
      <w:r>
        <w:t>.</w:t>
      </w:r>
    </w:p>
    <w:p w:rsidR="00503D68" w:rsidRP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</w:p>
    <w:p w:rsidR="00EB58DE" w:rsidRPr="009540AF" w:rsidRDefault="00964C2E" w:rsidP="00EB58DE">
      <w:pPr>
        <w:ind w:left="705" w:hanging="705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EB58DE" w:rsidRPr="009540AF">
        <w:rPr>
          <w:b/>
        </w:rPr>
        <w:t xml:space="preserve">Přečtěte si nález Ústavního soudu ČR ze dne 26. 3. 1996 </w:t>
      </w:r>
      <w:proofErr w:type="spellStart"/>
      <w:r w:rsidR="00EB58DE" w:rsidRPr="009540AF">
        <w:rPr>
          <w:b/>
        </w:rPr>
        <w:t>sp</w:t>
      </w:r>
      <w:proofErr w:type="spellEnd"/>
      <w:r w:rsidR="00EB58DE" w:rsidRPr="009540AF">
        <w:rPr>
          <w:b/>
        </w:rPr>
        <w:t xml:space="preserve">. zn. </w:t>
      </w:r>
      <w:proofErr w:type="spellStart"/>
      <w:r w:rsidR="00EB58DE" w:rsidRPr="009540AF">
        <w:rPr>
          <w:b/>
        </w:rPr>
        <w:t>Pl</w:t>
      </w:r>
      <w:proofErr w:type="spellEnd"/>
      <w:r w:rsidR="00EB58DE" w:rsidRPr="009540AF">
        <w:rPr>
          <w:b/>
        </w:rPr>
        <w:t>. ÚS 48/95  a promyslete následující problémy:</w:t>
      </w:r>
    </w:p>
    <w:p w:rsidR="00EB58DE" w:rsidRPr="009540AF" w:rsidRDefault="00EB58DE" w:rsidP="00EB58DE">
      <w:pPr>
        <w:ind w:left="705" w:hanging="705"/>
        <w:jc w:val="both"/>
        <w:rPr>
          <w:b/>
        </w:rPr>
      </w:pP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Jaké interpretační alternativy v dané věci připadaly v úvahu a o jakou právní argumentaci byly opřeny?</w:t>
      </w: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Jednalo se v daném případě o mezeru v zákoně?</w:t>
      </w: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Jakou argumentaci Ústavní soud zvolil jako ústavně konformní a proč?</w:t>
      </w: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Nabízí právní metodologie jednoznačný návod, jak se rozhodnout mezi uvedenými typy interpretačních alternativ?</w:t>
      </w:r>
    </w:p>
    <w:p w:rsidR="00503D68" w:rsidRDefault="00503D68" w:rsidP="003769CD">
      <w:pPr>
        <w:jc w:val="both"/>
      </w:pPr>
    </w:p>
    <w:p w:rsidR="005D77EB" w:rsidRPr="005D77EB" w:rsidRDefault="005D77EB" w:rsidP="005D77EB">
      <w:pPr>
        <w:ind w:left="705" w:hanging="705"/>
        <w:rPr>
          <w:b/>
          <w:color w:val="000000"/>
          <w:szCs w:val="17"/>
        </w:rPr>
      </w:pPr>
      <w:r w:rsidRPr="005D77EB">
        <w:rPr>
          <w:b/>
        </w:rPr>
        <w:t>V.</w:t>
      </w:r>
      <w:r>
        <w:t xml:space="preserve"> </w:t>
      </w:r>
      <w:r>
        <w:tab/>
      </w:r>
      <w:r w:rsidRPr="005D77EB">
        <w:rPr>
          <w:b/>
        </w:rPr>
        <w:t xml:space="preserve">Přečtěte si nález </w:t>
      </w:r>
      <w:r w:rsidRPr="005D77EB">
        <w:rPr>
          <w:b/>
          <w:color w:val="000000"/>
          <w:szCs w:val="17"/>
        </w:rPr>
        <w:t xml:space="preserve">Ústavního soudu ze dne 26. 4. 2005, </w:t>
      </w:r>
      <w:proofErr w:type="spellStart"/>
      <w:r w:rsidRPr="005D77EB">
        <w:rPr>
          <w:b/>
          <w:color w:val="000000"/>
          <w:szCs w:val="17"/>
        </w:rPr>
        <w:t>sp</w:t>
      </w:r>
      <w:proofErr w:type="spellEnd"/>
      <w:r w:rsidRPr="005D77EB">
        <w:rPr>
          <w:b/>
          <w:color w:val="000000"/>
          <w:szCs w:val="17"/>
        </w:rPr>
        <w:t xml:space="preserve">. zn. </w:t>
      </w:r>
      <w:proofErr w:type="spellStart"/>
      <w:r w:rsidRPr="005D77EB">
        <w:rPr>
          <w:b/>
          <w:color w:val="000000"/>
          <w:szCs w:val="17"/>
        </w:rPr>
        <w:t>Pl</w:t>
      </w:r>
      <w:proofErr w:type="spellEnd"/>
      <w:r w:rsidRPr="005D77EB">
        <w:rPr>
          <w:b/>
          <w:color w:val="000000"/>
          <w:szCs w:val="17"/>
        </w:rPr>
        <w:t>. ÚS 21/04  k problematice užití analogie v procesním právu a promyslete následující otázky:</w:t>
      </w:r>
    </w:p>
    <w:p w:rsidR="003769CD" w:rsidRPr="005D77EB" w:rsidRDefault="003769CD" w:rsidP="003769CD">
      <w:pPr>
        <w:jc w:val="both"/>
        <w:rPr>
          <w:b/>
        </w:rPr>
      </w:pPr>
    </w:p>
    <w:p w:rsidR="00EB58DE" w:rsidRDefault="005D77EB" w:rsidP="005D77EB">
      <w:pPr>
        <w:pStyle w:val="Odstavecseseznamem"/>
        <w:numPr>
          <w:ilvl w:val="0"/>
          <w:numId w:val="3"/>
        </w:numPr>
      </w:pPr>
      <w:r>
        <w:t>Lze výkladem dotvářet veřejnoprávní procesní předpis, příp. za jakých podmínek?</w:t>
      </w:r>
    </w:p>
    <w:p w:rsidR="005D77EB" w:rsidRDefault="005D77EB" w:rsidP="005D77EB">
      <w:pPr>
        <w:pStyle w:val="Odstavecseseznamem"/>
        <w:numPr>
          <w:ilvl w:val="0"/>
          <w:numId w:val="3"/>
        </w:numPr>
      </w:pPr>
      <w:r>
        <w:t xml:space="preserve">Lze cestou dotváření práva překlenout mezeru </w:t>
      </w:r>
      <w:r w:rsidR="00FA240A">
        <w:t xml:space="preserve">spočívající v absenci </w:t>
      </w:r>
      <w:r>
        <w:t>kompetenční normy</w:t>
      </w:r>
      <w:r w:rsidR="00FA240A">
        <w:t xml:space="preserve"> orgánu veřejné moci k výkonu určité pravomoci</w:t>
      </w:r>
      <w:r>
        <w:t>?</w:t>
      </w:r>
      <w:r w:rsidR="00FA240A">
        <w:t xml:space="preserve"> O jaký typ mezery se jedná?</w:t>
      </w:r>
    </w:p>
    <w:p w:rsidR="005D77EB" w:rsidRDefault="00FA240A" w:rsidP="005D77EB">
      <w:pPr>
        <w:pStyle w:val="Odstavecseseznamem"/>
        <w:numPr>
          <w:ilvl w:val="0"/>
          <w:numId w:val="3"/>
        </w:numPr>
      </w:pPr>
      <w:r>
        <w:t xml:space="preserve">Jedná se v posuzovaném případě o </w:t>
      </w:r>
      <w:proofErr w:type="gramStart"/>
      <w:r>
        <w:t>zamýšlenou  či</w:t>
      </w:r>
      <w:proofErr w:type="gramEnd"/>
      <w:r>
        <w:t xml:space="preserve"> nezamýšlenou mezeru právní úpravy?</w:t>
      </w:r>
    </w:p>
    <w:sectPr w:rsidR="005D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DE" w:rsidRDefault="00EB58DE" w:rsidP="00EB58DE">
      <w:r>
        <w:separator/>
      </w:r>
    </w:p>
  </w:endnote>
  <w:endnote w:type="continuationSeparator" w:id="0">
    <w:p w:rsidR="00EB58DE" w:rsidRDefault="00EB58DE" w:rsidP="00EB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DE" w:rsidRDefault="00EB58DE" w:rsidP="00EB58DE">
      <w:r>
        <w:separator/>
      </w:r>
    </w:p>
  </w:footnote>
  <w:footnote w:type="continuationSeparator" w:id="0">
    <w:p w:rsidR="00EB58DE" w:rsidRDefault="00EB58DE" w:rsidP="00EB58DE">
      <w:r>
        <w:continuationSeparator/>
      </w:r>
    </w:p>
  </w:footnote>
  <w:footnote w:id="1">
    <w:p w:rsidR="00EB58DE" w:rsidRPr="004E647F" w:rsidRDefault="00EB58DE" w:rsidP="00EB58D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4E647F">
        <w:rPr>
          <w:sz w:val="20"/>
          <w:szCs w:val="20"/>
        </w:rPr>
        <w:t>Podle rozsudku Nejvyššího správního soudu ze dne 8. 2. 2007, čj. 1 As 46/2006-75</w:t>
      </w:r>
    </w:p>
    <w:p w:rsidR="00EB58DE" w:rsidRDefault="00EB58DE" w:rsidP="00EB58D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436"/>
    <w:multiLevelType w:val="hybridMultilevel"/>
    <w:tmpl w:val="92427E46"/>
    <w:lvl w:ilvl="0" w:tplc="2F0EA0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518D0"/>
    <w:multiLevelType w:val="hybridMultilevel"/>
    <w:tmpl w:val="2C4A764E"/>
    <w:lvl w:ilvl="0" w:tplc="BF8C10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E"/>
    <w:rsid w:val="002D4EB6"/>
    <w:rsid w:val="003769CD"/>
    <w:rsid w:val="00392DF8"/>
    <w:rsid w:val="00503D68"/>
    <w:rsid w:val="005D77EB"/>
    <w:rsid w:val="00723E87"/>
    <w:rsid w:val="00825F25"/>
    <w:rsid w:val="009540AF"/>
    <w:rsid w:val="00964C2E"/>
    <w:rsid w:val="009F7CA1"/>
    <w:rsid w:val="00CA23CD"/>
    <w:rsid w:val="00EB58DE"/>
    <w:rsid w:val="00F95CAC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Lenovo</cp:lastModifiedBy>
  <cp:revision>5</cp:revision>
  <dcterms:created xsi:type="dcterms:W3CDTF">2016-10-21T09:57:00Z</dcterms:created>
  <dcterms:modified xsi:type="dcterms:W3CDTF">2016-10-23T16:49:00Z</dcterms:modified>
</cp:coreProperties>
</file>