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30" w:rsidRPr="009524A7" w:rsidRDefault="00B9178D" w:rsidP="00CF0940">
      <w:pPr>
        <w:jc w:val="center"/>
        <w:rPr>
          <w:rFonts w:eastAsia="Times New Roman" w:cs="Times New Roman"/>
          <w:sz w:val="32"/>
          <w:szCs w:val="32"/>
          <w:u w:val="single"/>
          <w:lang w:eastAsia="cs-CZ"/>
        </w:rPr>
      </w:pPr>
      <w:r w:rsidRPr="009524A7">
        <w:rPr>
          <w:rFonts w:eastAsia="Times New Roman" w:cs="Times New Roman"/>
          <w:sz w:val="32"/>
          <w:szCs w:val="32"/>
          <w:u w:val="single"/>
          <w:lang w:eastAsia="cs-CZ"/>
        </w:rPr>
        <w:t>Zadání studentům k přípravě na výuku předmětu</w:t>
      </w:r>
    </w:p>
    <w:p w:rsidR="00CF0940" w:rsidRPr="009524A7" w:rsidRDefault="00B9178D" w:rsidP="00CF0940">
      <w:pPr>
        <w:jc w:val="center"/>
        <w:rPr>
          <w:rFonts w:eastAsia="Times New Roman" w:cs="Times New Roman"/>
          <w:b/>
          <w:i/>
          <w:sz w:val="32"/>
          <w:szCs w:val="32"/>
          <w:u w:val="single"/>
          <w:lang w:eastAsia="cs-CZ"/>
        </w:rPr>
      </w:pPr>
      <w:r w:rsidRPr="009524A7">
        <w:rPr>
          <w:rFonts w:eastAsia="Times New Roman" w:cs="Times New Roman"/>
          <w:b/>
          <w:i/>
          <w:sz w:val="32"/>
          <w:szCs w:val="32"/>
          <w:u w:val="single"/>
          <w:lang w:eastAsia="cs-CZ"/>
        </w:rPr>
        <w:t>Metodologie odůvodňování v právnické argumentaci</w:t>
      </w:r>
    </w:p>
    <w:p w:rsidR="009524A7" w:rsidRPr="009524A7" w:rsidRDefault="009524A7" w:rsidP="00CF0940">
      <w:pPr>
        <w:jc w:val="center"/>
        <w:rPr>
          <w:rFonts w:eastAsia="Times New Roman" w:cs="Times New Roman"/>
          <w:sz w:val="32"/>
          <w:szCs w:val="32"/>
          <w:u w:val="single"/>
          <w:lang w:eastAsia="cs-CZ"/>
        </w:rPr>
      </w:pPr>
      <w:r w:rsidRPr="009524A7">
        <w:rPr>
          <w:rFonts w:eastAsia="Times New Roman" w:cs="Times New Roman"/>
          <w:sz w:val="32"/>
          <w:szCs w:val="32"/>
          <w:u w:val="single"/>
          <w:lang w:eastAsia="cs-CZ"/>
        </w:rPr>
        <w:t>a podmínky udělení kolokvia</w:t>
      </w:r>
    </w:p>
    <w:p w:rsidR="00B9178D" w:rsidRPr="009524A7" w:rsidRDefault="00684891" w:rsidP="00CF0940">
      <w:pPr>
        <w:jc w:val="center"/>
        <w:rPr>
          <w:rFonts w:eastAsia="Times New Roman" w:cs="Times New Roman"/>
          <w:sz w:val="32"/>
          <w:szCs w:val="32"/>
          <w:u w:val="single"/>
          <w:lang w:eastAsia="cs-CZ"/>
        </w:rPr>
      </w:pPr>
      <w:r>
        <w:rPr>
          <w:rFonts w:eastAsia="Times New Roman" w:cs="Times New Roman"/>
          <w:sz w:val="32"/>
          <w:szCs w:val="32"/>
          <w:u w:val="single"/>
          <w:lang w:eastAsia="cs-CZ"/>
        </w:rPr>
        <w:t>(podzim 2016</w:t>
      </w:r>
      <w:r w:rsidR="00CF0940" w:rsidRPr="009524A7">
        <w:rPr>
          <w:rFonts w:eastAsia="Times New Roman" w:cs="Times New Roman"/>
          <w:sz w:val="32"/>
          <w:szCs w:val="32"/>
          <w:u w:val="single"/>
          <w:lang w:eastAsia="cs-CZ"/>
        </w:rPr>
        <w:t>)</w:t>
      </w:r>
    </w:p>
    <w:p w:rsidR="00B9178D" w:rsidRDefault="00B9178D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EA6330" w:rsidRDefault="00B9178D" w:rsidP="00EA6330">
      <w:pPr>
        <w:jc w:val="both"/>
      </w:pPr>
      <w:r>
        <w:rPr>
          <w:rFonts w:eastAsia="Times New Roman" w:cs="Times New Roman"/>
          <w:szCs w:val="24"/>
          <w:lang w:eastAsia="cs-CZ"/>
        </w:rPr>
        <w:t>Příprava na přednášku</w:t>
      </w:r>
      <w:r w:rsidR="00EA6330">
        <w:rPr>
          <w:rFonts w:eastAsia="Times New Roman" w:cs="Times New Roman"/>
          <w:szCs w:val="24"/>
          <w:lang w:eastAsia="cs-CZ"/>
        </w:rPr>
        <w:t xml:space="preserve">. Jsou-li označeny kapitoly, jde o pasáže obsažené v monografii </w:t>
      </w:r>
      <w:r w:rsidR="00640066">
        <w:t>Hanuš </w:t>
      </w:r>
      <w:r w:rsidR="00EA6330">
        <w:t xml:space="preserve">L.: </w:t>
      </w:r>
      <w:r w:rsidR="00EA6330" w:rsidRPr="00646D03">
        <w:rPr>
          <w:i/>
        </w:rPr>
        <w:t>Právní argumentace nebo svévole, Úvahy o právu, spravedlnosti a etice</w:t>
      </w:r>
      <w:r w:rsidR="00EA6330">
        <w:t xml:space="preserve">, </w:t>
      </w:r>
      <w:proofErr w:type="spellStart"/>
      <w:proofErr w:type="gramStart"/>
      <w:r w:rsidR="00EA6330">
        <w:t>C.H.</w:t>
      </w:r>
      <w:proofErr w:type="gramEnd"/>
      <w:r w:rsidR="00EA6330">
        <w:t>Beck</w:t>
      </w:r>
      <w:proofErr w:type="spellEnd"/>
      <w:r w:rsidR="00EA6330">
        <w:t>, Praha, 2008.</w:t>
      </w:r>
    </w:p>
    <w:p w:rsidR="00B41772" w:rsidRDefault="00B41772" w:rsidP="00EA6330">
      <w:pPr>
        <w:jc w:val="both"/>
      </w:pPr>
    </w:p>
    <w:p w:rsidR="00B41772" w:rsidRDefault="00B41772" w:rsidP="00EA6330">
      <w:pPr>
        <w:jc w:val="both"/>
      </w:pPr>
      <w:r>
        <w:t xml:space="preserve">Nastudování těchto </w:t>
      </w:r>
      <w:r w:rsidR="00CF0940">
        <w:t xml:space="preserve">textů </w:t>
      </w:r>
      <w:r>
        <w:t>ze strany studentů se předpoklád</w:t>
      </w:r>
      <w:r w:rsidR="00684891">
        <w:t xml:space="preserve">á. V samotné výuce tudíž nemusí být, resp. ani zpravidla nejsou </w:t>
      </w:r>
      <w:r>
        <w:t>příslušné pasáže v úplnosti reprodukovány</w:t>
      </w:r>
      <w:r w:rsidR="00CF0940">
        <w:t xml:space="preserve">, </w:t>
      </w:r>
      <w:r w:rsidR="00684891">
        <w:t>půjde spíše pouze o </w:t>
      </w:r>
      <w:r w:rsidR="00CF0940">
        <w:t>doplnění a rozšíření jejich obsahu</w:t>
      </w:r>
      <w:r>
        <w:t>.</w:t>
      </w:r>
      <w:r w:rsidR="00CF0940">
        <w:t xml:space="preserve"> </w:t>
      </w:r>
    </w:p>
    <w:p w:rsidR="00B41772" w:rsidRDefault="00B41772" w:rsidP="00EA6330">
      <w:pPr>
        <w:jc w:val="both"/>
      </w:pP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1. Pojem svévole a jeho typické projevy v právní praxi (ad </w:t>
      </w:r>
      <w:proofErr w:type="spellStart"/>
      <w:r w:rsidRPr="00A848BB">
        <w:rPr>
          <w:rFonts w:eastAsia="Times New Roman" w:cs="Times New Roman"/>
          <w:b/>
          <w:sz w:val="28"/>
          <w:szCs w:val="28"/>
          <w:lang w:eastAsia="cs-CZ"/>
        </w:rPr>
        <w:t>illustrandum</w:t>
      </w:r>
      <w:proofErr w:type="spellEnd"/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 rozbor vybraných kauz). </w:t>
      </w:r>
    </w:p>
    <w:p w:rsidR="00A848BB" w:rsidRDefault="00A848BB" w:rsidP="00B9178D">
      <w:pPr>
        <w:jc w:val="both"/>
      </w:pPr>
      <w:r>
        <w:t xml:space="preserve">Kap. XI. </w:t>
      </w:r>
      <w:r w:rsidRPr="00EA6330">
        <w:rPr>
          <w:i/>
        </w:rPr>
        <w:t xml:space="preserve">Glosa k pojmu </w:t>
      </w:r>
      <w:r w:rsidR="00EA6330">
        <w:rPr>
          <w:i/>
        </w:rPr>
        <w:t>svévole</w:t>
      </w:r>
      <w:r>
        <w:t>, s. 169-187</w:t>
      </w:r>
    </w:p>
    <w:p w:rsidR="00A848BB" w:rsidRDefault="00A848BB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t xml:space="preserve">Kap. I. </w:t>
      </w:r>
      <w:r w:rsidRPr="00EA6330">
        <w:rPr>
          <w:i/>
        </w:rPr>
        <w:t>Jsou obecné právní principy pramenem práva v právním řádu ČR?</w:t>
      </w:r>
      <w:r>
        <w:t>, s. 1-16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2. Argumentace a odůvodnění v rámci realizace důkazního procesu. </w:t>
      </w:r>
    </w:p>
    <w:p w:rsidR="00A848BB" w:rsidRDefault="00A848BB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II. </w:t>
      </w:r>
      <w:r w:rsidRPr="00EA6330">
        <w:rPr>
          <w:rFonts w:eastAsia="Times New Roman" w:cs="Times New Roman"/>
          <w:i/>
          <w:szCs w:val="24"/>
          <w:lang w:eastAsia="cs-CZ"/>
        </w:rPr>
        <w:t>Ústavněprávní vady důkazního procesu z pohledu jud</w:t>
      </w:r>
      <w:r w:rsidR="00F210BA" w:rsidRPr="00EA6330">
        <w:rPr>
          <w:rFonts w:eastAsia="Times New Roman" w:cs="Times New Roman"/>
          <w:i/>
          <w:szCs w:val="24"/>
          <w:lang w:eastAsia="cs-CZ"/>
        </w:rPr>
        <w:t>ikatury Ústavního soudu (analýza</w:t>
      </w:r>
      <w:r w:rsidRPr="00EA6330">
        <w:rPr>
          <w:rFonts w:eastAsia="Times New Roman" w:cs="Times New Roman"/>
          <w:i/>
          <w:szCs w:val="24"/>
          <w:lang w:eastAsia="cs-CZ"/>
        </w:rPr>
        <w:t xml:space="preserve"> strukturální)</w:t>
      </w:r>
      <w:r w:rsidR="00F210BA">
        <w:rPr>
          <w:rFonts w:eastAsia="Times New Roman" w:cs="Times New Roman"/>
          <w:szCs w:val="24"/>
          <w:lang w:eastAsia="cs-CZ"/>
        </w:rPr>
        <w:t>, s. 17-37</w:t>
      </w:r>
      <w:r>
        <w:rPr>
          <w:rFonts w:eastAsia="Times New Roman" w:cs="Times New Roman"/>
          <w:szCs w:val="24"/>
          <w:lang w:eastAsia="cs-CZ"/>
        </w:rPr>
        <w:t xml:space="preserve"> 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3. Specifika metod výkladu a zvláštních argumentů právní logiky. </w:t>
      </w:r>
    </w:p>
    <w:p w:rsidR="00F210BA" w:rsidRDefault="00F210BA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III. </w:t>
      </w:r>
      <w:r w:rsidRPr="00EA6330">
        <w:rPr>
          <w:rFonts w:eastAsia="Times New Roman" w:cs="Times New Roman"/>
          <w:i/>
          <w:szCs w:val="24"/>
          <w:lang w:eastAsia="cs-CZ"/>
        </w:rPr>
        <w:t>K argumentaci teleologickým výkladem (vázanosti soudce zákonem)</w:t>
      </w:r>
      <w:r>
        <w:rPr>
          <w:rFonts w:eastAsia="Times New Roman" w:cs="Times New Roman"/>
          <w:szCs w:val="24"/>
          <w:lang w:eastAsia="cs-CZ"/>
        </w:rPr>
        <w:t>, s. 38-64</w:t>
      </w:r>
    </w:p>
    <w:p w:rsidR="00C7103E" w:rsidRDefault="00C7103E" w:rsidP="00640066">
      <w:pPr>
        <w:jc w:val="both"/>
        <w:rPr>
          <w:rFonts w:eastAsia="Times New Roman" w:cs="Times New Roman"/>
          <w:i/>
          <w:szCs w:val="24"/>
          <w:lang w:eastAsia="cs-CZ"/>
        </w:rPr>
      </w:pPr>
    </w:p>
    <w:p w:rsidR="00640066" w:rsidRDefault="00640066" w:rsidP="00640066">
      <w:pPr>
        <w:jc w:val="both"/>
        <w:rPr>
          <w:rFonts w:eastAsia="Times New Roman" w:cs="Times New Roman"/>
          <w:szCs w:val="24"/>
          <w:lang w:eastAsia="cs-CZ"/>
        </w:rPr>
      </w:pPr>
      <w:r w:rsidRPr="00640066">
        <w:rPr>
          <w:rFonts w:eastAsia="Times New Roman" w:cs="Times New Roman"/>
          <w:i/>
          <w:szCs w:val="24"/>
          <w:lang w:eastAsia="cs-CZ"/>
        </w:rPr>
        <w:t>Glosa k dosahu a mezím argumentace „</w:t>
      </w:r>
      <w:r w:rsidRPr="00F210BA">
        <w:rPr>
          <w:rFonts w:eastAsia="Times New Roman" w:cs="Times New Roman"/>
          <w:i/>
          <w:szCs w:val="24"/>
          <w:lang w:eastAsia="cs-CZ"/>
        </w:rPr>
        <w:t xml:space="preserve">a </w:t>
      </w:r>
      <w:proofErr w:type="spellStart"/>
      <w:r w:rsidRPr="00F210BA">
        <w:rPr>
          <w:rFonts w:eastAsia="Times New Roman" w:cs="Times New Roman"/>
          <w:i/>
          <w:szCs w:val="24"/>
          <w:lang w:eastAsia="cs-CZ"/>
        </w:rPr>
        <w:t>fortiori</w:t>
      </w:r>
      <w:proofErr w:type="spellEnd"/>
      <w:r w:rsidRPr="00F210BA">
        <w:rPr>
          <w:rFonts w:eastAsia="Times New Roman" w:cs="Times New Roman"/>
          <w:i/>
          <w:szCs w:val="24"/>
          <w:lang w:eastAsia="cs-CZ"/>
        </w:rPr>
        <w:t>“ (pokus o nahlédnutí strukturální)</w:t>
      </w:r>
    </w:p>
    <w:p w:rsidR="00640066" w:rsidRPr="00F210BA" w:rsidRDefault="00640066" w:rsidP="00640066">
      <w:pPr>
        <w:jc w:val="both"/>
        <w:rPr>
          <w:rFonts w:eastAsia="Times New Roman" w:cs="Times New Roman"/>
          <w:i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(in: </w:t>
      </w:r>
      <w:r w:rsidR="00C7103E">
        <w:rPr>
          <w:rFonts w:eastAsia="Times New Roman" w:cs="Times New Roman"/>
          <w:szCs w:val="24"/>
          <w:lang w:eastAsia="cs-CZ"/>
        </w:rPr>
        <w:t xml:space="preserve">Hanuš L., </w:t>
      </w:r>
      <w:r>
        <w:rPr>
          <w:rFonts w:eastAsia="Times New Roman" w:cs="Times New Roman"/>
          <w:szCs w:val="24"/>
          <w:lang w:eastAsia="cs-CZ"/>
        </w:rPr>
        <w:t xml:space="preserve">Glosy k právní argumentaci, Masarykova univerzita, Brno, 2013, s. 30-57) </w:t>
      </w:r>
    </w:p>
    <w:p w:rsidR="00F210BA" w:rsidRDefault="00F210BA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4. Účely práva a jejich kolize. Teleologický výklad. </w:t>
      </w:r>
    </w:p>
    <w:p w:rsidR="001C02EC" w:rsidRDefault="001C02EC" w:rsidP="00B9178D">
      <w:pPr>
        <w:jc w:val="both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Radbruch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G.: O napětí mezi účely práva, </w:t>
      </w:r>
      <w:proofErr w:type="spellStart"/>
      <w:r>
        <w:rPr>
          <w:rFonts w:eastAsia="Times New Roman" w:cs="Times New Roman"/>
          <w:szCs w:val="24"/>
          <w:lang w:eastAsia="cs-CZ"/>
        </w:rPr>
        <w:t>Wolters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Kluwer</w:t>
      </w:r>
      <w:proofErr w:type="spellEnd"/>
      <w:r>
        <w:rPr>
          <w:rFonts w:eastAsia="Times New Roman" w:cs="Times New Roman"/>
          <w:szCs w:val="24"/>
          <w:lang w:eastAsia="cs-CZ"/>
        </w:rPr>
        <w:t>, 2012, s. 17-60)</w:t>
      </w:r>
    </w:p>
    <w:p w:rsidR="00A848BB" w:rsidRDefault="00B9178D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Kap. IX. Ke kolizi účelů práva, s. 134-151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5. Odůvodnění rozhodnutí. Soudcovská </w:t>
      </w:r>
      <w:proofErr w:type="spellStart"/>
      <w:r w:rsidRPr="00A848BB">
        <w:rPr>
          <w:rFonts w:eastAsia="Times New Roman" w:cs="Times New Roman"/>
          <w:b/>
          <w:sz w:val="28"/>
          <w:szCs w:val="28"/>
          <w:lang w:eastAsia="cs-CZ"/>
        </w:rPr>
        <w:t>dotvorba</w:t>
      </w:r>
      <w:proofErr w:type="spellEnd"/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 práva a její mantinely. </w:t>
      </w:r>
    </w:p>
    <w:p w:rsidR="00A848BB" w:rsidRDefault="00F210BA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VI. </w:t>
      </w:r>
      <w:r w:rsidRPr="00EA6330">
        <w:rPr>
          <w:rFonts w:eastAsia="Times New Roman" w:cs="Times New Roman"/>
          <w:i/>
          <w:szCs w:val="24"/>
          <w:lang w:eastAsia="cs-CZ"/>
        </w:rPr>
        <w:t>K míře závaznosti soudní judikatury</w:t>
      </w:r>
      <w:r>
        <w:rPr>
          <w:rFonts w:eastAsia="Times New Roman" w:cs="Times New Roman"/>
          <w:szCs w:val="24"/>
          <w:lang w:eastAsia="cs-CZ"/>
        </w:rPr>
        <w:t>, s. 87-103</w:t>
      </w:r>
    </w:p>
    <w:p w:rsidR="00B9178D" w:rsidRDefault="00B9178D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VII. </w:t>
      </w:r>
      <w:r w:rsidRPr="00EA6330">
        <w:rPr>
          <w:rFonts w:eastAsia="Times New Roman" w:cs="Times New Roman"/>
          <w:i/>
          <w:szCs w:val="24"/>
          <w:lang w:eastAsia="cs-CZ"/>
        </w:rPr>
        <w:t xml:space="preserve">Přemítání nad soudcovskou </w:t>
      </w:r>
      <w:proofErr w:type="spellStart"/>
      <w:r w:rsidRPr="00EA6330">
        <w:rPr>
          <w:rFonts w:eastAsia="Times New Roman" w:cs="Times New Roman"/>
          <w:i/>
          <w:szCs w:val="24"/>
          <w:lang w:eastAsia="cs-CZ"/>
        </w:rPr>
        <w:t>dotvorbou</w:t>
      </w:r>
      <w:proofErr w:type="spellEnd"/>
      <w:r w:rsidRPr="00EA6330">
        <w:rPr>
          <w:rFonts w:eastAsia="Times New Roman" w:cs="Times New Roman"/>
          <w:i/>
          <w:szCs w:val="24"/>
          <w:lang w:eastAsia="cs-CZ"/>
        </w:rPr>
        <w:t xml:space="preserve"> práva</w:t>
      </w:r>
      <w:r>
        <w:rPr>
          <w:rFonts w:eastAsia="Times New Roman" w:cs="Times New Roman"/>
          <w:szCs w:val="24"/>
          <w:lang w:eastAsia="cs-CZ"/>
        </w:rPr>
        <w:t>, s. 121-133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>6. Spravedlnostní hodnocení a etická kritéria argumentace.</w:t>
      </w:r>
    </w:p>
    <w:p w:rsidR="001C02EC" w:rsidRPr="00640066" w:rsidRDefault="001C02EC" w:rsidP="00B9178D">
      <w:pPr>
        <w:jc w:val="both"/>
        <w:rPr>
          <w:rFonts w:eastAsia="Times New Roman" w:cs="Times New Roman"/>
          <w:i/>
          <w:szCs w:val="24"/>
          <w:lang w:eastAsia="cs-CZ"/>
        </w:rPr>
      </w:pPr>
      <w:r w:rsidRPr="00640066">
        <w:rPr>
          <w:rFonts w:eastAsia="Times New Roman" w:cs="Times New Roman"/>
          <w:i/>
          <w:szCs w:val="24"/>
          <w:lang w:eastAsia="cs-CZ"/>
        </w:rPr>
        <w:t>Roviny etické úvahy: co z nich spojuje a rozděluje</w:t>
      </w:r>
    </w:p>
    <w:p w:rsidR="001C02EC" w:rsidRPr="00F210BA" w:rsidRDefault="001C02EC" w:rsidP="00B9178D">
      <w:pPr>
        <w:jc w:val="both"/>
        <w:rPr>
          <w:rFonts w:eastAsia="Times New Roman" w:cs="Times New Roman"/>
          <w:i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(</w:t>
      </w:r>
      <w:r w:rsidR="00640066">
        <w:rPr>
          <w:rFonts w:eastAsia="Times New Roman" w:cs="Times New Roman"/>
          <w:szCs w:val="24"/>
          <w:lang w:eastAsia="cs-CZ"/>
        </w:rPr>
        <w:t xml:space="preserve">in: </w:t>
      </w:r>
      <w:r w:rsidR="00C7103E">
        <w:rPr>
          <w:rFonts w:eastAsia="Times New Roman" w:cs="Times New Roman"/>
          <w:szCs w:val="24"/>
          <w:lang w:eastAsia="cs-CZ"/>
        </w:rPr>
        <w:t xml:space="preserve">Hanuš L., </w:t>
      </w:r>
      <w:r>
        <w:rPr>
          <w:rFonts w:eastAsia="Times New Roman" w:cs="Times New Roman"/>
          <w:szCs w:val="24"/>
          <w:lang w:eastAsia="cs-CZ"/>
        </w:rPr>
        <w:t>Glosy k právní argumentaci, Masarykova unive</w:t>
      </w:r>
      <w:r w:rsidR="00640066">
        <w:rPr>
          <w:rFonts w:eastAsia="Times New Roman" w:cs="Times New Roman"/>
          <w:szCs w:val="24"/>
          <w:lang w:eastAsia="cs-CZ"/>
        </w:rPr>
        <w:t>rzita, Brno, 2013, s. 70-79</w:t>
      </w:r>
      <w:r>
        <w:rPr>
          <w:rFonts w:eastAsia="Times New Roman" w:cs="Times New Roman"/>
          <w:szCs w:val="24"/>
          <w:lang w:eastAsia="cs-CZ"/>
        </w:rPr>
        <w:t xml:space="preserve">) </w:t>
      </w:r>
    </w:p>
    <w:p w:rsidR="00C7103E" w:rsidRDefault="00C7103E" w:rsidP="001C02EC">
      <w:pPr>
        <w:rPr>
          <w:rFonts w:eastAsia="Times New Roman" w:cs="Times New Roman"/>
          <w:i/>
          <w:szCs w:val="24"/>
          <w:lang w:eastAsia="cs-CZ"/>
        </w:rPr>
      </w:pPr>
    </w:p>
    <w:p w:rsidR="00C7103E" w:rsidRDefault="00C7103E" w:rsidP="001C02EC">
      <w:pPr>
        <w:rPr>
          <w:rFonts w:eastAsia="Times New Roman" w:cs="Times New Roman"/>
          <w:szCs w:val="24"/>
          <w:lang w:eastAsia="cs-CZ"/>
        </w:rPr>
      </w:pPr>
      <w:r w:rsidRPr="00C7103E">
        <w:rPr>
          <w:rFonts w:eastAsia="Times New Roman" w:cs="Times New Roman"/>
          <w:i/>
          <w:szCs w:val="24"/>
          <w:lang w:eastAsia="cs-CZ"/>
        </w:rPr>
        <w:t>Svévole, moralita a právní argumentace</w:t>
      </w:r>
      <w:r>
        <w:rPr>
          <w:rFonts w:eastAsia="Times New Roman" w:cs="Times New Roman"/>
          <w:szCs w:val="24"/>
          <w:lang w:eastAsia="cs-CZ"/>
        </w:rPr>
        <w:t xml:space="preserve"> (tamtéž, s. 58-69)</w:t>
      </w:r>
    </w:p>
    <w:p w:rsidR="00C7103E" w:rsidRDefault="00C7103E" w:rsidP="001C02EC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nebo</w:t>
      </w:r>
    </w:p>
    <w:p w:rsidR="001C02EC" w:rsidRDefault="001C02EC" w:rsidP="001C02EC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XII. </w:t>
      </w:r>
      <w:r w:rsidRPr="00EA6330">
        <w:rPr>
          <w:rFonts w:eastAsia="Times New Roman" w:cs="Times New Roman"/>
          <w:i/>
          <w:szCs w:val="24"/>
          <w:lang w:eastAsia="cs-CZ"/>
        </w:rPr>
        <w:t>Imperativ odůvodnění morálního úsudku (pojednání o etických kritériích)</w:t>
      </w:r>
      <w:r w:rsidR="00C7103E">
        <w:rPr>
          <w:rFonts w:eastAsia="Times New Roman" w:cs="Times New Roman"/>
          <w:szCs w:val="24"/>
          <w:lang w:eastAsia="cs-CZ"/>
        </w:rPr>
        <w:t>, s. 188-206</w:t>
      </w:r>
    </w:p>
    <w:p w:rsidR="009524A7" w:rsidRDefault="009524A7" w:rsidP="001C02EC">
      <w:pPr>
        <w:rPr>
          <w:rFonts w:eastAsia="Times New Roman" w:cs="Times New Roman"/>
          <w:szCs w:val="24"/>
          <w:lang w:eastAsia="cs-CZ"/>
        </w:rPr>
      </w:pPr>
    </w:p>
    <w:p w:rsidR="009524A7" w:rsidRPr="00A848BB" w:rsidRDefault="009524A7" w:rsidP="009524A7">
      <w:pPr>
        <w:ind w:firstLine="708"/>
        <w:jc w:val="both"/>
        <w:rPr>
          <w:rFonts w:eastAsia="Times New Roman" w:cs="Times New Roman"/>
          <w:szCs w:val="24"/>
          <w:lang w:eastAsia="cs-CZ"/>
        </w:rPr>
      </w:pPr>
      <w:r w:rsidRPr="009524A7">
        <w:rPr>
          <w:rFonts w:eastAsia="Times New Roman" w:cs="Times New Roman"/>
          <w:b/>
          <w:szCs w:val="24"/>
          <w:u w:val="single"/>
          <w:lang w:eastAsia="cs-CZ"/>
        </w:rPr>
        <w:t>Podmínkou řádného absolvování předmětu</w:t>
      </w:r>
      <w:r>
        <w:rPr>
          <w:rFonts w:eastAsia="Times New Roman" w:cs="Times New Roman"/>
          <w:szCs w:val="24"/>
          <w:lang w:eastAsia="cs-CZ"/>
        </w:rPr>
        <w:t xml:space="preserve"> a takto i udělení kolokvia je náležitá příprava do výuky, aktivní účast ve výuce a vypracování nejméně pětistránkové úvahy na </w:t>
      </w:r>
      <w:r>
        <w:rPr>
          <w:rFonts w:eastAsia="Times New Roman" w:cs="Times New Roman"/>
          <w:szCs w:val="24"/>
          <w:lang w:eastAsia="cs-CZ"/>
        </w:rPr>
        <w:lastRenderedPageBreak/>
        <w:t>téma „Etika v právnické praxi“, kterou je třeba odevzdat v</w:t>
      </w:r>
      <w:r w:rsidR="00684891">
        <w:rPr>
          <w:rFonts w:eastAsia="Times New Roman" w:cs="Times New Roman"/>
          <w:szCs w:val="24"/>
          <w:lang w:eastAsia="cs-CZ"/>
        </w:rPr>
        <w:t>ytištěnou nejpozději do pátku 9. 12. 2016</w:t>
      </w:r>
      <w:r>
        <w:rPr>
          <w:rFonts w:eastAsia="Times New Roman" w:cs="Times New Roman"/>
          <w:szCs w:val="24"/>
          <w:lang w:eastAsia="cs-CZ"/>
        </w:rPr>
        <w:t>.</w:t>
      </w:r>
    </w:p>
    <w:p w:rsidR="001C02EC" w:rsidRDefault="001C02EC" w:rsidP="00B9178D">
      <w:pPr>
        <w:spacing w:before="120"/>
        <w:jc w:val="both"/>
        <w:rPr>
          <w:rFonts w:eastAsia="Times New Roman" w:cs="Times New Roman"/>
          <w:szCs w:val="24"/>
          <w:lang w:eastAsia="cs-CZ"/>
        </w:rPr>
      </w:pPr>
    </w:p>
    <w:p w:rsidR="00C7103E" w:rsidRDefault="00C7103E" w:rsidP="00B9178D">
      <w:pPr>
        <w:spacing w:before="120"/>
        <w:jc w:val="both"/>
      </w:pPr>
    </w:p>
    <w:sectPr w:rsidR="00C7103E" w:rsidSect="0018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3F9B"/>
    <w:multiLevelType w:val="hybridMultilevel"/>
    <w:tmpl w:val="44CCAD8A"/>
    <w:lvl w:ilvl="0" w:tplc="9372F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826F98"/>
    <w:multiLevelType w:val="multilevel"/>
    <w:tmpl w:val="E39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8BB"/>
    <w:rsid w:val="0000621E"/>
    <w:rsid w:val="0001403E"/>
    <w:rsid w:val="000322F3"/>
    <w:rsid w:val="00042795"/>
    <w:rsid w:val="00042A79"/>
    <w:rsid w:val="000470C5"/>
    <w:rsid w:val="00053DBF"/>
    <w:rsid w:val="00055520"/>
    <w:rsid w:val="000614A7"/>
    <w:rsid w:val="00073507"/>
    <w:rsid w:val="0007643C"/>
    <w:rsid w:val="0008215B"/>
    <w:rsid w:val="00085CB3"/>
    <w:rsid w:val="000965D8"/>
    <w:rsid w:val="000B28A9"/>
    <w:rsid w:val="000B55B9"/>
    <w:rsid w:val="000C2E75"/>
    <w:rsid w:val="000C5407"/>
    <w:rsid w:val="000C7DF4"/>
    <w:rsid w:val="000D0085"/>
    <w:rsid w:val="000E2130"/>
    <w:rsid w:val="000E62D1"/>
    <w:rsid w:val="000E7704"/>
    <w:rsid w:val="000F11A3"/>
    <w:rsid w:val="000F1C9F"/>
    <w:rsid w:val="000F6360"/>
    <w:rsid w:val="00101927"/>
    <w:rsid w:val="00121E09"/>
    <w:rsid w:val="00125301"/>
    <w:rsid w:val="001413A4"/>
    <w:rsid w:val="00144219"/>
    <w:rsid w:val="001459A9"/>
    <w:rsid w:val="00150838"/>
    <w:rsid w:val="001629FC"/>
    <w:rsid w:val="00180B7C"/>
    <w:rsid w:val="00183C67"/>
    <w:rsid w:val="00190B43"/>
    <w:rsid w:val="001A335C"/>
    <w:rsid w:val="001B0358"/>
    <w:rsid w:val="001B483A"/>
    <w:rsid w:val="001C02EC"/>
    <w:rsid w:val="001C2579"/>
    <w:rsid w:val="001F6E72"/>
    <w:rsid w:val="0020265C"/>
    <w:rsid w:val="00203CF7"/>
    <w:rsid w:val="00221725"/>
    <w:rsid w:val="00230C6D"/>
    <w:rsid w:val="002319FD"/>
    <w:rsid w:val="00246115"/>
    <w:rsid w:val="00257D6F"/>
    <w:rsid w:val="00260970"/>
    <w:rsid w:val="00262E3C"/>
    <w:rsid w:val="0026451E"/>
    <w:rsid w:val="00274EE4"/>
    <w:rsid w:val="00275BAB"/>
    <w:rsid w:val="002844D8"/>
    <w:rsid w:val="0029721B"/>
    <w:rsid w:val="002978BD"/>
    <w:rsid w:val="002A0EFF"/>
    <w:rsid w:val="002C1C48"/>
    <w:rsid w:val="002C65F1"/>
    <w:rsid w:val="002E3D27"/>
    <w:rsid w:val="002E4A27"/>
    <w:rsid w:val="00302739"/>
    <w:rsid w:val="00320DE2"/>
    <w:rsid w:val="003270A5"/>
    <w:rsid w:val="00327E3F"/>
    <w:rsid w:val="00347C45"/>
    <w:rsid w:val="0035798D"/>
    <w:rsid w:val="00370BA0"/>
    <w:rsid w:val="00383BC6"/>
    <w:rsid w:val="003A1498"/>
    <w:rsid w:val="003A2A3B"/>
    <w:rsid w:val="003A71A4"/>
    <w:rsid w:val="003B4CDA"/>
    <w:rsid w:val="003C1D9A"/>
    <w:rsid w:val="003D4371"/>
    <w:rsid w:val="003D77E5"/>
    <w:rsid w:val="00443EC5"/>
    <w:rsid w:val="004500DD"/>
    <w:rsid w:val="00450738"/>
    <w:rsid w:val="00451055"/>
    <w:rsid w:val="00461421"/>
    <w:rsid w:val="00473EEF"/>
    <w:rsid w:val="004811BA"/>
    <w:rsid w:val="004A1FDE"/>
    <w:rsid w:val="004B1678"/>
    <w:rsid w:val="004B2882"/>
    <w:rsid w:val="004B49A6"/>
    <w:rsid w:val="004B6BD2"/>
    <w:rsid w:val="004B7CFF"/>
    <w:rsid w:val="004C4963"/>
    <w:rsid w:val="004C5569"/>
    <w:rsid w:val="004D7945"/>
    <w:rsid w:val="004D7C9B"/>
    <w:rsid w:val="004F0D97"/>
    <w:rsid w:val="004F540B"/>
    <w:rsid w:val="00500C1B"/>
    <w:rsid w:val="00501C0A"/>
    <w:rsid w:val="00505D3D"/>
    <w:rsid w:val="0051256B"/>
    <w:rsid w:val="00520E25"/>
    <w:rsid w:val="005226F7"/>
    <w:rsid w:val="00532B89"/>
    <w:rsid w:val="005372DA"/>
    <w:rsid w:val="00537BCE"/>
    <w:rsid w:val="00572DE2"/>
    <w:rsid w:val="00572EE0"/>
    <w:rsid w:val="0057348C"/>
    <w:rsid w:val="00573943"/>
    <w:rsid w:val="00573F79"/>
    <w:rsid w:val="00582E8B"/>
    <w:rsid w:val="005850E9"/>
    <w:rsid w:val="005A4638"/>
    <w:rsid w:val="005A6711"/>
    <w:rsid w:val="005D0640"/>
    <w:rsid w:val="005D36BD"/>
    <w:rsid w:val="005D403C"/>
    <w:rsid w:val="005D5EAF"/>
    <w:rsid w:val="0060060C"/>
    <w:rsid w:val="006162AA"/>
    <w:rsid w:val="00616817"/>
    <w:rsid w:val="00634167"/>
    <w:rsid w:val="00640066"/>
    <w:rsid w:val="00640166"/>
    <w:rsid w:val="00651970"/>
    <w:rsid w:val="00676907"/>
    <w:rsid w:val="00677C22"/>
    <w:rsid w:val="00677ED0"/>
    <w:rsid w:val="00684891"/>
    <w:rsid w:val="006850A9"/>
    <w:rsid w:val="006874AF"/>
    <w:rsid w:val="006928FA"/>
    <w:rsid w:val="006A045E"/>
    <w:rsid w:val="006A4017"/>
    <w:rsid w:val="006A5F15"/>
    <w:rsid w:val="006D41E9"/>
    <w:rsid w:val="006F4682"/>
    <w:rsid w:val="00701DB1"/>
    <w:rsid w:val="00706518"/>
    <w:rsid w:val="00706DB8"/>
    <w:rsid w:val="007166F0"/>
    <w:rsid w:val="00724972"/>
    <w:rsid w:val="00733390"/>
    <w:rsid w:val="007366EA"/>
    <w:rsid w:val="00750F81"/>
    <w:rsid w:val="00760A81"/>
    <w:rsid w:val="007638D9"/>
    <w:rsid w:val="007820D5"/>
    <w:rsid w:val="00795210"/>
    <w:rsid w:val="007A0F08"/>
    <w:rsid w:val="007A2CBF"/>
    <w:rsid w:val="007B1806"/>
    <w:rsid w:val="007B6757"/>
    <w:rsid w:val="007C5582"/>
    <w:rsid w:val="007C601A"/>
    <w:rsid w:val="007D5B22"/>
    <w:rsid w:val="007F758E"/>
    <w:rsid w:val="00802229"/>
    <w:rsid w:val="008117EB"/>
    <w:rsid w:val="00821D2D"/>
    <w:rsid w:val="00833330"/>
    <w:rsid w:val="00833D31"/>
    <w:rsid w:val="00837EBF"/>
    <w:rsid w:val="00842B9F"/>
    <w:rsid w:val="00850B6E"/>
    <w:rsid w:val="00856A2C"/>
    <w:rsid w:val="00857C76"/>
    <w:rsid w:val="00874725"/>
    <w:rsid w:val="00885E70"/>
    <w:rsid w:val="008B4C05"/>
    <w:rsid w:val="008E0656"/>
    <w:rsid w:val="008E1633"/>
    <w:rsid w:val="008E756D"/>
    <w:rsid w:val="008F2559"/>
    <w:rsid w:val="009056DF"/>
    <w:rsid w:val="0090771D"/>
    <w:rsid w:val="009142AF"/>
    <w:rsid w:val="00920E8D"/>
    <w:rsid w:val="00924230"/>
    <w:rsid w:val="00925988"/>
    <w:rsid w:val="00931197"/>
    <w:rsid w:val="009524A7"/>
    <w:rsid w:val="009758C3"/>
    <w:rsid w:val="009B65C3"/>
    <w:rsid w:val="009C34C8"/>
    <w:rsid w:val="009D0D66"/>
    <w:rsid w:val="009E34A2"/>
    <w:rsid w:val="009E63B5"/>
    <w:rsid w:val="009F0A43"/>
    <w:rsid w:val="009F65A2"/>
    <w:rsid w:val="00A07749"/>
    <w:rsid w:val="00A468DA"/>
    <w:rsid w:val="00A50834"/>
    <w:rsid w:val="00A51B50"/>
    <w:rsid w:val="00A609B8"/>
    <w:rsid w:val="00A7426B"/>
    <w:rsid w:val="00A8066A"/>
    <w:rsid w:val="00A848BB"/>
    <w:rsid w:val="00A87211"/>
    <w:rsid w:val="00A95551"/>
    <w:rsid w:val="00A95AB6"/>
    <w:rsid w:val="00AA3EC6"/>
    <w:rsid w:val="00AB026B"/>
    <w:rsid w:val="00AB27E7"/>
    <w:rsid w:val="00AB5CB4"/>
    <w:rsid w:val="00AB7BDE"/>
    <w:rsid w:val="00AC2C2B"/>
    <w:rsid w:val="00AC4DEF"/>
    <w:rsid w:val="00AC6A98"/>
    <w:rsid w:val="00AE3789"/>
    <w:rsid w:val="00AF310B"/>
    <w:rsid w:val="00AF55FF"/>
    <w:rsid w:val="00AF5642"/>
    <w:rsid w:val="00AF7F85"/>
    <w:rsid w:val="00B01EFC"/>
    <w:rsid w:val="00B132E1"/>
    <w:rsid w:val="00B25DCD"/>
    <w:rsid w:val="00B31DCF"/>
    <w:rsid w:val="00B37D43"/>
    <w:rsid w:val="00B41772"/>
    <w:rsid w:val="00B45AE7"/>
    <w:rsid w:val="00B50109"/>
    <w:rsid w:val="00B5046A"/>
    <w:rsid w:val="00B5231B"/>
    <w:rsid w:val="00B63B21"/>
    <w:rsid w:val="00B664DF"/>
    <w:rsid w:val="00B82D13"/>
    <w:rsid w:val="00B832F4"/>
    <w:rsid w:val="00B844AA"/>
    <w:rsid w:val="00B8615E"/>
    <w:rsid w:val="00B9178D"/>
    <w:rsid w:val="00BA6BAB"/>
    <w:rsid w:val="00BA6DC5"/>
    <w:rsid w:val="00BB61B2"/>
    <w:rsid w:val="00BC572A"/>
    <w:rsid w:val="00BD0955"/>
    <w:rsid w:val="00BE376C"/>
    <w:rsid w:val="00BE3D20"/>
    <w:rsid w:val="00BE7EC1"/>
    <w:rsid w:val="00BF746D"/>
    <w:rsid w:val="00C07304"/>
    <w:rsid w:val="00C158EA"/>
    <w:rsid w:val="00C41D10"/>
    <w:rsid w:val="00C440F2"/>
    <w:rsid w:val="00C51C0C"/>
    <w:rsid w:val="00C54873"/>
    <w:rsid w:val="00C6455B"/>
    <w:rsid w:val="00C648E6"/>
    <w:rsid w:val="00C6567F"/>
    <w:rsid w:val="00C67CD8"/>
    <w:rsid w:val="00C7103E"/>
    <w:rsid w:val="00C74A84"/>
    <w:rsid w:val="00C75196"/>
    <w:rsid w:val="00C77732"/>
    <w:rsid w:val="00C943E9"/>
    <w:rsid w:val="00CA2C0E"/>
    <w:rsid w:val="00CA64B2"/>
    <w:rsid w:val="00CB6A31"/>
    <w:rsid w:val="00CB78CD"/>
    <w:rsid w:val="00CC4F21"/>
    <w:rsid w:val="00CC5383"/>
    <w:rsid w:val="00CC73D4"/>
    <w:rsid w:val="00CD17D6"/>
    <w:rsid w:val="00CD268F"/>
    <w:rsid w:val="00CD7F7A"/>
    <w:rsid w:val="00CE028F"/>
    <w:rsid w:val="00CF0940"/>
    <w:rsid w:val="00CF50C8"/>
    <w:rsid w:val="00D118ED"/>
    <w:rsid w:val="00D16453"/>
    <w:rsid w:val="00D22ED2"/>
    <w:rsid w:val="00D352C8"/>
    <w:rsid w:val="00D44C8F"/>
    <w:rsid w:val="00D5187B"/>
    <w:rsid w:val="00D569B6"/>
    <w:rsid w:val="00D56A4B"/>
    <w:rsid w:val="00D63E65"/>
    <w:rsid w:val="00D65027"/>
    <w:rsid w:val="00D75EDB"/>
    <w:rsid w:val="00D80201"/>
    <w:rsid w:val="00D85A09"/>
    <w:rsid w:val="00D8635D"/>
    <w:rsid w:val="00D92D62"/>
    <w:rsid w:val="00D93119"/>
    <w:rsid w:val="00D95D8F"/>
    <w:rsid w:val="00DA050F"/>
    <w:rsid w:val="00DA5898"/>
    <w:rsid w:val="00DA754D"/>
    <w:rsid w:val="00DC17A7"/>
    <w:rsid w:val="00E279F0"/>
    <w:rsid w:val="00E27D1B"/>
    <w:rsid w:val="00E3297E"/>
    <w:rsid w:val="00E76E0A"/>
    <w:rsid w:val="00E83EEB"/>
    <w:rsid w:val="00EA2114"/>
    <w:rsid w:val="00EA605F"/>
    <w:rsid w:val="00EA6330"/>
    <w:rsid w:val="00EC7F75"/>
    <w:rsid w:val="00ED062B"/>
    <w:rsid w:val="00ED2770"/>
    <w:rsid w:val="00ED2A21"/>
    <w:rsid w:val="00ED7304"/>
    <w:rsid w:val="00EE111B"/>
    <w:rsid w:val="00EE5928"/>
    <w:rsid w:val="00EF3E07"/>
    <w:rsid w:val="00EF6B95"/>
    <w:rsid w:val="00F06371"/>
    <w:rsid w:val="00F12F55"/>
    <w:rsid w:val="00F13C10"/>
    <w:rsid w:val="00F210BA"/>
    <w:rsid w:val="00F26B3E"/>
    <w:rsid w:val="00F305BE"/>
    <w:rsid w:val="00F34EED"/>
    <w:rsid w:val="00F41DDE"/>
    <w:rsid w:val="00F4317D"/>
    <w:rsid w:val="00F55FF8"/>
    <w:rsid w:val="00F60B66"/>
    <w:rsid w:val="00F74718"/>
    <w:rsid w:val="00F84166"/>
    <w:rsid w:val="00F90CC5"/>
    <w:rsid w:val="00FB1FDB"/>
    <w:rsid w:val="00FB37B1"/>
    <w:rsid w:val="00FE1EC9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4A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4A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 Libor</dc:creator>
  <cp:lastModifiedBy>diktovani</cp:lastModifiedBy>
  <cp:revision>6</cp:revision>
  <dcterms:created xsi:type="dcterms:W3CDTF">2014-08-18T06:06:00Z</dcterms:created>
  <dcterms:modified xsi:type="dcterms:W3CDTF">2016-09-26T16:27:00Z</dcterms:modified>
</cp:coreProperties>
</file>