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240"/>
        <w:rPr>
          <w:rFonts w:ascii="Times New Roman" w:hAnsi="Times New Roman" w:cs="Times New Roman"/>
          <w:sz w:val="40"/>
        </w:rPr>
      </w:pPr>
      <w:r>
        <w:rPr>
          <w:rFonts w:cs="Times New Roman" w:ascii="Times New Roman" w:hAnsi="Times New Roman"/>
          <w:sz w:val="40"/>
        </w:rPr>
        <w:t>1.1 H</w:t>
      </w:r>
      <w:r>
        <w:rPr>
          <w:rFonts w:cs="Times New Roman" w:ascii="Times New Roman" w:hAnsi="Times New Roman"/>
          <w:i/>
          <w:sz w:val="40"/>
        </w:rPr>
        <w:t>armonogram seminářů</w:t>
      </w:r>
    </w:p>
    <w:p>
      <w:pPr>
        <w:pStyle w:val="Normal"/>
        <w:spacing w:before="120" w:after="240"/>
        <w:rPr/>
      </w:pPr>
      <w:r>
        <w:rPr>
          <w:rFonts w:cs="Times New Roman" w:ascii="Times New Roman" w:hAnsi="Times New Roman"/>
        </w:rPr>
        <w:t>1. týden</w:t>
        <w:tab/>
        <w:t xml:space="preserve">Sdělení podmínek udělení zápočtu, </w:t>
      </w:r>
      <w:r>
        <w:rPr>
          <w:rFonts w:cs="Times New Roman" w:ascii="Times New Roman" w:hAnsi="Times New Roman"/>
        </w:rPr>
        <w:t>o</w:t>
      </w:r>
      <w:r>
        <w:rPr>
          <w:rFonts w:cs="Times New Roman" w:ascii="Times New Roman" w:hAnsi="Times New Roman"/>
        </w:rPr>
        <w:t>pakování</w:t>
      </w:r>
    </w:p>
    <w:p>
      <w:pPr>
        <w:pStyle w:val="Normal"/>
        <w:spacing w:before="120" w:after="240"/>
        <w:rPr>
          <w:rFonts w:ascii="Times New Roman" w:hAnsi="Times New Roman" w:cs="Times New Roman"/>
        </w:rPr>
      </w:pPr>
      <w:r>
        <w:rPr>
          <w:rFonts w:cs="Times New Roman" w:ascii="Times New Roman" w:hAnsi="Times New Roman"/>
        </w:rPr>
        <w:t>2. týden</w:t>
        <w:tab/>
        <w:t>Věc v právním smyslu</w:t>
      </w:r>
    </w:p>
    <w:p>
      <w:pPr>
        <w:pStyle w:val="Normal"/>
        <w:spacing w:before="120" w:after="240"/>
        <w:rPr/>
      </w:pPr>
      <w:r>
        <w:rPr>
          <w:rFonts w:cs="Times New Roman" w:ascii="Times New Roman" w:hAnsi="Times New Roman"/>
        </w:rPr>
        <w:t>3. týden</w:t>
        <w:tab/>
        <w:t>Právní jednání I</w:t>
      </w:r>
    </w:p>
    <w:p>
      <w:pPr>
        <w:pStyle w:val="Normal"/>
        <w:spacing w:before="120" w:after="240"/>
        <w:rPr/>
      </w:pPr>
      <w:r>
        <w:rPr>
          <w:rFonts w:cs="Times New Roman" w:ascii="Times New Roman" w:hAnsi="Times New Roman"/>
        </w:rPr>
        <w:t>4. týden</w:t>
        <w:tab/>
        <w:t>Právní jednání II</w:t>
      </w:r>
    </w:p>
    <w:p>
      <w:pPr>
        <w:pStyle w:val="Normal"/>
        <w:spacing w:before="120" w:after="240"/>
        <w:rPr/>
      </w:pPr>
      <w:bookmarkStart w:id="0" w:name="_GoBack"/>
      <w:bookmarkEnd w:id="0"/>
      <w:r>
        <w:rPr>
          <w:rFonts w:cs="Times New Roman" w:ascii="Times New Roman" w:hAnsi="Times New Roman"/>
        </w:rPr>
        <w:t>5. týden</w:t>
        <w:tab/>
        <w:t>Právní jednání III</w:t>
      </w:r>
    </w:p>
    <w:p>
      <w:pPr>
        <w:pStyle w:val="Normal"/>
        <w:spacing w:before="120" w:after="240"/>
        <w:rPr>
          <w:rFonts w:ascii="Times New Roman" w:hAnsi="Times New Roman" w:cs="Times New Roman"/>
        </w:rPr>
      </w:pPr>
      <w:r>
        <w:rPr>
          <w:rFonts w:cs="Times New Roman" w:ascii="Times New Roman" w:hAnsi="Times New Roman"/>
        </w:rPr>
        <w:t>6. týden</w:t>
        <w:tab/>
        <w:t>Uzavírání smluv</w:t>
      </w:r>
    </w:p>
    <w:p>
      <w:pPr>
        <w:pStyle w:val="Normal"/>
        <w:spacing w:before="120" w:after="240"/>
        <w:rPr>
          <w:rFonts w:ascii="Times New Roman" w:hAnsi="Times New Roman" w:cs="Times New Roman"/>
        </w:rPr>
      </w:pPr>
      <w:r>
        <w:rPr>
          <w:rFonts w:cs="Times New Roman" w:ascii="Times New Roman" w:hAnsi="Times New Roman"/>
        </w:rPr>
        <w:t>7. týden</w:t>
        <w:tab/>
        <w:t>Čas jako právní skutečnost</w:t>
      </w:r>
    </w:p>
    <w:p>
      <w:pPr>
        <w:pStyle w:val="Normal"/>
        <w:spacing w:before="120" w:after="240"/>
        <w:rPr/>
      </w:pPr>
      <w:r>
        <w:rPr>
          <w:rFonts w:cs="Times New Roman" w:ascii="Times New Roman" w:hAnsi="Times New Roman"/>
        </w:rPr>
        <w:t>8. týden</w:t>
        <w:tab/>
        <w:t xml:space="preserve">Vlastnické právo, </w:t>
      </w:r>
      <w:r>
        <w:rPr>
          <w:rFonts w:cs="Times New Roman" w:ascii="Times New Roman" w:hAnsi="Times New Roman"/>
        </w:rPr>
        <w:t>d</w:t>
      </w:r>
      <w:r>
        <w:rPr>
          <w:rFonts w:cs="Times New Roman" w:ascii="Times New Roman" w:hAnsi="Times New Roman"/>
        </w:rPr>
        <w:t>ržba</w:t>
      </w:r>
    </w:p>
    <w:p>
      <w:pPr>
        <w:pStyle w:val="Normal"/>
        <w:spacing w:before="120" w:after="240"/>
        <w:rPr/>
      </w:pPr>
      <w:r>
        <w:rPr>
          <w:rFonts w:cs="Times New Roman" w:ascii="Times New Roman" w:hAnsi="Times New Roman"/>
        </w:rPr>
        <w:t>9. týden</w:t>
        <w:tab/>
      </w:r>
      <w:r>
        <w:rPr>
          <w:rFonts w:cs="Times New Roman" w:ascii="Times New Roman" w:hAnsi="Times New Roman"/>
        </w:rPr>
        <w:t>Spoluvlastnictví, společné jmění manželů</w:t>
      </w:r>
    </w:p>
    <w:p>
      <w:pPr>
        <w:pStyle w:val="Normal"/>
        <w:spacing w:before="120" w:after="240"/>
        <w:rPr/>
      </w:pPr>
      <w:r>
        <w:rPr>
          <w:rFonts w:cs="Times New Roman" w:ascii="Times New Roman" w:hAnsi="Times New Roman"/>
        </w:rPr>
        <w:t>10. týden</w:t>
        <w:tab/>
        <w:t>Nabývání vlastnického práva</w:t>
      </w:r>
    </w:p>
    <w:p>
      <w:pPr>
        <w:pStyle w:val="Normal"/>
        <w:spacing w:before="120" w:after="240"/>
        <w:rPr>
          <w:rFonts w:ascii="Times New Roman" w:hAnsi="Times New Roman" w:cs="Times New Roman"/>
        </w:rPr>
      </w:pPr>
      <w:r>
        <w:rPr>
          <w:rFonts w:cs="Times New Roman" w:ascii="Times New Roman" w:hAnsi="Times New Roman"/>
        </w:rPr>
        <w:t>11. týden</w:t>
        <w:tab/>
        <w:t>Věcná práva k věci cizí</w:t>
      </w:r>
    </w:p>
    <w:p>
      <w:pPr>
        <w:pStyle w:val="Normal"/>
        <w:spacing w:before="120" w:after="240"/>
        <w:rPr/>
      </w:pPr>
      <w:r>
        <w:rPr>
          <w:rFonts w:cs="Times New Roman" w:ascii="Times New Roman" w:hAnsi="Times New Roman"/>
        </w:rPr>
        <w:t>12. týden</w:t>
        <w:tab/>
        <w:t xml:space="preserve">Udělení zápočtu, </w:t>
      </w:r>
      <w:r>
        <w:rPr>
          <w:rFonts w:cs="Times New Roman" w:ascii="Times New Roman" w:hAnsi="Times New Roman"/>
        </w:rPr>
        <w:t>o</w:t>
      </w:r>
      <w:r>
        <w:rPr>
          <w:rFonts w:cs="Times New Roman" w:ascii="Times New Roman" w:hAnsi="Times New Roman"/>
        </w:rPr>
        <w:t>pakování</w:t>
      </w:r>
    </w:p>
    <w:p>
      <w:pPr>
        <w:pStyle w:val="Normal"/>
        <w:spacing w:before="120" w:after="240"/>
        <w:rPr>
          <w:rFonts w:ascii="Times New Roman" w:hAnsi="Times New Roman" w:cs="Times New Roman"/>
          <w:sz w:val="40"/>
        </w:rPr>
      </w:pPr>
      <w:r>
        <w:rPr>
          <w:rFonts w:cs="Times New Roman" w:ascii="Times New Roman" w:hAnsi="Times New Roman"/>
          <w:sz w:val="40"/>
        </w:rPr>
      </w:r>
    </w:p>
    <w:p>
      <w:pPr>
        <w:pStyle w:val="Normal"/>
        <w:spacing w:before="120" w:after="240"/>
        <w:rPr>
          <w:rFonts w:ascii="Times New Roman" w:hAnsi="Times New Roman" w:cs="Times New Roman"/>
          <w:sz w:val="40"/>
        </w:rPr>
      </w:pPr>
      <w:r>
        <w:rPr>
          <w:rFonts w:cs="Times New Roman" w:ascii="Times New Roman" w:hAnsi="Times New Roman"/>
          <w:sz w:val="40"/>
        </w:rPr>
        <w:t>1.2 P</w:t>
      </w:r>
      <w:r>
        <w:rPr>
          <w:rFonts w:cs="Times New Roman" w:ascii="Times New Roman" w:hAnsi="Times New Roman"/>
          <w:i/>
          <w:sz w:val="40"/>
        </w:rPr>
        <w:t>odmínky udělení zápočtu</w:t>
      </w:r>
    </w:p>
    <w:p>
      <w:pPr>
        <w:pStyle w:val="Normal"/>
        <w:spacing w:before="120" w:after="240"/>
        <w:jc w:val="both"/>
        <w:rPr>
          <w:rFonts w:ascii="Times New Roman" w:hAnsi="Times New Roman" w:cs="Times New Roman"/>
        </w:rPr>
      </w:pPr>
      <w:r>
        <w:rPr>
          <w:rFonts w:cs="Times New Roman" w:ascii="Times New Roman" w:hAnsi="Times New Roman"/>
          <w:b/>
        </w:rPr>
        <w:t>A)</w:t>
      </w:r>
      <w:r>
        <w:rPr>
          <w:rFonts w:cs="Times New Roman" w:ascii="Times New Roman" w:hAnsi="Times New Roman"/>
        </w:rPr>
        <w:t xml:space="preserve"> Je povolena 1 omluvená nebo neomluvená absence. V případě vyššího množství omluvených absencí zpracování písemné seminární práce dle pokynů vyučujícího. </w:t>
      </w:r>
    </w:p>
    <w:p>
      <w:pPr>
        <w:pStyle w:val="Normal"/>
        <w:spacing w:before="120" w:after="240"/>
        <w:jc w:val="both"/>
        <w:rPr>
          <w:rFonts w:ascii="Times New Roman" w:hAnsi="Times New Roman" w:cs="Times New Roman"/>
        </w:rPr>
      </w:pPr>
      <w:r>
        <w:rPr>
          <w:rFonts w:cs="Times New Roman" w:ascii="Times New Roman" w:hAnsi="Times New Roman"/>
          <w:b/>
        </w:rPr>
        <w:t>B)</w:t>
      </w:r>
      <w:r>
        <w:rPr>
          <w:rFonts w:cs="Times New Roman" w:ascii="Times New Roman" w:hAnsi="Times New Roman"/>
        </w:rPr>
        <w:t xml:space="preserve"> Aktivní a připravená účast na seminářích. Student navštěvuje semináře s úplným zněním občanského zákoníku (v listinné podobě) a ostatními právními předpisy vztahujícími se k tématu semináře (postačí v jakékoli podobě), se samostatně vypracovanými příklady, a připravený (naučený) na téma semináře.   </w:t>
      </w:r>
    </w:p>
    <w:p>
      <w:pPr>
        <w:pStyle w:val="Normal"/>
        <w:spacing w:before="120" w:after="240"/>
        <w:jc w:val="both"/>
        <w:rPr/>
      </w:pPr>
      <w:r>
        <w:rPr>
          <w:rFonts w:cs="Times New Roman" w:ascii="Times New Roman" w:hAnsi="Times New Roman"/>
          <w:b/>
        </w:rPr>
        <w:t>C)</w:t>
      </w:r>
      <w:r>
        <w:rPr>
          <w:rFonts w:cs="Times New Roman" w:ascii="Times New Roman" w:hAnsi="Times New Roman"/>
        </w:rPr>
        <w:t xml:space="preserve"> Odevzdání vypracovaných příkladů do příslušné odevzdávárny nejpozději do nedělní půlnoci nejblíže předcházející konání semináře, na který jsou příklady zadány. Této povinnosti studenta nezbavuje ani absence na příslušném semináři, ať už omluvená nebo neomluvená (povolená či nepovolená). Každé plnění bude označeno názvem ve tvaru: </w:t>
      </w:r>
      <w:r>
        <w:rPr>
          <w:rFonts w:cs="Times New Roman" w:ascii="Times New Roman" w:hAnsi="Times New Roman"/>
          <w:b/>
          <w:color w:val="C00000"/>
        </w:rPr>
        <w:t xml:space="preserve">číslo semináře </w:t>
      </w:r>
      <w:r>
        <w:rPr>
          <w:rFonts w:cs="Times New Roman" w:ascii="Times New Roman" w:hAnsi="Times New Roman"/>
          <w:b/>
          <w:color w:val="1F4E79" w:themeColor="accent5" w:themeShade="80"/>
        </w:rPr>
        <w:t>příjmení a jméno studenta</w:t>
      </w:r>
      <w:r>
        <w:rPr>
          <w:rFonts w:cs="Times New Roman" w:ascii="Times New Roman" w:hAnsi="Times New Roman"/>
        </w:rPr>
        <w:t xml:space="preserve"> (tedy např. „02DobesMatej.doc“).</w:t>
      </w:r>
    </w:p>
    <w:p>
      <w:pPr>
        <w:pStyle w:val="Normal"/>
        <w:spacing w:before="120" w:after="240"/>
        <w:jc w:val="both"/>
        <w:rPr>
          <w:rFonts w:ascii="Times New Roman" w:hAnsi="Times New Roman" w:cs="Times New Roman"/>
        </w:rPr>
      </w:pPr>
      <w:r>
        <w:rPr>
          <w:rFonts w:cs="Times New Roman" w:ascii="Times New Roman" w:hAnsi="Times New Roman"/>
          <w:b/>
        </w:rPr>
        <w:t>D)</w:t>
      </w:r>
      <w:r>
        <w:rPr>
          <w:rFonts w:cs="Times New Roman" w:ascii="Times New Roman" w:hAnsi="Times New Roman"/>
        </w:rPr>
        <w:t xml:space="preserve"> Napsání průběžných přepadových testů v průměru alespoň na 45 %. Tato hranice se zvyšuje o 5 % za každé plnění, které nebylo odevzdáno řádně. Každý test obsahuje 20 otázek typu ANO/NE, správná odpověď +1 bod, špatná odpověď -1 bod.</w:t>
      </w:r>
    </w:p>
    <w:p>
      <w:pPr>
        <w:pStyle w:val="Normal"/>
        <w:spacing w:before="120" w:after="240"/>
        <w:jc w:val="both"/>
        <w:rPr/>
      </w:pPr>
      <w:r>
        <w:rPr>
          <w:rFonts w:cs="Times New Roman" w:ascii="Times New Roman" w:hAnsi="Times New Roman"/>
          <w:b/>
        </w:rPr>
        <w:t>E)</w:t>
      </w:r>
      <w:r>
        <w:rPr>
          <w:rFonts w:cs="Times New Roman" w:ascii="Times New Roman" w:hAnsi="Times New Roman"/>
        </w:rPr>
        <w:t xml:space="preserve"> Úspěšné napsání velkého zápočtového společného pro studenty všech seminárních skupin (dle informací uvedených v elektronické osnově).</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1667"/>
    <w:pPr>
      <w:widowControl/>
      <w:suppressAutoHyphens w:val="true"/>
      <w:bidi w:val="0"/>
      <w:spacing w:before="0" w:after="160" w:lineRule="auto" w:line="259"/>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26305d"/>
    <w:rPr/>
  </w:style>
  <w:style w:type="character" w:styleId="ZpatChar" w:customStyle="1">
    <w:name w:val="Zápatí Char"/>
    <w:basedOn w:val="DefaultParagraphFont"/>
    <w:link w:val="Zpat"/>
    <w:uiPriority w:val="99"/>
    <w:qFormat/>
    <w:rsid w:val="0026305d"/>
    <w:rPr/>
  </w:style>
  <w:style w:type="character" w:styleId="TextbublinyChar" w:customStyle="1">
    <w:name w:val="Text bubliny Char"/>
    <w:basedOn w:val="DefaultParagraphFont"/>
    <w:link w:val="Textbubliny"/>
    <w:uiPriority w:val="99"/>
    <w:semiHidden/>
    <w:qFormat/>
    <w:rsid w:val="00fb72c1"/>
    <w:rPr>
      <w:rFonts w:ascii="Segoe UI" w:hAnsi="Segoe UI" w:cs="Segoe UI"/>
      <w:sz w:val="18"/>
      <w:szCs w:val="18"/>
    </w:rPr>
  </w:style>
  <w:style w:type="paragraph" w:styleId="Nadpis" w:customStyle="1">
    <w:name w:val="Nadpis"/>
    <w:basedOn w:val="Normal"/>
    <w:next w:val="Tlotextu"/>
    <w:qFormat/>
    <w:rsid w:val="008d597c"/>
    <w:pPr>
      <w:keepNext/>
      <w:spacing w:before="240" w:after="120"/>
    </w:pPr>
    <w:rPr>
      <w:rFonts w:ascii="Liberation Sans" w:hAnsi="Liberation Sans" w:eastAsia="Microsoft YaHei" w:cs="Arial"/>
      <w:sz w:val="28"/>
      <w:szCs w:val="28"/>
    </w:rPr>
  </w:style>
  <w:style w:type="paragraph" w:styleId="Tlotextu" w:customStyle="1">
    <w:name w:val="Tělo textu"/>
    <w:basedOn w:val="Normal"/>
    <w:rsid w:val="008d597c"/>
    <w:pPr>
      <w:spacing w:lineRule="auto" w:line="288" w:before="0" w:after="140"/>
    </w:pPr>
    <w:rPr/>
  </w:style>
  <w:style w:type="paragraph" w:styleId="Seznam">
    <w:name w:val="Seznam"/>
    <w:basedOn w:val="Tlotextu"/>
    <w:rsid w:val="008d597c"/>
    <w:pPr/>
    <w:rPr>
      <w:rFonts w:cs="Arial"/>
    </w:rPr>
  </w:style>
  <w:style w:type="paragraph" w:styleId="Popisek" w:customStyle="1">
    <w:name w:val="Popisek"/>
    <w:basedOn w:val="Normal"/>
    <w:rsid w:val="008d597c"/>
    <w:pPr>
      <w:suppressLineNumbers/>
      <w:spacing w:before="120" w:after="120"/>
    </w:pPr>
    <w:rPr>
      <w:rFonts w:cs="Arial"/>
      <w:i/>
      <w:iCs/>
      <w:sz w:val="24"/>
      <w:szCs w:val="24"/>
    </w:rPr>
  </w:style>
  <w:style w:type="paragraph" w:styleId="Rejstk" w:customStyle="1">
    <w:name w:val="Rejstřík"/>
    <w:basedOn w:val="Normal"/>
    <w:qFormat/>
    <w:rsid w:val="008d597c"/>
    <w:pPr>
      <w:suppressLineNumbers/>
    </w:pPr>
    <w:rPr>
      <w:rFonts w:cs="Arial"/>
    </w:rPr>
  </w:style>
  <w:style w:type="paragraph" w:styleId="ListParagraph">
    <w:name w:val="List Paragraph"/>
    <w:basedOn w:val="Normal"/>
    <w:uiPriority w:val="34"/>
    <w:qFormat/>
    <w:rsid w:val="00745ddc"/>
    <w:pPr>
      <w:spacing w:before="0" w:after="160"/>
      <w:ind w:left="720" w:hanging="0"/>
      <w:contextualSpacing/>
    </w:pPr>
    <w:rPr/>
  </w:style>
  <w:style w:type="paragraph" w:styleId="Zhlav">
    <w:name w:val="Záhlaví"/>
    <w:basedOn w:val="Normal"/>
    <w:link w:val="ZhlavChar"/>
    <w:uiPriority w:val="99"/>
    <w:unhideWhenUsed/>
    <w:rsid w:val="0026305d"/>
    <w:pPr>
      <w:tabs>
        <w:tab w:val="center" w:pos="4536" w:leader="none"/>
        <w:tab w:val="right" w:pos="9072" w:leader="none"/>
      </w:tabs>
      <w:spacing w:lineRule="auto" w:line="240" w:before="0" w:after="0"/>
    </w:pPr>
    <w:rPr/>
  </w:style>
  <w:style w:type="paragraph" w:styleId="Zpat">
    <w:name w:val="Zápatí"/>
    <w:basedOn w:val="Normal"/>
    <w:link w:val="ZpatChar"/>
    <w:uiPriority w:val="99"/>
    <w:unhideWhenUsed/>
    <w:rsid w:val="0026305d"/>
    <w:pPr>
      <w:tabs>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fb72c1"/>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26034</TotalTime>
  <Application>LibreOffice/4.4.1.2$Windows_x86 LibreOffice_project/45e2de17089c24a1fa810c8f975a7171ba4cd432</Application>
  <Paragraphs>3</Paragraphs>
  <Company>PrF 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2017-08-25T19:09:00Z</dcterms:created>
  <dc:creator>Dana Dobešová</dc:creator>
  <dc:language>cs-CZ</dc:language>
  <cp:lastPrinted>2017-10-03T07:07:00Z</cp:lastPrinted>
  <dcterms:modified xsi:type="dcterms:W3CDTF">2017-11-21T22:15:05Z</dcterms:modified>
  <cp:revision>679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