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  <w:r w:rsidRPr="009E5FAB">
        <w:rPr>
          <w:rFonts w:ascii="Syntax LT CE Black" w:hAnsi="Syntax LT CE Black"/>
          <w:b/>
          <w:sz w:val="22"/>
          <w:szCs w:val="22"/>
          <w:u w:val="single"/>
        </w:rPr>
        <w:sym w:font="Wingdings" w:char="F0F0"/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63473C" w:rsidRPr="009E5FAB">
        <w:rPr>
          <w:rFonts w:ascii="Syntax LT CE Black" w:hAnsi="Syntax LT CE Black"/>
          <w:b/>
          <w:sz w:val="22"/>
          <w:szCs w:val="22"/>
          <w:u w:val="single"/>
        </w:rPr>
        <w:t>Navazující m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>agisterský studijní program „</w:t>
      </w:r>
      <w:r w:rsidR="0063473C" w:rsidRPr="009E5FAB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9E5FAB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3C7042">
        <w:rPr>
          <w:rFonts w:ascii="Syntax LT CE Black" w:hAnsi="Syntax LT CE Black"/>
          <w:b/>
          <w:sz w:val="22"/>
          <w:szCs w:val="22"/>
          <w:u w:val="single"/>
        </w:rPr>
        <w:t>5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="0063473C" w:rsidRPr="009E5FAB">
        <w:rPr>
          <w:rFonts w:ascii="Syntax LT CE Black" w:hAnsi="Syntax LT CE Black"/>
          <w:b/>
          <w:sz w:val="22"/>
          <w:szCs w:val="22"/>
          <w:u w:val="single"/>
        </w:rPr>
        <w:t>1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 xml:space="preserve">. semestr 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sym w:font="Wingdings" w:char="F0EF"/>
      </w:r>
    </w:p>
    <w:p w:rsidR="009E5FAB" w:rsidRPr="009E5FAB" w:rsidRDefault="009E5FAB" w:rsidP="009E5FAB">
      <w:pPr>
        <w:rPr>
          <w:rFonts w:ascii="Syntax LT CE Black" w:hAnsi="Syntax LT CE Black"/>
          <w:b/>
          <w:i/>
          <w:sz w:val="22"/>
          <w:szCs w:val="22"/>
        </w:rPr>
      </w:pPr>
      <w:r w:rsidRPr="009E5FAB">
        <w:rPr>
          <w:b/>
          <w:i/>
        </w:rPr>
        <w:t xml:space="preserve">Navazující program celoživotního vzdělávání </w:t>
      </w:r>
      <w:r w:rsidR="003C7042">
        <w:rPr>
          <w:rFonts w:ascii="Syntax LT CE Black" w:hAnsi="Syntax LT CE Black"/>
          <w:b/>
          <w:i/>
          <w:sz w:val="22"/>
          <w:szCs w:val="22"/>
        </w:rPr>
        <w:t>„Veřejná správa", podzim 2015</w:t>
      </w:r>
      <w:bookmarkStart w:id="0" w:name="_GoBack"/>
      <w:bookmarkEnd w:id="0"/>
      <w:r w:rsidRPr="009E5FAB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9E5FAB" w:rsidRPr="009E5FAB" w:rsidRDefault="009E5FAB" w:rsidP="009E5FAB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7C64DE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MATERIÁL K TÉMATU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A63D70" w:rsidRPr="00CD1ABE" w:rsidRDefault="00A63D70" w:rsidP="00A63D70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8"/>
          <w:szCs w:val="30"/>
        </w:rPr>
      </w:pPr>
      <w:r w:rsidRPr="00CD1ABE">
        <w:rPr>
          <w:rFonts w:ascii="Syntax LT CE" w:hAnsi="Syntax LT CE"/>
          <w:b/>
          <w:sz w:val="28"/>
          <w:szCs w:val="30"/>
        </w:rPr>
        <w:t>Územní správní úřady (územně dekoncentrované orgány státní správy)</w:t>
      </w:r>
    </w:p>
    <w:p w:rsidR="001E2732" w:rsidRPr="001E2732" w:rsidRDefault="001E2732" w:rsidP="001E273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1E2732">
        <w:rPr>
          <w:rFonts w:ascii="Syntax LT CE" w:hAnsi="Syntax LT CE"/>
          <w:sz w:val="22"/>
          <w:szCs w:val="22"/>
        </w:rPr>
        <w:t xml:space="preserve">Již samotné označení územních správních úřadů, neboli územně dekoncentrovaných orgánů státní správy, napovídá, že se jedná o orgány státní správy, které společně s orgány územní samosprávy spadají do širší kategorie orgánů veřejné správy. </w:t>
      </w:r>
    </w:p>
    <w:p w:rsidR="00DE6FFF" w:rsidRPr="001E2732" w:rsidRDefault="001E2732" w:rsidP="00DE6FFF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1E2732">
        <w:rPr>
          <w:rFonts w:ascii="Syntax LT CE" w:hAnsi="Syntax LT CE"/>
          <w:sz w:val="22"/>
          <w:szCs w:val="22"/>
        </w:rPr>
        <w:t xml:space="preserve"> „</w:t>
      </w:r>
      <w:r w:rsidRPr="00DE6FFF">
        <w:rPr>
          <w:rFonts w:ascii="Syntax LT CE" w:hAnsi="Syntax LT CE"/>
          <w:i/>
          <w:sz w:val="22"/>
          <w:szCs w:val="22"/>
        </w:rPr>
        <w:t>Významný z pohledu státní správy je zejm. čl. 79 odst. 1 Ústavy, který pro zřizování orgánů veřejné správy stanoví tzv. výhradu zákona (Ministerstva a jiné správní úřady lze zřídit a jejich působnost stanovit pouze zákonem.). Toto ustanovení tedy zároveň hovoří i o působnosti správních orgánů (mezi nimi pochopitelně i orgánů státní správy). Působnost bývá zpravidla charakterizována jako okruh svěřených úkolů respektive okruh společenských vztahů, jenž může subjekt nebo vykonavatel veřejné správy regulovat. Rozlišuje se přitom působnost věcná, územní a osobní. Uvnitř tohoto okruhu pak subjekt působnosti realizuje svou pravomoc, jíž se rozumí soubor instrumentů, nástrojů k plnění svěřených úkolů (tedy zejména pravomoc vydávat normativní právní akty nebo individuální právní akty, uzavírat veřejnoprávní smlouvy, provádět dozor či kontrolu a v neposlední řadě i provádět výkon rozhodnutí).</w:t>
      </w:r>
      <w:r w:rsidRPr="001E2732">
        <w:rPr>
          <w:rFonts w:ascii="Syntax LT CE" w:hAnsi="Syntax LT CE"/>
          <w:sz w:val="22"/>
          <w:szCs w:val="22"/>
        </w:rPr>
        <w:t>“</w:t>
      </w:r>
      <w:bookmarkStart w:id="1" w:name="_Ref280124238"/>
      <w:r w:rsidRPr="00DE6FFF">
        <w:rPr>
          <w:rFonts w:ascii="Syntax LT CE" w:hAnsi="Syntax LT CE"/>
          <w:sz w:val="22"/>
          <w:szCs w:val="22"/>
          <w:vertAlign w:val="superscript"/>
        </w:rPr>
        <w:footnoteReference w:id="1"/>
      </w:r>
      <w:bookmarkEnd w:id="1"/>
      <w:r w:rsidR="00DE6FFF">
        <w:rPr>
          <w:rFonts w:ascii="Syntax LT CE" w:hAnsi="Syntax LT CE"/>
          <w:sz w:val="22"/>
          <w:szCs w:val="22"/>
        </w:rPr>
        <w:t xml:space="preserve"> I územní správní úřady jsou tedy ve světle shora uvedeného zřizovány zákonem, v jejich případě zvláštními zákony, které rovněž zakotvují jejich působnost a pravomoc. 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lastRenderedPageBreak/>
        <w:t xml:space="preserve">Z důvodu účelnosti, hospodárnosti i historické souvislosti se v rámci orgánů veřejné správy vytvořila a nadále se utváří určitá struktura, organizace, která je projevem uplatňování tzv. principů organizace veřejné správy. Z těchto principů lze </w:t>
      </w:r>
      <w:r w:rsidR="00DE6FFF" w:rsidRPr="007C64DE">
        <w:rPr>
          <w:rFonts w:ascii="Syntax LT CE" w:hAnsi="Syntax LT CE"/>
          <w:sz w:val="22"/>
          <w:szCs w:val="22"/>
        </w:rPr>
        <w:t xml:space="preserve">v souvislosti s existencí územních správních úřadů </w:t>
      </w:r>
      <w:r w:rsidRPr="007C64DE">
        <w:rPr>
          <w:rFonts w:ascii="Syntax LT CE" w:hAnsi="Syntax LT CE"/>
          <w:sz w:val="22"/>
          <w:szCs w:val="22"/>
        </w:rPr>
        <w:t>zmínit např.:</w:t>
      </w:r>
    </w:p>
    <w:p w:rsidR="00AD0C82" w:rsidRPr="007C64DE" w:rsidRDefault="00AD0C82" w:rsidP="00AD0C82">
      <w:pPr>
        <w:numPr>
          <w:ilvl w:val="0"/>
          <w:numId w:val="32"/>
        </w:numPr>
        <w:tabs>
          <w:tab w:val="clear" w:pos="340"/>
        </w:tabs>
        <w:spacing w:before="0"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princip </w:t>
      </w:r>
      <w:r w:rsidRPr="007C64DE">
        <w:rPr>
          <w:rFonts w:ascii="Syntax LT CE" w:hAnsi="Syntax LT CE"/>
          <w:b/>
          <w:sz w:val="22"/>
          <w:szCs w:val="22"/>
        </w:rPr>
        <w:t>územní</w:t>
      </w:r>
      <w:r w:rsidRPr="007C64DE">
        <w:rPr>
          <w:rFonts w:ascii="Syntax LT CE" w:hAnsi="Syntax LT CE"/>
          <w:sz w:val="22"/>
          <w:szCs w:val="22"/>
        </w:rPr>
        <w:t xml:space="preserve"> a </w:t>
      </w:r>
      <w:r w:rsidRPr="007C64DE">
        <w:rPr>
          <w:rFonts w:ascii="Syntax LT CE" w:hAnsi="Syntax LT CE"/>
          <w:b/>
          <w:sz w:val="22"/>
          <w:szCs w:val="22"/>
        </w:rPr>
        <w:t>rezortní</w:t>
      </w:r>
      <w:r w:rsidRPr="007C64DE">
        <w:rPr>
          <w:rFonts w:ascii="Syntax LT CE" w:hAnsi="Syntax LT CE"/>
          <w:sz w:val="22"/>
          <w:szCs w:val="22"/>
        </w:rPr>
        <w:t xml:space="preserve"> (věcná a územní specializace orgánů veřejné správy) působnost je ve veřejné správě vymezena buď ve vztahu k určitému území, pomocí územních hranic (princip územní), nebo věcně, omezením na určité záležitosti (princip rezortní)</w:t>
      </w:r>
      <w:r w:rsidRPr="007C64DE">
        <w:rPr>
          <w:rStyle w:val="Znakapoznpodarou"/>
          <w:rFonts w:ascii="Syntax LT CE" w:hAnsi="Syntax LT CE"/>
          <w:sz w:val="22"/>
          <w:szCs w:val="22"/>
        </w:rPr>
        <w:footnoteReference w:id="2"/>
      </w:r>
    </w:p>
    <w:p w:rsidR="00AD0C82" w:rsidRPr="007C64DE" w:rsidRDefault="00AD0C82" w:rsidP="00AD0C82">
      <w:pPr>
        <w:numPr>
          <w:ilvl w:val="0"/>
          <w:numId w:val="32"/>
        </w:numPr>
        <w:tabs>
          <w:tab w:val="clear" w:pos="340"/>
        </w:tabs>
        <w:spacing w:before="0"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princip </w:t>
      </w:r>
      <w:r w:rsidRPr="007C64DE">
        <w:rPr>
          <w:rFonts w:ascii="Syntax LT CE" w:hAnsi="Syntax LT CE"/>
          <w:b/>
          <w:sz w:val="22"/>
          <w:szCs w:val="22"/>
        </w:rPr>
        <w:t>subordinace</w:t>
      </w:r>
      <w:r w:rsidRPr="007C64DE">
        <w:rPr>
          <w:rFonts w:ascii="Syntax LT CE" w:hAnsi="Syntax LT CE"/>
          <w:sz w:val="22"/>
          <w:szCs w:val="22"/>
        </w:rPr>
        <w:t xml:space="preserve"> </w:t>
      </w:r>
      <w:r w:rsidR="009A3FFC" w:rsidRPr="007C64DE">
        <w:rPr>
          <w:rFonts w:ascii="Syntax LT CE" w:hAnsi="Syntax LT CE"/>
          <w:sz w:val="22"/>
          <w:szCs w:val="22"/>
        </w:rPr>
        <w:t>– neboli princip nadřízenosti a podřízenosti</w:t>
      </w:r>
    </w:p>
    <w:p w:rsidR="00AD0C82" w:rsidRPr="007C64DE" w:rsidRDefault="00AD0C82" w:rsidP="00AD0C82">
      <w:pPr>
        <w:numPr>
          <w:ilvl w:val="0"/>
          <w:numId w:val="32"/>
        </w:numPr>
        <w:tabs>
          <w:tab w:val="clear" w:pos="340"/>
        </w:tabs>
        <w:spacing w:before="0"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princip </w:t>
      </w:r>
      <w:r w:rsidRPr="007C64DE">
        <w:rPr>
          <w:rFonts w:ascii="Syntax LT CE" w:hAnsi="Syntax LT CE"/>
          <w:b/>
          <w:sz w:val="22"/>
          <w:szCs w:val="22"/>
        </w:rPr>
        <w:t>dekoncentrace</w:t>
      </w:r>
      <w:r w:rsidRPr="007C64DE">
        <w:rPr>
          <w:rFonts w:ascii="Syntax LT CE" w:hAnsi="Syntax LT CE"/>
          <w:sz w:val="22"/>
          <w:szCs w:val="22"/>
        </w:rPr>
        <w:t xml:space="preserve"> (koncentrace) – v případě územních správních úřadů se uplatňuje především princip dekoncentrace vertikální, tj. přesun působnosti a pravomoci na nižší (celostátní i místní) úroveň, čímž vzniká mezi orgány vztah nadřízenosti a podřízenosti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Územní správní úřady působí na základě zvláštních zákonů na nižším stupni hierarchie státních orgánů. Jsou vymezeny jednak věcně - specializují se jen na některý úsek, činnosti či funkci výkonu státní správy, ale i územně – působí v jednotlivých územních </w:t>
      </w:r>
      <w:r w:rsidR="003850AB" w:rsidRPr="007C64DE">
        <w:rPr>
          <w:rFonts w:ascii="Syntax LT CE" w:hAnsi="Syntax LT CE"/>
          <w:sz w:val="22"/>
          <w:szCs w:val="22"/>
        </w:rPr>
        <w:t>obvodech stanovených zvláštními zákony</w:t>
      </w:r>
      <w:r w:rsidRPr="007C64DE">
        <w:rPr>
          <w:rFonts w:ascii="Syntax LT CE" w:hAnsi="Syntax LT CE"/>
          <w:sz w:val="22"/>
          <w:szCs w:val="22"/>
        </w:rPr>
        <w:t xml:space="preserve"> (jejich územní působnost se však nemusí krýt s územním členěním státu). 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Jedná se o specializované orgány, přímo odvozené od některých ústředních orgánů státní správy (např. od Českého báňského úřadu nebo Českého úřadu zeměměřičského a katastrálního). Od těchto ústředních orgánů státní správy se pak odvozuje i jejich působnost.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Zřizují se tehdy, kdy by vzhledem k jejich specializaci nebylo možno dost dobře vykonávat jejich činnost samotnými ústředními orgány státní správy ani krajskými a obecními úřady.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V čele stojí zpravidla ředitel, který je do funkce jmenován (a z funkce odvoláván) obvykle ředitelem vyšší územní složky úřadu. Nejvyšší územní složky takových úřadů jsou pak obvykle přímo podřízeny správním orgánům s celostátní působností.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Jako příklad územně </w:t>
      </w:r>
      <w:r w:rsidR="00DE6FFF" w:rsidRPr="007C64DE">
        <w:rPr>
          <w:rFonts w:ascii="Syntax LT CE" w:hAnsi="Syntax LT CE"/>
          <w:sz w:val="22"/>
          <w:szCs w:val="22"/>
        </w:rPr>
        <w:t>d</w:t>
      </w:r>
      <w:r w:rsidRPr="007C64DE">
        <w:rPr>
          <w:rFonts w:ascii="Syntax LT CE" w:hAnsi="Syntax LT CE"/>
          <w:sz w:val="22"/>
          <w:szCs w:val="22"/>
        </w:rPr>
        <w:t xml:space="preserve">ekoncentrovaných orgánů státní </w:t>
      </w:r>
      <w:proofErr w:type="gramStart"/>
      <w:r w:rsidRPr="007C64DE">
        <w:rPr>
          <w:rFonts w:ascii="Syntax LT CE" w:hAnsi="Syntax LT CE"/>
          <w:sz w:val="22"/>
          <w:szCs w:val="22"/>
        </w:rPr>
        <w:t>správy, neboli</w:t>
      </w:r>
      <w:proofErr w:type="gramEnd"/>
      <w:r w:rsidRPr="007C64DE">
        <w:rPr>
          <w:rFonts w:ascii="Syntax LT CE" w:hAnsi="Syntax LT CE"/>
          <w:sz w:val="22"/>
          <w:szCs w:val="22"/>
        </w:rPr>
        <w:t xml:space="preserve"> tzv. územních </w:t>
      </w:r>
      <w:proofErr w:type="spellStart"/>
      <w:r w:rsidRPr="007C64DE">
        <w:rPr>
          <w:rFonts w:ascii="Syntax LT CE" w:hAnsi="Syntax LT CE"/>
          <w:sz w:val="22"/>
          <w:szCs w:val="22"/>
        </w:rPr>
        <w:t>dekoncentrátů</w:t>
      </w:r>
      <w:proofErr w:type="spellEnd"/>
      <w:r w:rsidRPr="007C64DE">
        <w:rPr>
          <w:rFonts w:ascii="Syntax LT CE" w:hAnsi="Syntax LT CE"/>
          <w:sz w:val="22"/>
          <w:szCs w:val="22"/>
        </w:rPr>
        <w:t>, lze uvést:</w:t>
      </w:r>
    </w:p>
    <w:p w:rsidR="00C06AE1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obvodní báňské úřady </w:t>
      </w:r>
    </w:p>
    <w:p w:rsidR="00AD0C82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zeměměřičské a katastrální inspektoráty a katastrální úřady </w:t>
      </w:r>
    </w:p>
    <w:p w:rsidR="00AD0C82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finanční ředitelství a finanční úřady</w:t>
      </w:r>
    </w:p>
    <w:p w:rsidR="00AD0C82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úřady práce</w:t>
      </w:r>
    </w:p>
    <w:p w:rsidR="00AD0C82" w:rsidRPr="007C64DE" w:rsidRDefault="003850AB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 xml:space="preserve">okresní správy sociálního zabezpečení </w:t>
      </w:r>
    </w:p>
    <w:p w:rsidR="003850AB" w:rsidRPr="007C64DE" w:rsidRDefault="003850AB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>celní ředitelství</w:t>
      </w:r>
      <w:r w:rsidR="00F3698C" w:rsidRPr="007C64DE">
        <w:rPr>
          <w:rFonts w:ascii="Syntax LT CE" w:hAnsi="Syntax LT CE"/>
          <w:snapToGrid w:val="0"/>
          <w:sz w:val="22"/>
          <w:szCs w:val="22"/>
        </w:rPr>
        <w:t xml:space="preserve"> a celní úřady </w:t>
      </w:r>
    </w:p>
    <w:p w:rsidR="003850AB" w:rsidRPr="007C64DE" w:rsidRDefault="00F3698C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lastRenderedPageBreak/>
        <w:t>krajské ředitelství Policie ČR</w:t>
      </w:r>
    </w:p>
    <w:p w:rsidR="00683E00" w:rsidRPr="007C64DE" w:rsidRDefault="00683E00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>krajská vojenská ředitelství</w:t>
      </w:r>
    </w:p>
    <w:p w:rsidR="00F3698C" w:rsidRPr="007C64DE" w:rsidRDefault="00F3698C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>a další.</w:t>
      </w:r>
    </w:p>
    <w:p w:rsidR="00B26BE5" w:rsidRPr="00CD1ABE" w:rsidRDefault="00C06AE1" w:rsidP="00CD1ABE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 </w:t>
      </w: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C06AE1" w:rsidRPr="0064578B" w:rsidRDefault="00C06AE1" w:rsidP="00C06AE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Právní předpisy</w:t>
      </w:r>
    </w:p>
    <w:p w:rsid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</w:t>
      </w:r>
      <w:r w:rsidRPr="00A63D70">
        <w:rPr>
          <w:rFonts w:ascii="Syntax LT CE" w:hAnsi="Syntax LT CE"/>
          <w:sz w:val="22"/>
          <w:szCs w:val="22"/>
        </w:rPr>
        <w:t>ákon č. 2/1969 Sb., o zřízení ministerstev a jiných ústředních orgánů státní správy České republiky</w:t>
      </w:r>
    </w:p>
    <w:p w:rsidR="00A63D70" w:rsidRP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zákon č. 359/1992 Sb., o zeměměřičských a katastrálních orgánech (+ příloha </w:t>
      </w:r>
      <w:smartTag w:uri="urn:schemas-microsoft-com:office:smarttags" w:element="metricconverter">
        <w:smartTagPr>
          <w:attr w:name="ProductID" w:val="1 a"/>
        </w:smartTagPr>
        <w:r w:rsidRPr="00A63D70">
          <w:rPr>
            <w:rFonts w:ascii="Syntax LT CE" w:hAnsi="Syntax LT CE"/>
            <w:sz w:val="22"/>
            <w:szCs w:val="22"/>
          </w:rPr>
          <w:t>1 a</w:t>
        </w:r>
      </w:smartTag>
      <w:r w:rsidRPr="00A63D70">
        <w:rPr>
          <w:rFonts w:ascii="Syntax LT CE" w:hAnsi="Syntax LT CE"/>
          <w:sz w:val="22"/>
          <w:szCs w:val="22"/>
        </w:rPr>
        <w:t xml:space="preserve"> 2 k tomuto zákonu)</w:t>
      </w:r>
    </w:p>
    <w:p w:rsidR="00BB604A" w:rsidRPr="00A63D70" w:rsidRDefault="00A63D70" w:rsidP="00BB604A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zákon č. </w:t>
      </w:r>
      <w:r w:rsidR="00BB604A" w:rsidRPr="00BB604A">
        <w:rPr>
          <w:rFonts w:ascii="Syntax LT CE" w:hAnsi="Syntax LT CE"/>
          <w:sz w:val="22"/>
          <w:szCs w:val="22"/>
        </w:rPr>
        <w:t>456/2011 Sb.</w:t>
      </w:r>
      <w:r w:rsidR="00BB604A">
        <w:rPr>
          <w:rFonts w:ascii="Syntax LT CE" w:hAnsi="Syntax LT CE"/>
          <w:sz w:val="22"/>
          <w:szCs w:val="22"/>
        </w:rPr>
        <w:t xml:space="preserve">, </w:t>
      </w:r>
      <w:r w:rsidR="00BB604A" w:rsidRPr="00BB604A">
        <w:rPr>
          <w:rFonts w:ascii="Syntax LT CE" w:hAnsi="Syntax LT CE"/>
          <w:sz w:val="22"/>
          <w:szCs w:val="22"/>
        </w:rPr>
        <w:t>o Finanční správě České republiky</w:t>
      </w:r>
    </w:p>
    <w:p w:rsidR="00A63D70" w:rsidRP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zákon č. 435/2004 Sb., o zaměstnanosti (+ příloha </w:t>
      </w:r>
      <w:smartTag w:uri="urn:schemas-microsoft-com:office:smarttags" w:element="metricconverter">
        <w:smartTagPr>
          <w:attr w:name="ProductID" w:val="1 a"/>
        </w:smartTagPr>
        <w:r w:rsidRPr="00A63D70">
          <w:rPr>
            <w:rFonts w:ascii="Syntax LT CE" w:hAnsi="Syntax LT CE"/>
            <w:sz w:val="22"/>
            <w:szCs w:val="22"/>
          </w:rPr>
          <w:t>1 a</w:t>
        </w:r>
      </w:smartTag>
      <w:r w:rsidRPr="00A63D70">
        <w:rPr>
          <w:rFonts w:ascii="Syntax LT CE" w:hAnsi="Syntax LT CE"/>
          <w:sz w:val="22"/>
          <w:szCs w:val="22"/>
        </w:rPr>
        <w:t xml:space="preserve"> 2 k tomuto zákonu)</w:t>
      </w:r>
    </w:p>
    <w:p w:rsidR="00A63D70" w:rsidRP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>zákon č. 61/1988 Sb., o hornické činnosti, výbušninách a o státní báňské správě (§ 38 a násl.)</w:t>
      </w:r>
    </w:p>
    <w:p w:rsidR="00A63D70" w:rsidRDefault="00F3698C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F3698C">
        <w:rPr>
          <w:rFonts w:ascii="Syntax LT CE" w:hAnsi="Syntax LT CE"/>
          <w:sz w:val="22"/>
          <w:szCs w:val="22"/>
        </w:rPr>
        <w:t>zákon č. 273/2008 Sb., o Policii České republiky (především jeho příloha)</w:t>
      </w:r>
    </w:p>
    <w:p w:rsidR="00F3698C" w:rsidRDefault="00DB7478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17/2012</w:t>
      </w:r>
      <w:r w:rsidR="00F3698C">
        <w:rPr>
          <w:rFonts w:ascii="Syntax LT CE" w:hAnsi="Syntax LT CE"/>
          <w:sz w:val="22"/>
          <w:szCs w:val="22"/>
        </w:rPr>
        <w:t xml:space="preserve"> Sb., </w:t>
      </w:r>
      <w:r>
        <w:rPr>
          <w:rFonts w:ascii="Syntax LT CE" w:hAnsi="Syntax LT CE"/>
          <w:sz w:val="22"/>
          <w:szCs w:val="22"/>
        </w:rPr>
        <w:t>o Celní správě České republiky</w:t>
      </w:r>
    </w:p>
    <w:p w:rsidR="00F3698C" w:rsidRDefault="00F3698C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582/1991 Sb., o organizaci a provádění sociálního zabezpečení (§ 6 a násl.)</w:t>
      </w:r>
    </w:p>
    <w:p w:rsidR="00683E00" w:rsidRPr="00F3698C" w:rsidRDefault="00683E0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585/2004 Sb., o branné povinnosti a jejím zajišťování (branný zákon) (§ 9 a příloha k tomuto zákonu)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Judikatura</w:t>
      </w:r>
    </w:p>
    <w:p w:rsidR="00A63D70" w:rsidRPr="00A63D70" w:rsidRDefault="00A63D70" w:rsidP="00A63D70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rozsudek Nejvyššího správního soudu ze dne 30. 1. 2008, č. j. 1 </w:t>
      </w:r>
      <w:proofErr w:type="spellStart"/>
      <w:r w:rsidRPr="00A63D70">
        <w:rPr>
          <w:rFonts w:ascii="Syntax LT CE" w:hAnsi="Syntax LT CE"/>
          <w:sz w:val="22"/>
          <w:szCs w:val="22"/>
        </w:rPr>
        <w:t>Afs</w:t>
      </w:r>
      <w:proofErr w:type="spellEnd"/>
      <w:r w:rsidRPr="00A63D70">
        <w:rPr>
          <w:rFonts w:ascii="Syntax LT CE" w:hAnsi="Syntax LT CE"/>
          <w:sz w:val="22"/>
          <w:szCs w:val="22"/>
        </w:rPr>
        <w:t xml:space="preserve"> 50/2007-106, dostupný </w:t>
      </w:r>
      <w:hyperlink r:id="rId7" w:history="1">
        <w:r w:rsidRPr="0036545F">
          <w:rPr>
            <w:rStyle w:val="Hypertextovodkaz"/>
            <w:rFonts w:ascii="Syntax LT CE" w:hAnsi="Syntax LT CE"/>
            <w:sz w:val="22"/>
            <w:szCs w:val="22"/>
          </w:rPr>
          <w:t>zde</w:t>
        </w:r>
      </w:hyperlink>
      <w:r w:rsidRPr="00A63D70">
        <w:rPr>
          <w:rFonts w:ascii="Syntax LT CE" w:hAnsi="Syntax LT CE"/>
          <w:sz w:val="22"/>
          <w:szCs w:val="22"/>
        </w:rPr>
        <w:t>.</w:t>
      </w:r>
    </w:p>
    <w:p w:rsidR="00A63D70" w:rsidRDefault="00A63D70" w:rsidP="00A63D70">
      <w:p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t>Ú</w:t>
      </w:r>
      <w:r>
        <w:rPr>
          <w:rFonts w:ascii="Syntax LT CE" w:hAnsi="Syntax LT CE"/>
          <w:sz w:val="22"/>
          <w:szCs w:val="22"/>
        </w:rPr>
        <w:t>ryvek:</w:t>
      </w:r>
    </w:p>
    <w:p w:rsidR="00A63D70" w:rsidRDefault="00A63D70" w:rsidP="00A63D70">
      <w:pPr>
        <w:spacing w:line="360" w:lineRule="auto"/>
        <w:ind w:left="360" w:hanging="20"/>
        <w:jc w:val="both"/>
      </w:pPr>
      <w:r>
        <w:tab/>
        <w:t>„</w:t>
      </w:r>
      <w:r w:rsidRPr="007B5EFB">
        <w:rPr>
          <w:i/>
        </w:rPr>
        <w:t xml:space="preserve">Za situace, kdy je správcem daně některý z územních finančních orgánů, uplatňuje se </w:t>
      </w:r>
      <w:r w:rsidRPr="007B5EFB">
        <w:rPr>
          <w:i/>
        </w:rPr>
        <w:tab/>
        <w:t xml:space="preserve">při určení příslušného správce daně logicky i norma organizační, tedy zákon o </w:t>
      </w:r>
      <w:r w:rsidRPr="007B5EFB">
        <w:rPr>
          <w:i/>
        </w:rPr>
        <w:tab/>
        <w:t xml:space="preserve">územních </w:t>
      </w:r>
      <w:r>
        <w:rPr>
          <w:i/>
        </w:rPr>
        <w:t>fi</w:t>
      </w:r>
      <w:r w:rsidRPr="007B5EFB">
        <w:rPr>
          <w:i/>
        </w:rPr>
        <w:t xml:space="preserve">nančních orgánech. Tento zákon určuje hierarchickou strukturu územních </w:t>
      </w:r>
      <w:r w:rsidRPr="007B5EFB">
        <w:rPr>
          <w:i/>
        </w:rPr>
        <w:tab/>
        <w:t xml:space="preserve">finančních orgánů (finanční ředitelství – finanční úřady) založenou na principu </w:t>
      </w:r>
      <w:r w:rsidRPr="007B5EFB">
        <w:rPr>
          <w:i/>
        </w:rPr>
        <w:tab/>
        <w:t xml:space="preserve">subordinace. Soustava územních finančních orgánů jako celek je pak projevem </w:t>
      </w:r>
      <w:r w:rsidRPr="007B5EFB">
        <w:rPr>
          <w:i/>
        </w:rPr>
        <w:tab/>
      </w:r>
      <w:r w:rsidRPr="007B5EFB">
        <w:rPr>
          <w:i/>
        </w:rPr>
        <w:tab/>
        <w:t xml:space="preserve">vertikální dekoncentrace výkonu státní správy na jednom z úseků činnosti resortu </w:t>
      </w:r>
      <w:r w:rsidRPr="007B5EFB">
        <w:rPr>
          <w:i/>
        </w:rPr>
        <w:tab/>
        <w:t xml:space="preserve">Ministerstva financí. Princip subordinace je v předmětném zákoně vyjádřen zejména </w:t>
      </w:r>
      <w:r w:rsidRPr="007B5EFB">
        <w:rPr>
          <w:i/>
        </w:rPr>
        <w:tab/>
        <w:t xml:space="preserve">v ustanoveních § 4, § 8 odst. 2, § 9 písm. a), písm. c) a písm. h) [od 1. 1. 2006 písm. </w:t>
      </w:r>
      <w:r w:rsidRPr="007B5EFB">
        <w:rPr>
          <w:i/>
        </w:rPr>
        <w:tab/>
        <w:t xml:space="preserve">g)], § 10 odst. </w:t>
      </w:r>
      <w:smartTag w:uri="urn:schemas-microsoft-com:office:smarttags" w:element="metricconverter">
        <w:smartTagPr>
          <w:attr w:name="ProductID" w:val="1 a"/>
        </w:smartTagPr>
        <w:r w:rsidRPr="007B5EFB">
          <w:rPr>
            <w:i/>
          </w:rPr>
          <w:t>1 a</w:t>
        </w:r>
      </w:smartTag>
      <w:r w:rsidRPr="007B5EFB">
        <w:rPr>
          <w:i/>
        </w:rPr>
        <w:t xml:space="preserve"> 3</w:t>
      </w:r>
      <w:r>
        <w:t xml:space="preserve">“ zákona č. 531/1990 Sb., o územních finančních orgánech. </w:t>
      </w:r>
    </w:p>
    <w:p w:rsidR="00A63D70" w:rsidRDefault="00A63D70" w:rsidP="00A63D70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A63D70" w:rsidRPr="00A63D70" w:rsidRDefault="00A63D70" w:rsidP="00A63D70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usnesení Nejvyššího správního soudu ze dne 29. 4. 2003, č. j. Nad 40/2003-30, dostupné </w:t>
      </w:r>
      <w:hyperlink r:id="rId8" w:history="1">
        <w:r w:rsidRPr="0036545F">
          <w:rPr>
            <w:rStyle w:val="Hypertextovodkaz"/>
            <w:rFonts w:ascii="Syntax LT CE" w:hAnsi="Syntax LT CE"/>
            <w:sz w:val="22"/>
            <w:szCs w:val="22"/>
          </w:rPr>
          <w:t>zde</w:t>
        </w:r>
      </w:hyperlink>
      <w:r w:rsidRPr="00A63D70">
        <w:rPr>
          <w:rFonts w:ascii="Syntax LT CE" w:hAnsi="Syntax LT CE"/>
          <w:sz w:val="22"/>
          <w:szCs w:val="22"/>
        </w:rPr>
        <w:t xml:space="preserve">. </w:t>
      </w:r>
    </w:p>
    <w:p w:rsidR="0036545F" w:rsidRDefault="00A63D70" w:rsidP="00A63D70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36545F">
        <w:rPr>
          <w:rFonts w:ascii="Syntax LT CE" w:hAnsi="Syntax LT CE"/>
          <w:sz w:val="22"/>
          <w:szCs w:val="22"/>
        </w:rPr>
        <w:t>Úryvek</w:t>
      </w:r>
      <w:r w:rsidR="0036545F">
        <w:rPr>
          <w:rFonts w:ascii="Syntax LT CE" w:hAnsi="Syntax LT CE"/>
          <w:sz w:val="22"/>
          <w:szCs w:val="22"/>
        </w:rPr>
        <w:t>:</w:t>
      </w:r>
    </w:p>
    <w:p w:rsidR="00A63D70" w:rsidRDefault="00A63D70" w:rsidP="0036545F">
      <w:pPr>
        <w:spacing w:line="360" w:lineRule="auto"/>
        <w:ind w:left="340" w:firstLine="0"/>
        <w:jc w:val="both"/>
      </w:pPr>
      <w:r>
        <w:lastRenderedPageBreak/>
        <w:t>„</w:t>
      </w:r>
      <w:r w:rsidRPr="007B5EFB">
        <w:rPr>
          <w:i/>
        </w:rPr>
        <w:t xml:space="preserve">V době zahájení řízení, tj. v r. 2001, byl podle tehdejší právní úpravy místně </w:t>
      </w:r>
      <w:r w:rsidRPr="007B5EFB">
        <w:rPr>
          <w:i/>
        </w:rPr>
        <w:tab/>
        <w:t xml:space="preserve">příslušným soud, v jehož obvodu měl sídlo správní orgán, jehož rozhodnutí se </w:t>
      </w:r>
      <w:r w:rsidRPr="007B5EFB">
        <w:rPr>
          <w:i/>
        </w:rPr>
        <w:tab/>
        <w:t>přezkoumává.</w:t>
      </w:r>
      <w:r w:rsidR="00DC4B8F">
        <w:rPr>
          <w:i/>
        </w:rPr>
        <w:t xml:space="preserve"> </w:t>
      </w:r>
      <w:r w:rsidRPr="007B5EFB">
        <w:rPr>
          <w:i/>
        </w:rPr>
        <w:t xml:space="preserve">Krajský </w:t>
      </w:r>
      <w:r w:rsidR="00DC4B8F">
        <w:rPr>
          <w:i/>
        </w:rPr>
        <w:t>s</w:t>
      </w:r>
      <w:r w:rsidRPr="007B5EFB">
        <w:rPr>
          <w:i/>
        </w:rPr>
        <w:t xml:space="preserve">oud v Ostravě proto správně věc postoupil Městskému soudu </w:t>
      </w:r>
      <w:r w:rsidRPr="007B5EFB">
        <w:rPr>
          <w:i/>
        </w:rPr>
        <w:tab/>
        <w:t>v Praze, neboť sídlo žalované České správy sociálního zabezpečení je v Praze (v Ostravě je pouze nekoncentrované pracoviště ČSSZ).</w:t>
      </w:r>
      <w:r>
        <w:t>“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B43714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i/>
          <w:sz w:val="22"/>
          <w:szCs w:val="22"/>
        </w:rPr>
        <w:t>Průcha, P.</w:t>
      </w:r>
      <w:r w:rsidRPr="00B43714">
        <w:rPr>
          <w:rFonts w:ascii="Syntax LT CE" w:hAnsi="Syntax LT CE"/>
          <w:sz w:val="22"/>
          <w:szCs w:val="22"/>
        </w:rPr>
        <w:t xml:space="preserve">: </w:t>
      </w:r>
      <w:r w:rsidRPr="00B43714">
        <w:rPr>
          <w:rFonts w:ascii="Syntax LT CE" w:hAnsi="Syntax LT CE"/>
          <w:i/>
          <w:sz w:val="22"/>
          <w:szCs w:val="22"/>
        </w:rPr>
        <w:t>Správní právo, obecná část.</w:t>
      </w:r>
      <w:r w:rsidRPr="00B43714">
        <w:rPr>
          <w:rFonts w:ascii="Syntax LT CE" w:hAnsi="Syntax LT CE"/>
          <w:sz w:val="22"/>
          <w:szCs w:val="22"/>
        </w:rPr>
        <w:t xml:space="preserve"> </w:t>
      </w:r>
      <w:r w:rsidR="009E1091">
        <w:rPr>
          <w:rFonts w:ascii="Syntax LT CE" w:hAnsi="Syntax LT CE"/>
          <w:sz w:val="22"/>
          <w:szCs w:val="22"/>
        </w:rPr>
        <w:t>8</w:t>
      </w:r>
      <w:r w:rsidRPr="00B43714">
        <w:rPr>
          <w:rFonts w:ascii="Syntax LT CE" w:hAnsi="Syntax LT CE"/>
          <w:sz w:val="22"/>
          <w:szCs w:val="22"/>
        </w:rPr>
        <w:t>. vydání. Brno : Masary</w:t>
      </w:r>
      <w:r w:rsidR="009E1091">
        <w:rPr>
          <w:rFonts w:ascii="Syntax LT CE" w:hAnsi="Syntax LT CE"/>
          <w:sz w:val="22"/>
          <w:szCs w:val="22"/>
        </w:rPr>
        <w:t>kova univerzita a Doplněk, 2012</w:t>
      </w:r>
      <w:r w:rsidR="00985223">
        <w:rPr>
          <w:rFonts w:ascii="Syntax LT CE" w:hAnsi="Syntax LT CE"/>
          <w:sz w:val="22"/>
          <w:szCs w:val="22"/>
        </w:rPr>
        <w:t>, s. 1</w:t>
      </w:r>
      <w:r w:rsidR="00006E4C">
        <w:rPr>
          <w:rFonts w:ascii="Syntax LT CE" w:hAnsi="Syntax LT CE"/>
          <w:sz w:val="22"/>
          <w:szCs w:val="22"/>
        </w:rPr>
        <w:t>61</w:t>
      </w:r>
      <w:r w:rsidR="00985223">
        <w:rPr>
          <w:rFonts w:ascii="Syntax LT CE" w:hAnsi="Syntax LT CE"/>
          <w:sz w:val="22"/>
          <w:szCs w:val="22"/>
        </w:rPr>
        <w:t xml:space="preserve"> – 1</w:t>
      </w:r>
      <w:r w:rsidR="00006E4C">
        <w:rPr>
          <w:rFonts w:ascii="Syntax LT CE" w:hAnsi="Syntax LT CE"/>
          <w:sz w:val="22"/>
          <w:szCs w:val="22"/>
        </w:rPr>
        <w:t>70</w:t>
      </w:r>
      <w:r w:rsidR="00985223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B43714">
        <w:rPr>
          <w:rFonts w:ascii="Syntax LT CE" w:hAnsi="Syntax LT CE"/>
          <w:sz w:val="22"/>
          <w:szCs w:val="22"/>
        </w:rPr>
        <w:t xml:space="preserve"> 3. vydání</w:t>
      </w:r>
      <w:r w:rsidR="00985223">
        <w:rPr>
          <w:rFonts w:ascii="Syntax LT CE" w:hAnsi="Syntax LT CE"/>
          <w:sz w:val="22"/>
          <w:szCs w:val="22"/>
        </w:rPr>
        <w:t xml:space="preserve">. Praha : </w:t>
      </w:r>
      <w:proofErr w:type="spellStart"/>
      <w:r w:rsidR="00985223">
        <w:rPr>
          <w:rFonts w:ascii="Syntax LT CE" w:hAnsi="Syntax LT CE"/>
          <w:sz w:val="22"/>
          <w:szCs w:val="22"/>
        </w:rPr>
        <w:t>Wolters</w:t>
      </w:r>
      <w:proofErr w:type="spellEnd"/>
      <w:r w:rsidR="00985223">
        <w:rPr>
          <w:rFonts w:ascii="Syntax LT CE" w:hAnsi="Syntax LT CE"/>
          <w:sz w:val="22"/>
          <w:szCs w:val="22"/>
        </w:rPr>
        <w:t xml:space="preserve"> </w:t>
      </w:r>
      <w:proofErr w:type="spellStart"/>
      <w:r w:rsidR="00985223">
        <w:rPr>
          <w:rFonts w:ascii="Syntax LT CE" w:hAnsi="Syntax LT CE"/>
          <w:sz w:val="22"/>
          <w:szCs w:val="22"/>
        </w:rPr>
        <w:t>Kluwer</w:t>
      </w:r>
      <w:proofErr w:type="spellEnd"/>
      <w:r w:rsidR="00985223">
        <w:rPr>
          <w:rFonts w:ascii="Syntax LT CE" w:hAnsi="Syntax LT CE"/>
          <w:sz w:val="22"/>
          <w:szCs w:val="22"/>
        </w:rPr>
        <w:t>, 2009, s. 103 – 158.</w:t>
      </w:r>
    </w:p>
    <w:p w:rsidR="00CD1ABE" w:rsidRPr="00CD1ABE" w:rsidRDefault="00CD1ABE" w:rsidP="00CD1ABE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>
        <w:rPr>
          <w:rFonts w:ascii="Syntax LT CE" w:hAnsi="Syntax LT CE"/>
          <w:sz w:val="22"/>
          <w:szCs w:val="22"/>
        </w:rPr>
        <w:t xml:space="preserve"> 4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 xml:space="preserve">. Praha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2014.</w:t>
      </w:r>
    </w:p>
    <w:p w:rsidR="00B26BE5" w:rsidRP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B26BE5">
        <w:rPr>
          <w:rFonts w:ascii="Syntax LT CE" w:hAnsi="Syntax LT CE"/>
          <w:sz w:val="22"/>
          <w:szCs w:val="22"/>
        </w:rPr>
        <w:t>Horzinková</w:t>
      </w:r>
      <w:proofErr w:type="spellEnd"/>
      <w:r w:rsidRPr="00B26BE5">
        <w:rPr>
          <w:rFonts w:ascii="Syntax LT CE" w:hAnsi="Syntax LT CE"/>
          <w:sz w:val="22"/>
          <w:szCs w:val="22"/>
        </w:rPr>
        <w:t xml:space="preserve">, E. – Novotný, V.: </w:t>
      </w:r>
      <w:r w:rsidRPr="00B26BE5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="00CD1ABE">
        <w:rPr>
          <w:rFonts w:ascii="Syntax LT CE" w:hAnsi="Syntax LT CE"/>
          <w:sz w:val="22"/>
          <w:szCs w:val="22"/>
        </w:rPr>
        <w:t>. 3</w:t>
      </w:r>
      <w:r w:rsidRPr="00B26BE5">
        <w:rPr>
          <w:rFonts w:ascii="Syntax LT CE" w:hAnsi="Syntax LT CE"/>
          <w:sz w:val="22"/>
          <w:szCs w:val="22"/>
        </w:rPr>
        <w:t xml:space="preserve">. </w:t>
      </w:r>
      <w:proofErr w:type="spellStart"/>
      <w:r w:rsidRPr="00B26BE5">
        <w:rPr>
          <w:rFonts w:ascii="Syntax LT CE" w:hAnsi="Syntax LT CE"/>
          <w:sz w:val="22"/>
          <w:szCs w:val="22"/>
        </w:rPr>
        <w:t>upr</w:t>
      </w:r>
      <w:proofErr w:type="spellEnd"/>
      <w:r w:rsidRPr="00B26BE5">
        <w:rPr>
          <w:rFonts w:ascii="Syntax LT CE" w:hAnsi="Syntax LT CE"/>
          <w:sz w:val="22"/>
          <w:szCs w:val="22"/>
        </w:rPr>
        <w:t>. vyd. Plzeň : Vydavatelství a</w:t>
      </w:r>
      <w:r w:rsidR="00CD1ABE">
        <w:rPr>
          <w:rFonts w:ascii="Syntax LT CE" w:hAnsi="Syntax LT CE"/>
          <w:sz w:val="22"/>
          <w:szCs w:val="22"/>
        </w:rPr>
        <w:t xml:space="preserve"> nakladatelství Aleš Čeněk, 2013</w:t>
      </w:r>
      <w:r w:rsidRPr="00B26BE5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 xml:space="preserve">Správní </w:t>
      </w:r>
      <w:r>
        <w:rPr>
          <w:rFonts w:ascii="Syntax LT CE" w:hAnsi="Syntax LT CE"/>
          <w:i/>
          <w:sz w:val="22"/>
          <w:szCs w:val="22"/>
        </w:rPr>
        <w:t>právo</w:t>
      </w:r>
      <w:r w:rsidRPr="00B43714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i/>
          <w:sz w:val="22"/>
          <w:szCs w:val="22"/>
        </w:rPr>
        <w:t>Obecná část</w:t>
      </w:r>
      <w:r w:rsidRPr="00B43714">
        <w:rPr>
          <w:rFonts w:ascii="Syntax LT CE" w:hAnsi="Syntax LT CE"/>
          <w:i/>
          <w:sz w:val="22"/>
          <w:szCs w:val="22"/>
        </w:rPr>
        <w:t>.</w:t>
      </w:r>
      <w:r w:rsidR="009E1091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Praha : </w:t>
      </w:r>
      <w:r>
        <w:rPr>
          <w:rFonts w:ascii="Syntax LT CE" w:hAnsi="Syntax LT CE"/>
          <w:sz w:val="22"/>
          <w:szCs w:val="22"/>
        </w:rPr>
        <w:t>C. H. Beck</w:t>
      </w:r>
      <w:r w:rsidR="009E1091">
        <w:rPr>
          <w:rFonts w:ascii="Syntax LT CE" w:hAnsi="Syntax LT CE"/>
          <w:sz w:val="22"/>
          <w:szCs w:val="22"/>
        </w:rPr>
        <w:t>, 2012</w:t>
      </w:r>
      <w:r w:rsidRPr="00B43714">
        <w:rPr>
          <w:rFonts w:ascii="Syntax LT CE" w:hAnsi="Syntax LT CE"/>
          <w:sz w:val="22"/>
          <w:szCs w:val="22"/>
        </w:rPr>
        <w:t>.</w:t>
      </w:r>
    </w:p>
    <w:p w:rsidR="00985223" w:rsidRDefault="00985223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2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 xml:space="preserve">. Praha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2009, s. 2</w:t>
      </w:r>
      <w:r w:rsidR="00357536">
        <w:rPr>
          <w:rFonts w:ascii="Syntax LT CE" w:hAnsi="Syntax LT CE"/>
          <w:sz w:val="22"/>
          <w:szCs w:val="22"/>
        </w:rPr>
        <w:t>33</w:t>
      </w:r>
      <w:r>
        <w:rPr>
          <w:rFonts w:ascii="Syntax LT CE" w:hAnsi="Syntax LT CE"/>
          <w:sz w:val="22"/>
          <w:szCs w:val="22"/>
        </w:rPr>
        <w:t xml:space="preserve"> – 2</w:t>
      </w:r>
      <w:r w:rsidR="00357536">
        <w:rPr>
          <w:rFonts w:ascii="Syntax LT CE" w:hAnsi="Syntax LT CE"/>
          <w:sz w:val="22"/>
          <w:szCs w:val="22"/>
        </w:rPr>
        <w:t>5</w:t>
      </w:r>
      <w:r>
        <w:rPr>
          <w:rFonts w:ascii="Syntax LT CE" w:hAnsi="Syntax LT CE"/>
          <w:sz w:val="22"/>
          <w:szCs w:val="22"/>
        </w:rPr>
        <w:t>0.</w:t>
      </w:r>
    </w:p>
    <w:p w:rsidR="00CD1ABE" w:rsidRPr="00CD1ABE" w:rsidRDefault="00CD1ABE" w:rsidP="00CD1ABE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3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 xml:space="preserve">. Praha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2013.</w:t>
      </w:r>
    </w:p>
    <w:p w:rsidR="00B26BE5" w:rsidRPr="00B43714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Specifická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Default="00357536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322716">
        <w:rPr>
          <w:rFonts w:ascii="Syntax LT CE" w:hAnsi="Syntax LT CE"/>
          <w:sz w:val="22"/>
          <w:szCs w:val="22"/>
        </w:rPr>
        <w:t>Schelle</w:t>
      </w:r>
      <w:proofErr w:type="spellEnd"/>
      <w:r w:rsidRPr="00322716">
        <w:rPr>
          <w:rFonts w:ascii="Syntax LT CE" w:hAnsi="Syntax LT CE"/>
          <w:sz w:val="22"/>
          <w:szCs w:val="22"/>
        </w:rPr>
        <w:t xml:space="preserve">, K.: </w:t>
      </w:r>
      <w:r w:rsidRPr="00322716">
        <w:rPr>
          <w:rFonts w:ascii="Syntax LT CE" w:hAnsi="Syntax LT CE"/>
          <w:i/>
          <w:iCs/>
          <w:sz w:val="22"/>
          <w:szCs w:val="22"/>
        </w:rPr>
        <w:t>Dějiny české veřejné správy</w:t>
      </w:r>
      <w:r w:rsidRPr="00322716">
        <w:rPr>
          <w:rFonts w:ascii="Syntax LT CE" w:hAnsi="Syntax LT CE"/>
          <w:sz w:val="22"/>
          <w:szCs w:val="22"/>
        </w:rPr>
        <w:t>. 1. vydání. Plzeň : Vydavatelství a nakladatelství Aleš Čeněk, 2009.</w:t>
      </w:r>
    </w:p>
    <w:p w:rsidR="00C06AE1" w:rsidRPr="00322716" w:rsidRDefault="0036545F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36545F">
        <w:rPr>
          <w:rFonts w:ascii="Syntax LT CE" w:hAnsi="Syntax LT CE"/>
          <w:sz w:val="22"/>
          <w:szCs w:val="22"/>
        </w:rPr>
        <w:t xml:space="preserve">Skulová, S. a kol. </w:t>
      </w:r>
      <w:r w:rsidRPr="0036545F">
        <w:rPr>
          <w:rFonts w:ascii="Syntax LT CE" w:hAnsi="Syntax LT CE"/>
          <w:i/>
          <w:sz w:val="22"/>
          <w:szCs w:val="22"/>
        </w:rPr>
        <w:t>Základy správní vědy.</w:t>
      </w:r>
      <w:r w:rsidRPr="0036545F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 xml:space="preserve">1. vydání. </w:t>
      </w:r>
      <w:r w:rsidRPr="0036545F">
        <w:rPr>
          <w:rFonts w:ascii="Syntax LT CE" w:hAnsi="Syntax LT CE"/>
          <w:sz w:val="22"/>
          <w:szCs w:val="22"/>
        </w:rPr>
        <w:t>Brno: Masarykova univerzita</w:t>
      </w:r>
      <w:r>
        <w:rPr>
          <w:rFonts w:ascii="Syntax LT CE" w:hAnsi="Syntax LT CE"/>
          <w:sz w:val="22"/>
          <w:szCs w:val="22"/>
        </w:rPr>
        <w:t xml:space="preserve">, 1998. </w:t>
      </w:r>
      <w:r w:rsidRPr="0036545F">
        <w:rPr>
          <w:rFonts w:ascii="Syntax LT CE" w:hAnsi="Syntax LT CE" w:hint="eastAsia"/>
          <w:sz w:val="22"/>
          <w:szCs w:val="22"/>
        </w:rPr>
        <w:t>234 s. ISBN 8021018283</w:t>
      </w:r>
    </w:p>
    <w:p w:rsidR="00357536" w:rsidRPr="00C46515" w:rsidRDefault="0035753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322716" w:rsidRPr="00CD1ABE" w:rsidRDefault="00322716" w:rsidP="00CD1ABE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881E9D" w:rsidRDefault="00AE1E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Jaký je rozdíl mezi územními správními úřady a tzv. územně dekoncentrovanými orgány státní správy?</w:t>
      </w:r>
    </w:p>
    <w:p w:rsidR="003B52D9" w:rsidRDefault="003B52D9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Jaký je význam existence územních správních úřadů?</w:t>
      </w:r>
    </w:p>
    <w:p w:rsidR="00AE1E24" w:rsidRDefault="00DC4B8F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Uveďte 4 příklady územních správních úřadů.</w:t>
      </w:r>
    </w:p>
    <w:p w:rsidR="00DC4B8F" w:rsidRDefault="00DC4B8F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Vyjmenujte principy organizace veřejné správy</w:t>
      </w:r>
      <w:r w:rsidR="003B52D9">
        <w:rPr>
          <w:rFonts w:ascii="Syntax LT CE" w:hAnsi="Syntax LT CE"/>
          <w:i/>
          <w:snapToGrid w:val="0"/>
          <w:sz w:val="22"/>
          <w:szCs w:val="22"/>
        </w:rPr>
        <w:t>,</w:t>
      </w:r>
      <w:r>
        <w:rPr>
          <w:rFonts w:ascii="Syntax LT CE" w:hAnsi="Syntax LT CE"/>
          <w:i/>
          <w:snapToGrid w:val="0"/>
          <w:sz w:val="22"/>
          <w:szCs w:val="22"/>
        </w:rPr>
        <w:t xml:space="preserve"> jejichž projevem je exi</w:t>
      </w:r>
      <w:r w:rsidR="003B52D9">
        <w:rPr>
          <w:rFonts w:ascii="Syntax LT CE" w:hAnsi="Syntax LT CE"/>
          <w:i/>
          <w:snapToGrid w:val="0"/>
          <w:sz w:val="22"/>
          <w:szCs w:val="22"/>
        </w:rPr>
        <w:t>stence územních správních úřadů.</w:t>
      </w:r>
    </w:p>
    <w:p w:rsidR="00B43714" w:rsidRPr="00CD1ABE" w:rsidRDefault="003B52D9" w:rsidP="00CD1ABE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Shodují se obvody, v nichž územní správní úřady působí, s obvody vyšších územně správních celků v ČR?</w:t>
      </w:r>
    </w:p>
    <w:p w:rsidR="007C64DE" w:rsidRPr="007C64DE" w:rsidRDefault="007C64DE" w:rsidP="007C64DE">
      <w:pPr>
        <w:pStyle w:val="Zkladntext2"/>
        <w:spacing w:before="60" w:after="60" w:line="300" w:lineRule="auto"/>
        <w:rPr>
          <w:rFonts w:ascii="Syntax LT CE" w:hAnsi="Syntax LT CE"/>
          <w:i w:val="0"/>
          <w:sz w:val="18"/>
          <w:szCs w:val="18"/>
        </w:rPr>
      </w:pPr>
      <w:r w:rsidRPr="007C64DE">
        <w:rPr>
          <w:rFonts w:ascii="Syntax LT CE" w:hAnsi="Syntax LT CE"/>
          <w:i w:val="0"/>
          <w:sz w:val="18"/>
          <w:szCs w:val="18"/>
        </w:rPr>
        <w:t xml:space="preserve">Vypracovala: Mgr. Lina </w:t>
      </w:r>
      <w:proofErr w:type="spellStart"/>
      <w:r w:rsidRPr="007C64DE">
        <w:rPr>
          <w:rFonts w:ascii="Syntax LT CE" w:hAnsi="Syntax LT CE"/>
          <w:i w:val="0"/>
          <w:sz w:val="18"/>
          <w:szCs w:val="18"/>
        </w:rPr>
        <w:t>Eidová</w:t>
      </w:r>
      <w:proofErr w:type="spellEnd"/>
    </w:p>
    <w:sectPr w:rsidR="007C64DE" w:rsidRPr="007C64DE" w:rsidSect="006E1F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14" w:rsidRDefault="00720C14">
      <w:r>
        <w:separator/>
      </w:r>
    </w:p>
  </w:endnote>
  <w:endnote w:type="continuationSeparator" w:id="0">
    <w:p w:rsidR="00720C14" w:rsidRDefault="0072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B6" w:rsidRDefault="00CD1ABE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B6">
      <w:t xml:space="preserve">str. </w:t>
    </w:r>
    <w:r w:rsidR="00D81E7E">
      <w:rPr>
        <w:rStyle w:val="slostrnky"/>
      </w:rPr>
      <w:fldChar w:fldCharType="begin"/>
    </w:r>
    <w:r w:rsidR="00A478B6">
      <w:rPr>
        <w:rStyle w:val="slostrnky"/>
      </w:rPr>
      <w:instrText xml:space="preserve"> PAGE </w:instrText>
    </w:r>
    <w:r w:rsidR="00D81E7E">
      <w:rPr>
        <w:rStyle w:val="slostrnky"/>
      </w:rPr>
      <w:fldChar w:fldCharType="separate"/>
    </w:r>
    <w:r w:rsidR="003C7042">
      <w:rPr>
        <w:rStyle w:val="slostrnky"/>
        <w:noProof/>
      </w:rPr>
      <w:t>4</w:t>
    </w:r>
    <w:r w:rsidR="00D81E7E">
      <w:rPr>
        <w:rStyle w:val="slostrnky"/>
      </w:rPr>
      <w:fldChar w:fldCharType="end"/>
    </w:r>
    <w:r w:rsidR="00A478B6">
      <w:rPr>
        <w:rStyle w:val="slostrnky"/>
      </w:rPr>
      <w:t>/</w:t>
    </w:r>
    <w:r w:rsidR="00D81E7E">
      <w:rPr>
        <w:rStyle w:val="slostrnky"/>
      </w:rPr>
      <w:fldChar w:fldCharType="begin"/>
    </w:r>
    <w:r w:rsidR="00A478B6">
      <w:rPr>
        <w:rStyle w:val="slostrnky"/>
      </w:rPr>
      <w:instrText xml:space="preserve"> NUMPAGES </w:instrText>
    </w:r>
    <w:r w:rsidR="00D81E7E">
      <w:rPr>
        <w:rStyle w:val="slostrnky"/>
      </w:rPr>
      <w:fldChar w:fldCharType="separate"/>
    </w:r>
    <w:r w:rsidR="003C7042">
      <w:rPr>
        <w:rStyle w:val="slostrnky"/>
        <w:noProof/>
      </w:rPr>
      <w:t>4</w:t>
    </w:r>
    <w:r w:rsidR="00D81E7E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B6" w:rsidRDefault="00CD1ABE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B6">
      <w:t xml:space="preserve">str. </w:t>
    </w:r>
    <w:r w:rsidR="00D81E7E">
      <w:rPr>
        <w:rStyle w:val="slostrnky"/>
      </w:rPr>
      <w:fldChar w:fldCharType="begin"/>
    </w:r>
    <w:r w:rsidR="00A478B6">
      <w:rPr>
        <w:rStyle w:val="slostrnky"/>
      </w:rPr>
      <w:instrText xml:space="preserve"> PAGE </w:instrText>
    </w:r>
    <w:r w:rsidR="00D81E7E">
      <w:rPr>
        <w:rStyle w:val="slostrnky"/>
      </w:rPr>
      <w:fldChar w:fldCharType="separate"/>
    </w:r>
    <w:r w:rsidR="003C7042">
      <w:rPr>
        <w:rStyle w:val="slostrnky"/>
        <w:noProof/>
      </w:rPr>
      <w:t>1</w:t>
    </w:r>
    <w:r w:rsidR="00D81E7E">
      <w:rPr>
        <w:rStyle w:val="slostrnky"/>
      </w:rPr>
      <w:fldChar w:fldCharType="end"/>
    </w:r>
    <w:r w:rsidR="00A478B6">
      <w:rPr>
        <w:rStyle w:val="slostrnky"/>
      </w:rPr>
      <w:t>/</w:t>
    </w:r>
    <w:r w:rsidR="00D81E7E">
      <w:rPr>
        <w:rStyle w:val="slostrnky"/>
      </w:rPr>
      <w:fldChar w:fldCharType="begin"/>
    </w:r>
    <w:r w:rsidR="00A478B6">
      <w:rPr>
        <w:rStyle w:val="slostrnky"/>
      </w:rPr>
      <w:instrText xml:space="preserve"> NUMPAGES </w:instrText>
    </w:r>
    <w:r w:rsidR="00D81E7E">
      <w:rPr>
        <w:rStyle w:val="slostrnky"/>
      </w:rPr>
      <w:fldChar w:fldCharType="separate"/>
    </w:r>
    <w:r w:rsidR="003C7042">
      <w:rPr>
        <w:rStyle w:val="slostrnky"/>
        <w:noProof/>
      </w:rPr>
      <w:t>4</w:t>
    </w:r>
    <w:r w:rsidR="00D81E7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14" w:rsidRDefault="00720C14">
      <w:r>
        <w:separator/>
      </w:r>
    </w:p>
  </w:footnote>
  <w:footnote w:type="continuationSeparator" w:id="0">
    <w:p w:rsidR="00720C14" w:rsidRDefault="00720C14">
      <w:r>
        <w:continuationSeparator/>
      </w:r>
    </w:p>
  </w:footnote>
  <w:footnote w:id="1">
    <w:p w:rsidR="001E2732" w:rsidRDefault="001E2732" w:rsidP="001E2732">
      <w:pPr>
        <w:pStyle w:val="Textpoznpodarou"/>
      </w:pPr>
      <w:r>
        <w:rPr>
          <w:rStyle w:val="Znakapoznpodarou"/>
        </w:rPr>
        <w:footnoteRef/>
      </w:r>
      <w:r>
        <w:t xml:space="preserve"> Kadečka, S., </w:t>
      </w:r>
      <w:proofErr w:type="spellStart"/>
      <w:r>
        <w:t>Rigel</w:t>
      </w:r>
      <w:proofErr w:type="spellEnd"/>
      <w:r>
        <w:t>, F. Výkon státní správy – kompetence, odpovědnost. Brno, 2009. [cit. 2010-12-13], s. 6. Dostupné z: &lt;</w:t>
      </w:r>
      <w:r w:rsidRPr="00F82441">
        <w:rPr>
          <w:rFonts w:ascii="Arial" w:hAnsi="Arial" w:cs="Arial"/>
          <w:sz w:val="14"/>
          <w:szCs w:val="14"/>
        </w:rPr>
        <w:t xml:space="preserve"> </w:t>
      </w:r>
      <w:hyperlink r:id="rId1" w:history="1">
        <w:r>
          <w:rPr>
            <w:rStyle w:val="Hypertextovodkaz"/>
            <w:rFonts w:ascii="Arial" w:hAnsi="Arial" w:cs="Arial"/>
            <w:color w:val="0000CC"/>
          </w:rPr>
          <w:t>http://www.mvcr.cz/odk2/soubor/vykon-statni-spravy-kompetence-pdf.aspx</w:t>
        </w:r>
      </w:hyperlink>
      <w:r>
        <w:rPr>
          <w:rFonts w:ascii="Arial" w:hAnsi="Arial" w:cs="Arial"/>
          <w:color w:val="000000"/>
        </w:rPr>
        <w:t>&gt;.</w:t>
      </w:r>
    </w:p>
  </w:footnote>
  <w:footnote w:id="2">
    <w:p w:rsidR="00AD0C82" w:rsidRDefault="00AD0C82" w:rsidP="00AD0C82">
      <w:pPr>
        <w:pStyle w:val="Textpoznpodarou"/>
      </w:pPr>
      <w:r>
        <w:rPr>
          <w:rStyle w:val="Znakapoznpodarou"/>
        </w:rPr>
        <w:footnoteRef/>
      </w:r>
      <w:r>
        <w:t xml:space="preserve"> Viz pozn. č. </w:t>
      </w:r>
      <w:r w:rsidR="00D81E7E">
        <w:fldChar w:fldCharType="begin"/>
      </w:r>
      <w:r>
        <w:instrText xml:space="preserve"> NOTEREF _Ref280124238 \h </w:instrText>
      </w:r>
      <w:r w:rsidR="00D81E7E">
        <w:fldChar w:fldCharType="separate"/>
      </w:r>
      <w:r w:rsidR="00DE6FFF">
        <w:t>1</w:t>
      </w:r>
      <w:r w:rsidR="00D81E7E">
        <w:fldChar w:fldCharType="end"/>
      </w:r>
      <w:r>
        <w:t>, s.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B6" w:rsidRDefault="00CD1ABE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B6" w:rsidRDefault="00CD1ABE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6" name="obrázek 56" descr="PF_hlapa_DOT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566A8"/>
    <w:multiLevelType w:val="hybridMultilevel"/>
    <w:tmpl w:val="24F425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A6E1A"/>
    <w:multiLevelType w:val="hybridMultilevel"/>
    <w:tmpl w:val="CA34B9EC"/>
    <w:lvl w:ilvl="0" w:tplc="16C84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77B4186F"/>
    <w:multiLevelType w:val="hybridMultilevel"/>
    <w:tmpl w:val="EFB471F8"/>
    <w:lvl w:ilvl="0" w:tplc="16C84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4"/>
  </w:num>
  <w:num w:numId="13">
    <w:abstractNumId w:val="17"/>
  </w:num>
  <w:num w:numId="14">
    <w:abstractNumId w:val="13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21"/>
  </w:num>
  <w:num w:numId="22">
    <w:abstractNumId w:val="25"/>
  </w:num>
  <w:num w:numId="23">
    <w:abstractNumId w:val="27"/>
  </w:num>
  <w:num w:numId="24">
    <w:abstractNumId w:val="23"/>
  </w:num>
  <w:num w:numId="25">
    <w:abstractNumId w:val="30"/>
  </w:num>
  <w:num w:numId="26">
    <w:abstractNumId w:val="18"/>
  </w:num>
  <w:num w:numId="27">
    <w:abstractNumId w:val="26"/>
  </w:num>
  <w:num w:numId="28">
    <w:abstractNumId w:val="19"/>
  </w:num>
  <w:num w:numId="29">
    <w:abstractNumId w:val="20"/>
  </w:num>
  <w:num w:numId="30">
    <w:abstractNumId w:val="28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0"/>
    <w:rsid w:val="00005DD1"/>
    <w:rsid w:val="00006E4C"/>
    <w:rsid w:val="0008135A"/>
    <w:rsid w:val="000B3AC7"/>
    <w:rsid w:val="001257B3"/>
    <w:rsid w:val="00131AA4"/>
    <w:rsid w:val="001600D1"/>
    <w:rsid w:val="00191D4E"/>
    <w:rsid w:val="0019348F"/>
    <w:rsid w:val="001E2732"/>
    <w:rsid w:val="00270B80"/>
    <w:rsid w:val="002718E5"/>
    <w:rsid w:val="00280066"/>
    <w:rsid w:val="00286B6D"/>
    <w:rsid w:val="002C46B2"/>
    <w:rsid w:val="002E3674"/>
    <w:rsid w:val="00320A2F"/>
    <w:rsid w:val="00322716"/>
    <w:rsid w:val="00357536"/>
    <w:rsid w:val="0036545F"/>
    <w:rsid w:val="0037622B"/>
    <w:rsid w:val="0038152E"/>
    <w:rsid w:val="003850AB"/>
    <w:rsid w:val="003B28BF"/>
    <w:rsid w:val="003B52D9"/>
    <w:rsid w:val="003C3308"/>
    <w:rsid w:val="003C7042"/>
    <w:rsid w:val="004048EB"/>
    <w:rsid w:val="004549C3"/>
    <w:rsid w:val="00492EBC"/>
    <w:rsid w:val="005117CF"/>
    <w:rsid w:val="00513789"/>
    <w:rsid w:val="00520BE1"/>
    <w:rsid w:val="00537805"/>
    <w:rsid w:val="005469B2"/>
    <w:rsid w:val="00556A9C"/>
    <w:rsid w:val="00565306"/>
    <w:rsid w:val="00566EE4"/>
    <w:rsid w:val="00587E9B"/>
    <w:rsid w:val="00594D1C"/>
    <w:rsid w:val="005A1686"/>
    <w:rsid w:val="005A1855"/>
    <w:rsid w:val="005A4ADB"/>
    <w:rsid w:val="005F1C5F"/>
    <w:rsid w:val="0063473C"/>
    <w:rsid w:val="0064578B"/>
    <w:rsid w:val="00683E00"/>
    <w:rsid w:val="006A2130"/>
    <w:rsid w:val="006B436E"/>
    <w:rsid w:val="006C15E6"/>
    <w:rsid w:val="006C655D"/>
    <w:rsid w:val="006E1F19"/>
    <w:rsid w:val="006E5C16"/>
    <w:rsid w:val="00720C14"/>
    <w:rsid w:val="00734A38"/>
    <w:rsid w:val="00735926"/>
    <w:rsid w:val="00762BE4"/>
    <w:rsid w:val="00764199"/>
    <w:rsid w:val="007963E9"/>
    <w:rsid w:val="007C17A6"/>
    <w:rsid w:val="007C64DE"/>
    <w:rsid w:val="007F29A2"/>
    <w:rsid w:val="008624CB"/>
    <w:rsid w:val="00866F16"/>
    <w:rsid w:val="008677B2"/>
    <w:rsid w:val="00881E9D"/>
    <w:rsid w:val="00893EA6"/>
    <w:rsid w:val="008B786B"/>
    <w:rsid w:val="008C6A63"/>
    <w:rsid w:val="008D3503"/>
    <w:rsid w:val="008E1FC5"/>
    <w:rsid w:val="00905200"/>
    <w:rsid w:val="009151D1"/>
    <w:rsid w:val="00985223"/>
    <w:rsid w:val="009943CD"/>
    <w:rsid w:val="009A3FFC"/>
    <w:rsid w:val="009A4395"/>
    <w:rsid w:val="009C1214"/>
    <w:rsid w:val="009C597A"/>
    <w:rsid w:val="009E1091"/>
    <w:rsid w:val="009E5FAB"/>
    <w:rsid w:val="00A32D7E"/>
    <w:rsid w:val="00A478B6"/>
    <w:rsid w:val="00A51F1D"/>
    <w:rsid w:val="00A578D5"/>
    <w:rsid w:val="00A63D70"/>
    <w:rsid w:val="00A77C3B"/>
    <w:rsid w:val="00AA186D"/>
    <w:rsid w:val="00AD0C82"/>
    <w:rsid w:val="00AD58D2"/>
    <w:rsid w:val="00AE1E24"/>
    <w:rsid w:val="00B26BE5"/>
    <w:rsid w:val="00B36ABA"/>
    <w:rsid w:val="00B37363"/>
    <w:rsid w:val="00B374F0"/>
    <w:rsid w:val="00B43714"/>
    <w:rsid w:val="00B930B7"/>
    <w:rsid w:val="00BB0E90"/>
    <w:rsid w:val="00BB604A"/>
    <w:rsid w:val="00BD6878"/>
    <w:rsid w:val="00BE4138"/>
    <w:rsid w:val="00BE539F"/>
    <w:rsid w:val="00C06AE1"/>
    <w:rsid w:val="00C153DB"/>
    <w:rsid w:val="00C16180"/>
    <w:rsid w:val="00C24BB0"/>
    <w:rsid w:val="00C34C14"/>
    <w:rsid w:val="00C40781"/>
    <w:rsid w:val="00C44C03"/>
    <w:rsid w:val="00C45ED1"/>
    <w:rsid w:val="00C46515"/>
    <w:rsid w:val="00C80218"/>
    <w:rsid w:val="00C90D64"/>
    <w:rsid w:val="00CC77F9"/>
    <w:rsid w:val="00CD1ABE"/>
    <w:rsid w:val="00CE44BA"/>
    <w:rsid w:val="00D17427"/>
    <w:rsid w:val="00D3366F"/>
    <w:rsid w:val="00D739BA"/>
    <w:rsid w:val="00D81E7E"/>
    <w:rsid w:val="00DB3184"/>
    <w:rsid w:val="00DB7478"/>
    <w:rsid w:val="00DC4B8F"/>
    <w:rsid w:val="00DE6FFF"/>
    <w:rsid w:val="00DF5F34"/>
    <w:rsid w:val="00E30696"/>
    <w:rsid w:val="00E60C88"/>
    <w:rsid w:val="00E77A62"/>
    <w:rsid w:val="00E842F3"/>
    <w:rsid w:val="00EC4553"/>
    <w:rsid w:val="00ED13DC"/>
    <w:rsid w:val="00F02FEB"/>
    <w:rsid w:val="00F17FF1"/>
    <w:rsid w:val="00F27DA0"/>
    <w:rsid w:val="00F30B51"/>
    <w:rsid w:val="00F3698C"/>
    <w:rsid w:val="00F53884"/>
    <w:rsid w:val="00F708EB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68ED13D-868A-4521-A79E-F009E73A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BE4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62BE4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762BE4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762BE4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62BE4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762BE4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sid w:val="00762BE4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762BE4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762BE4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762BE4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762BE4"/>
    <w:pPr>
      <w:ind w:firstLine="0"/>
    </w:pPr>
  </w:style>
  <w:style w:type="paragraph" w:styleId="slovanseznam">
    <w:name w:val="List Number"/>
    <w:basedOn w:val="Normln"/>
    <w:rsid w:val="00762BE4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762BE4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1E2732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semiHidden/>
    <w:rsid w:val="001E2732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CD1A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oud.cz/main.aspx?cls=anonymZneni&amp;id=1027&amp;mark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soud.cz/main.aspx?cls=anonymZneni&amp;id=8777&amp;mark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r.cz/odk2/soubor/vykon-statni-spravy-kompetence-pdf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0</TotalTime>
  <Pages>4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7643</CharactersWithSpaces>
  <SharedDoc>false</SharedDoc>
  <HLinks>
    <vt:vector size="18" baseType="variant">
      <vt:variant>
        <vt:i4>5636116</vt:i4>
      </vt:variant>
      <vt:variant>
        <vt:i4>3</vt:i4>
      </vt:variant>
      <vt:variant>
        <vt:i4>0</vt:i4>
      </vt:variant>
      <vt:variant>
        <vt:i4>5</vt:i4>
      </vt:variant>
      <vt:variant>
        <vt:lpwstr>http://www.nssoud.cz/main.aspx?cls=anonymZneni&amp;id=1027&amp;mark=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http://www.nssoud.cz/main.aspx?cls=anonymZneni&amp;id=8777&amp;mark=</vt:lpwstr>
      </vt:variant>
      <vt:variant>
        <vt:lpwstr/>
      </vt:variant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http://www.mvcr.cz/odk2/soubor/vykon-statni-spravy-kompetence-pdf.aspx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Marek Vrbík</cp:lastModifiedBy>
  <cp:revision>3</cp:revision>
  <cp:lastPrinted>2010-12-15T13:18:00Z</cp:lastPrinted>
  <dcterms:created xsi:type="dcterms:W3CDTF">2014-11-07T18:14:00Z</dcterms:created>
  <dcterms:modified xsi:type="dcterms:W3CDTF">2015-09-07T19:30:00Z</dcterms:modified>
</cp:coreProperties>
</file>