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8E" w:rsidRPr="00B8171E" w:rsidRDefault="00B5201C" w:rsidP="007B1ECF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09.25pt;margin-top:69.05pt;width:0;height:20.85pt;z-index:251707392" o:connectortype="straight">
            <v:stroke endarrow="block"/>
          </v:shape>
        </w:pict>
      </w:r>
      <w:r>
        <w:rPr>
          <w:rFonts w:ascii="Garamond" w:hAnsi="Garamond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7.75pt;margin-top:46.65pt;width:105.6pt;height:22.4pt;z-index:251663360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Oznámení záměru</w:t>
                  </w:r>
                </w:p>
              </w:txbxContent>
            </v:textbox>
            <w10:wrap type="topAndBottom"/>
          </v:shape>
        </w:pict>
      </w:r>
      <w:r w:rsidR="00BE00FF" w:rsidRPr="00B8171E">
        <w:rPr>
          <w:rFonts w:ascii="Garamond" w:hAnsi="Garamond"/>
          <w:b/>
          <w:sz w:val="28"/>
        </w:rPr>
        <w:t xml:space="preserve">Schéma povolovacího procesu záměrů v ČR – stav </w:t>
      </w:r>
      <w:r w:rsidR="00FF4E75">
        <w:rPr>
          <w:rFonts w:ascii="Garamond" w:hAnsi="Garamond"/>
          <w:b/>
          <w:sz w:val="28"/>
        </w:rPr>
        <w:t>k 1. 9. 2018</w:t>
      </w:r>
    </w:p>
    <w:p w:rsidR="008D528A" w:rsidRPr="00B51CC1" w:rsidRDefault="00B0669D" w:rsidP="007B1ECF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cs-CZ"/>
        </w:rPr>
        <w:pict>
          <v:shape id="_x0000_s1098" type="#_x0000_t32" style="position:absolute;left:0;text-align:left;margin-left:145.85pt;margin-top:305.95pt;width:52.3pt;height:37.75pt;z-index:251723776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97" type="#_x0000_t32" style="position:absolute;left:0;text-align:left;margin-left:198.15pt;margin-top:232.3pt;width:17.9pt;height:111.4pt;z-index:251722752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92" type="#_x0000_t32" style="position:absolute;left:0;text-align:left;margin-left:206.25pt;margin-top:161.25pt;width:20pt;height:178.35pt;z-index:251717632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91" type="#_x0000_t32" style="position:absolute;left:0;text-align:left;margin-left:263.35pt;margin-top:301.15pt;width:67pt;height:42.55pt;flip:x;z-index:251716608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57" type="#_x0000_t202" style="position:absolute;left:0;text-align:left;margin-left:121.75pt;margin-top:349.8pt;width:212.6pt;height:24.05pt;z-index:251749376;mso-width-relative:margin;mso-height-relative:margin" fillcolor="#548dd4 [1951]">
            <v:textbox>
              <w:txbxContent>
                <w:p w:rsidR="00E44157" w:rsidRDefault="00E44157" w:rsidP="00A43180">
                  <w:pPr>
                    <w:contextualSpacing/>
                    <w:jc w:val="center"/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Řízení o stanovení dobývacího prostoru</w:t>
                  </w:r>
                </w:p>
                <w:p w:rsidR="00B0669D" w:rsidRPr="0045376D" w:rsidRDefault="00B0669D" w:rsidP="00A43180">
                  <w:pPr>
                    <w:contextualSpacing/>
                    <w:jc w:val="center"/>
                    <w:rPr>
                      <w:rFonts w:ascii="Garamond" w:hAnsi="Garamond"/>
                      <w:b/>
                    </w:rPr>
                  </w:pP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99" type="#_x0000_t32" style="position:absolute;left:0;text-align:left;margin-left:226.3pt;margin-top:365.35pt;width:.05pt;height:25.55pt;z-index:251724800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56" type="#_x0000_t202" style="position:absolute;left:0;text-align:left;margin-left:104.4pt;margin-top:390.9pt;width:226.8pt;height:24.45pt;z-index:251680768;mso-width-relative:margin;mso-height-relative:margin" fillcolor="#8db3e2 [1311]">
            <v:textbox>
              <w:txbxContent>
                <w:p w:rsidR="00E44157" w:rsidRPr="00B8171E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8171E">
                    <w:rPr>
                      <w:rFonts w:ascii="Garamond" w:hAnsi="Garamond"/>
                    </w:rPr>
                    <w:t>Rozhodnutí o stanovení dobývacího prostoru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49" type="#_x0000_t202" style="position:absolute;left:0;text-align:left;margin-left:373.35pt;margin-top:333.2pt;width:20.55pt;height:311pt;z-index:251748352;mso-width-relative:margin;mso-height-relative:margin">
            <v:textbox>
              <w:txbxContent>
                <w:p w:rsidR="00AB7B29" w:rsidRDefault="00AB7B29" w:rsidP="00A4318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AB7B29" w:rsidRDefault="00AB7B29" w:rsidP="00A4318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E44157" w:rsidRPr="0045376D" w:rsidRDefault="00E44157" w:rsidP="00A43180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NAVAZUJÍCÍ</w:t>
                  </w:r>
                </w:p>
                <w:p w:rsidR="00E44157" w:rsidRPr="00A43180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ŘÍZENÍ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81" type="#_x0000_t202" style="position:absolute;left:0;text-align:left;margin-left:393.9pt;margin-top:97.1pt;width:114.7pt;height:543.4pt;z-index:251706368;mso-width-relative:margin;mso-height-relative:margin" stroked="f">
            <v:textbox>
              <w:txbxContent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Lhůta pro ukončení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 xml:space="preserve">zjišťovacího řízení: </w:t>
                  </w:r>
                </w:p>
                <w:p w:rsidR="00E44157" w:rsidRPr="00E44157" w:rsidRDefault="00E44157" w:rsidP="00E44157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E44157">
                    <w:rPr>
                      <w:rFonts w:ascii="Garamond" w:hAnsi="Garamond"/>
                      <w:b/>
                      <w:sz w:val="20"/>
                      <w:szCs w:val="20"/>
                    </w:rPr>
                    <w:t>45 dnů (+ 25 dnů)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44157">
                  <w:pPr>
                    <w:spacing w:after="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Lhůta pro vyjádření k dokumentaci:  </w:t>
                  </w:r>
                  <w:r w:rsidRPr="00E44157">
                    <w:rPr>
                      <w:rFonts w:ascii="Garamond" w:hAnsi="Garamond"/>
                      <w:b/>
                      <w:sz w:val="20"/>
                      <w:szCs w:val="20"/>
                    </w:rPr>
                    <w:t>30 dnů</w:t>
                  </w:r>
                </w:p>
                <w:p w:rsidR="00E44157" w:rsidRDefault="00E44157" w:rsidP="00E44157">
                  <w:pPr>
                    <w:spacing w:before="120" w:after="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Lhůta pro zpracování posudku: </w:t>
                  </w:r>
                  <w:r w:rsidRPr="00E44157">
                    <w:rPr>
                      <w:rFonts w:ascii="Garamond" w:hAnsi="Garamond"/>
                      <w:b/>
                      <w:sz w:val="20"/>
                      <w:szCs w:val="20"/>
                    </w:rPr>
                    <w:t>60 (+ 20) dnů</w:t>
                  </w:r>
                </w:p>
                <w:p w:rsidR="00E44157" w:rsidRDefault="00E44157" w:rsidP="00E44157">
                  <w:pPr>
                    <w:spacing w:before="120" w:after="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Lhůta pro vyjádření k posudku: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Lhůta pro vydání stanoviska EIA: </w:t>
                  </w:r>
                  <w:r w:rsidRPr="00E44157">
                    <w:rPr>
                      <w:rFonts w:ascii="Garamond" w:hAnsi="Garamond"/>
                      <w:b/>
                      <w:sz w:val="20"/>
                      <w:szCs w:val="20"/>
                    </w:rPr>
                    <w:t>30 dnů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od obdržení posudku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6773B2" w:rsidRDefault="00E44157" w:rsidP="00A72085">
                  <w:pPr>
                    <w:contextualSpacing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pro podání žádosti o stanovení </w:t>
                  </w: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dobývacího prostoru</w:t>
                  </w:r>
                  <w:r w:rsidR="006773B2">
                    <w:rPr>
                      <w:rFonts w:ascii="Garamond" w:hAnsi="Garamond"/>
                      <w:sz w:val="20"/>
                      <w:szCs w:val="20"/>
                    </w:rPr>
                    <w:t>:</w:t>
                  </w:r>
                </w:p>
                <w:p w:rsidR="00E44157" w:rsidRDefault="00E44157" w:rsidP="00A72085">
                  <w:pPr>
                    <w:contextualSpacing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není stanovena</w:t>
                  </w:r>
                </w:p>
                <w:p w:rsidR="00E44157" w:rsidRPr="00E44157" w:rsidRDefault="006773B2" w:rsidP="00A72085">
                  <w:pPr>
                    <w:contextualSpacing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(</w:t>
                  </w:r>
                  <w:r w:rsidR="00E44157">
                    <w:rPr>
                      <w:rFonts w:ascii="Garamond" w:hAnsi="Garamond"/>
                      <w:sz w:val="20"/>
                      <w:szCs w:val="20"/>
                    </w:rPr>
                    <w:t>platnost stanoviska 7 let)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Odvolání mohou podat: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a) účastníci řízení</w:t>
                  </w:r>
                </w:p>
                <w:p w:rsidR="00E44157" w:rsidRPr="00E23347" w:rsidRDefault="00E44157" w:rsidP="00E44157">
                  <w:pPr>
                    <w:spacing w:after="120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14C81">
                    <w:rPr>
                      <w:rFonts w:ascii="Garamond" w:hAnsi="Garamond"/>
                      <w:b/>
                      <w:sz w:val="20"/>
                      <w:szCs w:val="20"/>
                    </w:rPr>
                    <w:t>dotčená veřejnost</w:t>
                  </w:r>
                  <w:r w:rsidR="00014C81" w:rsidRPr="00014C81">
                    <w:rPr>
                      <w:rFonts w:ascii="Garamond" w:hAnsi="Garamond"/>
                      <w:b/>
                      <w:sz w:val="20"/>
                      <w:szCs w:val="20"/>
                    </w:rPr>
                    <w:t>*</w:t>
                  </w:r>
                </w:p>
                <w:p w:rsidR="00E44157" w:rsidRPr="00DA6B9D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 pro podání odvolání:</w:t>
                  </w:r>
                  <w:r w:rsidR="006773B2">
                    <w:rPr>
                      <w:rFonts w:ascii="Garamond" w:hAnsi="Garamond"/>
                      <w:sz w:val="20"/>
                      <w:szCs w:val="20"/>
                    </w:rPr>
                    <w:t xml:space="preserve"> </w:t>
                  </w:r>
                  <w:r w:rsidRPr="00DA6B9D">
                    <w:rPr>
                      <w:rFonts w:ascii="Garamond" w:hAnsi="Garamond"/>
                      <w:b/>
                      <w:sz w:val="20"/>
                      <w:szCs w:val="20"/>
                    </w:rPr>
                    <w:t>15 dnů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Žalobu mohou podat: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a) účastníci řízení</w:t>
                  </w:r>
                </w:p>
                <w:p w:rsidR="00E44157" w:rsidRPr="00E23347" w:rsidRDefault="00E44157" w:rsidP="00E44157">
                  <w:pPr>
                    <w:spacing w:after="120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14C81">
                    <w:rPr>
                      <w:rFonts w:ascii="Garamond" w:hAnsi="Garamond"/>
                      <w:b/>
                      <w:sz w:val="20"/>
                      <w:szCs w:val="20"/>
                    </w:rPr>
                    <w:t>dotčená veřejnost</w:t>
                  </w:r>
                  <w:r w:rsidR="00014C81" w:rsidRPr="00014C81">
                    <w:rPr>
                      <w:rFonts w:ascii="Garamond" w:hAnsi="Garamond"/>
                      <w:b/>
                      <w:sz w:val="20"/>
                      <w:szCs w:val="20"/>
                    </w:rPr>
                    <w:t>*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 pro podání žaloby:</w:t>
                  </w:r>
                </w:p>
                <w:p w:rsidR="00E44157" w:rsidRPr="00DA6B9D" w:rsidRDefault="00E44157" w:rsidP="00DA6B9D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A6B9D">
                    <w:rPr>
                      <w:rFonts w:ascii="Garamond" w:hAnsi="Garamond"/>
                      <w:b/>
                      <w:sz w:val="20"/>
                      <w:szCs w:val="20"/>
                    </w:rPr>
                    <w:t>2 měsíce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52" type="#_x0000_t202" style="position:absolute;left:0;text-align:left;margin-left:372.45pt;margin-top:168.7pt;width:21.45pt;height:144.95pt;z-index:251747328;mso-width-relative:margin;mso-height-relative:margin">
            <v:textbox>
              <w:txbxContent>
                <w:p w:rsidR="00E44157" w:rsidRPr="0045376D" w:rsidRDefault="00E44157" w:rsidP="00474490">
                  <w:pPr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 xml:space="preserve">PROCES    </w:t>
                  </w:r>
                </w:p>
                <w:p w:rsidR="00E44157" w:rsidRPr="00B51CC1" w:rsidRDefault="00E44157" w:rsidP="00474490">
                  <w:pPr>
                    <w:rPr>
                      <w:rFonts w:ascii="Garamond" w:hAnsi="Garamond"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EIA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87" type="#_x0000_t32" style="position:absolute;left:0;text-align:left;margin-left:287.6pt;margin-top:161.25pt;width:0;height:12.65pt;z-index:251712512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88" type="#_x0000_t32" style="position:absolute;left:0;text-align:left;margin-left:287.6pt;margin-top:195.35pt;width:0;height:12.8pt;z-index:251713536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60" type="#_x0000_t202" style="position:absolute;left:0;text-align:left;margin-left:246.35pt;margin-top:210.85pt;width:1in;height:19.7pt;z-index:251684864;mso-width-relative:margin;mso-height-relative:margin" fillcolor="#c2d69b [1942]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Posudek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89" type="#_x0000_t32" style="position:absolute;left:0;text-align:left;margin-left:287.6pt;margin-top:230.8pt;width:0;height:10.85pt;z-index:251714560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59" type="#_x0000_t202" style="position:absolute;left:0;text-align:left;margin-left:246.35pt;margin-top:245.2pt;width:100.65pt;height:21.5pt;z-index:251683840;mso-width-relative:margin;mso-height-relative:margin" fillcolor="#c2d69b [1942]">
            <v:textbox>
              <w:txbxContent>
                <w:p w:rsidR="00E44157" w:rsidRPr="00B51CC1" w:rsidRDefault="00E44157" w:rsidP="00A43180">
                  <w:pPr>
                    <w:tabs>
                      <w:tab w:val="left" w:pos="851"/>
                    </w:tabs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Veřejné projednání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58" type="#_x0000_t202" style="position:absolute;left:0;text-align:left;margin-left:234.45pt;margin-top:277.25pt;width:137.4pt;height:35.5pt;z-index:251746304;mso-height-percent:200;mso-height-percent:200;mso-width-relative:margin;mso-height-relative:margin" fillcolor="#92d050">
            <v:textbox style="mso-fit-shape-to-text:t">
              <w:txbxContent>
                <w:p w:rsidR="00E44157" w:rsidRPr="00AB4971" w:rsidRDefault="00E44157" w:rsidP="00A43180">
                  <w:pPr>
                    <w:spacing w:after="0"/>
                    <w:jc w:val="center"/>
                    <w:rPr>
                      <w:rFonts w:ascii="Garamond" w:hAnsi="Garamond"/>
                      <w:b/>
                    </w:rPr>
                  </w:pPr>
                  <w:r w:rsidRPr="00AB4971">
                    <w:rPr>
                      <w:rFonts w:ascii="Garamond" w:hAnsi="Garamond"/>
                      <w:b/>
                    </w:rPr>
                    <w:t>Stanovisko EIA</w:t>
                  </w:r>
                </w:p>
                <w:p w:rsidR="00E44157" w:rsidRPr="00E74682" w:rsidRDefault="00E44157" w:rsidP="00A43180">
                  <w:pPr>
                    <w:pStyle w:val="Odstavecseseznamem"/>
                    <w:numPr>
                      <w:ilvl w:val="0"/>
                      <w:numId w:val="3"/>
                    </w:numPr>
                    <w:spacing w:after="0"/>
                    <w:ind w:left="284" w:hanging="284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74682">
                    <w:rPr>
                      <w:rFonts w:ascii="Garamond" w:hAnsi="Garamond"/>
                      <w:sz w:val="20"/>
                      <w:szCs w:val="20"/>
                    </w:rPr>
                    <w:t>forma: závazné stanovisko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cs-CZ"/>
        </w:rPr>
        <w:pict>
          <v:shape id="_x0000_s1090" type="#_x0000_t32" style="position:absolute;left:0;text-align:left;margin-left:287.6pt;margin-top:266.7pt;width:0;height:10.55pt;z-index:251715584" o:connectortype="straight">
            <v:stroke endarrow="block"/>
          </v:shape>
        </w:pict>
      </w:r>
      <w:r>
        <w:rPr>
          <w:rFonts w:ascii="Garamond" w:hAnsi="Garamond"/>
          <w:noProof/>
          <w:lang w:eastAsia="cs-CZ"/>
        </w:rPr>
        <w:pict>
          <v:shape id="_x0000_s1061" type="#_x0000_t202" style="position:absolute;left:0;text-align:left;margin-left:234.45pt;margin-top:173.9pt;width:104.3pt;height:21.45pt;z-index:251685888;mso-width-relative:margin;mso-height-relative:margin" fillcolor="#c2d69b [1942]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Dokumentace EIA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9" type="#_x0000_t202" style="position:absolute;left:0;text-align:left;margin-left:234.45pt;margin-top:700pt;width:120.65pt;height:17.95pt;z-index:251703296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žalobě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5" type="#_x0000_t202" style="position:absolute;left:0;text-align:left;margin-left:95.4pt;margin-top:700pt;width:120.65pt;height:17.95pt;z-index:251699200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žalobě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</w:rPr>
        <w:pict>
          <v:shape id="_x0000_s1118" type="#_x0000_t202" style="position:absolute;left:0;text-align:left;margin-left:-63.4pt;margin-top:717.95pt;width:580.1pt;height:36.7pt;z-index:251745280;mso-width-relative:margin;mso-height-relative:margin" stroked="f">
            <v:textbox>
              <w:txbxContent>
                <w:p w:rsidR="00AB7B29" w:rsidRPr="00AB7B29" w:rsidRDefault="00AB7B29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AB7B29">
                    <w:rPr>
                      <w:rFonts w:ascii="Garamond" w:hAnsi="Garamond"/>
                      <w:b/>
                      <w:sz w:val="16"/>
                      <w:szCs w:val="16"/>
                    </w:rPr>
                    <w:t>* dotčená veřejnost</w:t>
                  </w:r>
                  <w:r>
                    <w:rPr>
                      <w:rFonts w:ascii="Garamond" w:hAnsi="Garamond"/>
                      <w:sz w:val="16"/>
                      <w:szCs w:val="16"/>
                    </w:rPr>
                    <w:t xml:space="preserve"> = </w:t>
                  </w:r>
                  <w:r w:rsidRPr="00AB7B29">
                    <w:rPr>
                      <w:rFonts w:ascii="Garamond" w:hAnsi="Garamond"/>
                      <w:sz w:val="16"/>
                      <w:szCs w:val="16"/>
                    </w:rPr>
                    <w:t>právnická osoba soukromého práva, jejímž předmětem činnosti je podle zakladatelského právního jednání ochrana životního prostředí nebo veřejného zdraví, a jejíž hlavní činností není podnikání nebo jiná výdělečná činnost, která vznikla alespoň 3 roky před dnem zveřejnění informací o navazujícím řízení podle § 9b odst. 1, případně před dnem vydání rozhodnutí podle § 7 odst. 6, nebo kterou podporuje svými podpisy nejméně 200 osob,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</w:rPr>
        <w:pict>
          <v:shape id="_x0000_s1080" type="#_x0000_t202" style="position:absolute;left:0;text-align:left;margin-left:-49.65pt;margin-top:100.6pt;width:127.7pt;height:570.5pt;z-index:251705344;mso-width-relative:margin;mso-height-relative:margin" stroked="f">
            <v:textbox>
              <w:txbxContent>
                <w:p w:rsidR="00E44157" w:rsidRPr="00E23347" w:rsidRDefault="00E44157" w:rsidP="00E44157">
                  <w:pPr>
                    <w:contextualSpacing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Lhůta pro </w:t>
                  </w: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 xml:space="preserve">ukončení zjišťovacího řízení: </w:t>
                  </w:r>
                </w:p>
                <w:p w:rsidR="00E44157" w:rsidRP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E44157">
                    <w:rPr>
                      <w:rFonts w:ascii="Garamond" w:hAnsi="Garamond"/>
                      <w:b/>
                      <w:sz w:val="20"/>
                      <w:szCs w:val="20"/>
                    </w:rPr>
                    <w:t>45 dnů (+ 25 dnů)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Odvolání mohou podat: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 xml:space="preserve">a) </w:t>
                  </w:r>
                  <w:r w:rsidRPr="00E44157">
                    <w:rPr>
                      <w:rFonts w:ascii="Garamond" w:hAnsi="Garamond"/>
                      <w:sz w:val="20"/>
                      <w:szCs w:val="20"/>
                    </w:rPr>
                    <w:t>oznamovatel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dotčená veřejnost*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 pro podání odvolání:</w:t>
                  </w:r>
                </w:p>
                <w:p w:rsidR="00E44157" w:rsidRPr="00F22419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22419">
                    <w:rPr>
                      <w:rFonts w:ascii="Garamond" w:hAnsi="Garamond"/>
                      <w:b/>
                      <w:sz w:val="20"/>
                      <w:szCs w:val="20"/>
                    </w:rPr>
                    <w:t>15 dnů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Žalobu mohou podat: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a) oznamovatel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 xml:space="preserve">b) </w:t>
                  </w:r>
                  <w:r w:rsidRPr="00014C81">
                    <w:rPr>
                      <w:rFonts w:ascii="Garamond" w:hAnsi="Garamond"/>
                      <w:b/>
                      <w:sz w:val="20"/>
                      <w:szCs w:val="20"/>
                    </w:rPr>
                    <w:t>dotčená veřejnost</w:t>
                  </w:r>
                  <w:r w:rsidR="00014C81" w:rsidRPr="00014C81">
                    <w:rPr>
                      <w:rFonts w:ascii="Garamond" w:hAnsi="Garamond"/>
                      <w:b/>
                      <w:sz w:val="20"/>
                      <w:szCs w:val="20"/>
                    </w:rPr>
                    <w:t>*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 pro podání žaloby:</w:t>
                  </w:r>
                </w:p>
                <w:p w:rsidR="00E44157" w:rsidRPr="00DA6B9D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A6B9D">
                    <w:rPr>
                      <w:rFonts w:ascii="Garamond" w:hAnsi="Garamond"/>
                      <w:b/>
                      <w:sz w:val="20"/>
                      <w:szCs w:val="20"/>
                    </w:rPr>
                    <w:t>2 měsíce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Pr="00E44157" w:rsidRDefault="00E44157" w:rsidP="00E44157">
                  <w:pPr>
                    <w:contextualSpacing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Lhůta pro podání žádosti o </w:t>
                  </w: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stanovení dobývacího prostoru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není stanovena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Odvolání mohou podat:</w:t>
                  </w:r>
                </w:p>
                <w:p w:rsidR="00E44157" w:rsidRPr="00E23347" w:rsidRDefault="00E44157" w:rsidP="00E44157">
                  <w:pPr>
                    <w:spacing w:after="120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účastníci řízení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 pro podání odvolání:</w:t>
                  </w:r>
                </w:p>
                <w:p w:rsidR="00E44157" w:rsidRPr="00DA6B9D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A6B9D">
                    <w:rPr>
                      <w:rFonts w:ascii="Garamond" w:hAnsi="Garamond"/>
                      <w:b/>
                      <w:sz w:val="20"/>
                      <w:szCs w:val="20"/>
                    </w:rPr>
                    <w:t>15 dnů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Žalobu mohou podat:</w:t>
                  </w:r>
                </w:p>
                <w:p w:rsidR="00E44157" w:rsidRPr="00E23347" w:rsidRDefault="00E44157" w:rsidP="00E44157">
                  <w:pPr>
                    <w:spacing w:after="120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účastníci řízení</w:t>
                  </w:r>
                </w:p>
                <w:p w:rsidR="00E4415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23347">
                    <w:rPr>
                      <w:rFonts w:ascii="Garamond" w:hAnsi="Garamond"/>
                      <w:sz w:val="20"/>
                      <w:szCs w:val="20"/>
                    </w:rPr>
                    <w:t>Lhůta pro podání žaloby:</w:t>
                  </w:r>
                </w:p>
                <w:p w:rsidR="00E44157" w:rsidRPr="00DA6B9D" w:rsidRDefault="00E44157" w:rsidP="00DA6B9D">
                  <w:pPr>
                    <w:contextualSpacing/>
                    <w:jc w:val="both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DA6B9D">
                    <w:rPr>
                      <w:rFonts w:ascii="Garamond" w:hAnsi="Garamond"/>
                      <w:b/>
                      <w:sz w:val="20"/>
                      <w:szCs w:val="20"/>
                    </w:rPr>
                    <w:t>2 měsíce</w:t>
                  </w:r>
                </w:p>
                <w:p w:rsidR="00E44157" w:rsidRPr="00E23347" w:rsidRDefault="00E44157" w:rsidP="00E23347">
                  <w:pPr>
                    <w:contextualSpacing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7" type="#_x0000_t32" style="position:absolute;left:0;text-align:left;margin-left:232.35pt;margin-top:473.8pt;width:14pt;height:78.4pt;flip:x;z-index:251743232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6" type="#_x0000_t32" style="position:absolute;left:0;text-align:left;margin-left:209.25pt;margin-top:473.8pt;width:6.8pt;height:78.4pt;z-index:251742208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5" type="#_x0000_t32" style="position:absolute;left:0;text-align:left;margin-left:226.25pt;margin-top:576.4pt;width:0;height:8.05pt;z-index:251741184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4" type="#_x0000_t32" style="position:absolute;left:0;text-align:left;margin-left:301.1pt;margin-top:695.25pt;width:3.65pt;height:4.75pt;z-index:251740160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3" type="#_x0000_t32" style="position:absolute;left:0;text-align:left;margin-left:146.5pt;margin-top:695.25pt;width:0;height:4.75pt;z-index:251739136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2" type="#_x0000_t32" style="position:absolute;left:0;text-align:left;margin-left:299.8pt;margin-top:665.65pt;width:.65pt;height:13.15pt;z-index:251738112" o:connectortype="straight">
            <v:stroke dashstyle="dashDot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1" type="#_x0000_t32" style="position:absolute;left:0;text-align:left;margin-left:145.2pt;margin-top:662.15pt;width:.65pt;height:13.3pt;z-index:251737088" o:connectortype="straight">
            <v:stroke dashstyle="dashDot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10" type="#_x0000_t32" style="position:absolute;left:0;text-align:left;margin-left:288.25pt;margin-top:475.15pt;width:.65pt;height:13.15pt;z-index:251736064" o:connectortype="straight">
            <v:stroke dashstyle="dashDot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9" type="#_x0000_t32" style="position:absolute;left:0;text-align:left;margin-left:149.3pt;margin-top:473.8pt;width:.65pt;height:14.5pt;z-index:251735040" o:connectortype="straight">
            <v:stroke dashstyle="dashDot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8" type="#_x0000_t32" style="position:absolute;left:0;text-align:left;margin-left:300.45pt;margin-top:604.5pt;width:.65pt;height:12.65pt;z-index:251734016" o:connectortype="straight">
            <v:stroke dashstyle="1 1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7" type="#_x0000_t32" style="position:absolute;left:0;text-align:left;margin-left:149.95pt;margin-top:607.65pt;width:.65pt;height:12.65pt;z-index:251732992" o:connectortype="straight">
            <v:stroke dashstyle="1 1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6" type="#_x0000_t32" style="position:absolute;left:0;text-align:left;margin-left:287.6pt;margin-top:414.6pt;width:.65pt;height:12.65pt;z-index:251731968" o:connectortype="straight">
            <v:stroke dashstyle="1 1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5" type="#_x0000_t32" style="position:absolute;left:0;text-align:left;margin-left:146.5pt;margin-top:414.6pt;width:.65pt;height:12.65pt;z-index:251730944" o:connectortype="straight">
            <v:stroke dashstyle="1 1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4" type="#_x0000_t32" style="position:absolute;left:0;text-align:left;margin-left:150.6pt;margin-top:506.95pt;width:.65pt;height:6.85pt;z-index:251729920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3" type="#_x0000_t32" style="position:absolute;left:0;text-align:left;margin-left:289.5pt;margin-top:506.95pt;width:0;height:6.85pt;z-index:251728896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2" type="#_x0000_t32" style="position:absolute;left:0;text-align:left;margin-left:288.25pt;margin-top:447.05pt;width:0;height:8.7pt;z-index:251727872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1" type="#_x0000_t32" style="position:absolute;left:0;text-align:left;margin-left:146.5pt;margin-top:447.05pt;width:0;height:5.3pt;z-index:251726848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100" type="#_x0000_t32" style="position:absolute;left:0;text-align:left;margin-left:222.6pt;margin-top:415pt;width:0;height:141pt;z-index:251725824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51" type="#_x0000_t202" style="position:absolute;left:0;text-align:left;margin-left:132.6pt;margin-top:556pt;width:193.35pt;height:20.4pt;z-index:251675648;mso-width-relative:margin;mso-height-relative:margin" fillcolor="#e36c0a [2409]">
            <v:textbox>
              <w:txbxContent>
                <w:p w:rsidR="00E44157" w:rsidRPr="0045376D" w:rsidRDefault="00E44157" w:rsidP="00474490">
                  <w:pPr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Řízení o povolení hornické činnosti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96" type="#_x0000_t32" style="position:absolute;left:0;text-align:left;margin-left:145.85pt;margin-top:277.25pt;width:.65pt;height:7.25pt;z-index:251721728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95" type="#_x0000_t32" style="position:absolute;left:0;text-align:left;margin-left:145.85pt;margin-top:232.3pt;width:.65pt;height:25.15pt;z-index:251720704" o:connectortype="straight">
            <v:stroke dashstyle="dashDot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94" type="#_x0000_t32" style="position:absolute;left:0;text-align:left;margin-left:139.05pt;margin-top:193.7pt;width:.65pt;height:21.6pt;z-index:251719680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93" type="#_x0000_t32" style="position:absolute;left:0;text-align:left;margin-left:139.05pt;margin-top:161.25pt;width:.65pt;height:12.65pt;z-index:251718656" o:connectortype="straight">
            <v:stroke dashstyle="1 1"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84" type="#_x0000_t32" style="position:absolute;left:0;text-align:left;margin-left:234.45pt;margin-top:84.2pt;width:70.3pt;height:12.9pt;z-index:251709440" o:connectortype="straight">
            <v:stroke endarrow="block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83" type="#_x0000_t32" style="position:absolute;left:0;text-align:left;margin-left:157.75pt;margin-top:84.2pt;width:32.9pt;height:16.4pt;flip:x;z-index:251708416" o:connectortype="straight">
            <v:stroke endarrow="block"/>
          </v:shape>
        </w:pict>
      </w:r>
      <w:r w:rsidR="00B5201C">
        <w:rPr>
          <w:rFonts w:ascii="Garamond" w:hAnsi="Garamond"/>
          <w:noProof/>
        </w:rPr>
        <w:pict>
          <v:shape id="_x0000_s1045" type="#_x0000_t202" style="position:absolute;left:0;text-align:left;margin-left:226.25pt;margin-top:97.1pt;width:154.55pt;height:64.15pt;z-index:251668480;mso-width-relative:margin;mso-height-relative:margin" fillcolor="#92d050">
            <v:textbox>
              <w:txbxContent>
                <w:p w:rsidR="00E44157" w:rsidRPr="00B51CC1" w:rsidRDefault="00E44157" w:rsidP="00A43180">
                  <w:pPr>
                    <w:tabs>
                      <w:tab w:val="left" w:pos="2268"/>
                    </w:tabs>
                    <w:spacing w:after="0"/>
                    <w:jc w:val="center"/>
                    <w:rPr>
                      <w:rFonts w:ascii="Garamond" w:hAnsi="Garamond"/>
                    </w:rPr>
                  </w:pPr>
                  <w:r w:rsidRPr="00A43180">
                    <w:rPr>
                      <w:rFonts w:ascii="Garamond" w:hAnsi="Garamond"/>
                      <w:b/>
                    </w:rPr>
                    <w:t>Pozitivní</w:t>
                  </w:r>
                  <w:r w:rsidRPr="00B51CC1">
                    <w:rPr>
                      <w:rFonts w:ascii="Garamond" w:hAnsi="Garamond"/>
                    </w:rPr>
                    <w:t xml:space="preserve"> závěr zjišťovacího řízení (záměr podléhá procesu EIA)</w:t>
                  </w:r>
                </w:p>
                <w:p w:rsidR="00E44157" w:rsidRPr="00E74682" w:rsidRDefault="00E44157" w:rsidP="00A43180">
                  <w:pPr>
                    <w:pStyle w:val="Odstavecseseznamem"/>
                    <w:numPr>
                      <w:ilvl w:val="0"/>
                      <w:numId w:val="2"/>
                    </w:numPr>
                    <w:tabs>
                      <w:tab w:val="left" w:pos="2268"/>
                    </w:tabs>
                    <w:ind w:left="284" w:hanging="284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74682">
                    <w:rPr>
                      <w:rFonts w:ascii="Garamond" w:hAnsi="Garamond"/>
                      <w:sz w:val="20"/>
                      <w:szCs w:val="20"/>
                    </w:rPr>
                    <w:t>forma: úkon dle části IV. SŘ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</w:rPr>
        <w:pict>
          <v:shape id="_x0000_s1032" type="#_x0000_t202" style="position:absolute;left:0;text-align:left;margin-left:78.05pt;margin-top:100.6pt;width:131.2pt;height:60.65pt;z-index:251666432;mso-width-relative:margin;mso-height-relative:margin" fillcolor="#ffc000">
            <v:textbox>
              <w:txbxContent>
                <w:p w:rsidR="00E44157" w:rsidRPr="00B51CC1" w:rsidRDefault="00E44157" w:rsidP="00A43180">
                  <w:pPr>
                    <w:spacing w:after="0"/>
                    <w:jc w:val="center"/>
                    <w:rPr>
                      <w:rFonts w:ascii="Garamond" w:hAnsi="Garamond"/>
                    </w:rPr>
                  </w:pPr>
                  <w:r w:rsidRPr="00A43180">
                    <w:rPr>
                      <w:rFonts w:ascii="Garamond" w:hAnsi="Garamond"/>
                      <w:b/>
                    </w:rPr>
                    <w:t>Negativní</w:t>
                  </w:r>
                  <w:r w:rsidRPr="00B51CC1">
                    <w:rPr>
                      <w:rFonts w:ascii="Garamond" w:hAnsi="Garamond"/>
                    </w:rPr>
                    <w:t xml:space="preserve"> závěr zjišťovacího řízení (záměr nepodléhá procesu EIA)</w:t>
                  </w:r>
                </w:p>
                <w:p w:rsidR="00E44157" w:rsidRPr="00E74682" w:rsidRDefault="00E44157" w:rsidP="00A4318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E74682">
                    <w:rPr>
                      <w:rFonts w:ascii="Garamond" w:hAnsi="Garamond"/>
                      <w:sz w:val="20"/>
                      <w:szCs w:val="20"/>
                    </w:rPr>
                    <w:t>forma rozhodnutí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4" type="#_x0000_t202" style="position:absolute;left:0;text-align:left;margin-left:85.6pt;margin-top:210.85pt;width:120.65pt;height:21.45pt;z-index:251698176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5" type="#_x0000_t202" style="position:absolute;left:0;text-align:left;margin-left:108.1pt;margin-top:173.9pt;width:72.15pt;height:19.8pt;z-index:251689984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9" type="#_x0000_t202" style="position:absolute;left:0;text-align:left;margin-left:108.1pt;margin-top:257.45pt;width:71.85pt;height:19.8pt;z-index:251694080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Žaloba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8" type="#_x0000_t202" style="position:absolute;left:0;text-align:left;margin-left:85.6pt;margin-top:284.5pt;width:120.65pt;height:21.45pt;z-index:251702272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žalobě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7" type="#_x0000_t202" style="position:absolute;left:0;text-align:left;margin-left:268.05pt;margin-top:675.45pt;width:71.85pt;height:19.8pt;z-index:251692032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Žaloba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8" type="#_x0000_t202" style="position:absolute;left:0;text-align:left;margin-left:111.85pt;margin-top:675.45pt;width:71.85pt;height:19.8pt;z-index:251693056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Žaloba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53" type="#_x0000_t202" style="position:absolute;left:0;text-align:left;margin-left:233.7pt;margin-top:644.2pt;width:120.65pt;height:21.45pt;z-index:251677696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1" type="#_x0000_t202" style="position:absolute;left:0;text-align:left;margin-left:95.4pt;margin-top:644.2pt;width:120.65pt;height:21.45pt;z-index:251695104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2" type="#_x0000_t202" style="position:absolute;left:0;text-align:left;margin-left:267.75pt;margin-top:617.15pt;width:72.15pt;height:19.8pt;z-index:251686912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3" type="#_x0000_t202" style="position:absolute;left:0;text-align:left;margin-left:107.7pt;margin-top:617.15pt;width:72.15pt;height:19.8pt;z-index:251687936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50" type="#_x0000_t202" style="position:absolute;left:0;text-align:left;margin-left:118.4pt;margin-top:584.45pt;width:211.95pt;height:23.2pt;z-index:251674624;mso-width-relative:margin;mso-height-relative:margin" fillcolor="#fabf8f [1945]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povolení hornické činnosti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6" type="#_x0000_t202" style="position:absolute;left:0;text-align:left;margin-left:234.45pt;margin-top:513.8pt;width:120.65pt;height:21.45pt;z-index:251700224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žalobě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7" type="#_x0000_t202" style="position:absolute;left:0;text-align:left;margin-left:89.05pt;margin-top:513.8pt;width:120.65pt;height:21.45pt;z-index:251701248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žalobě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54" type="#_x0000_t202" style="position:absolute;left:0;text-align:left;margin-left:118.8pt;margin-top:487.15pt;width:71.85pt;height:19.8pt;z-index:251678720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Žaloba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6" type="#_x0000_t202" style="position:absolute;left:0;text-align:left;margin-left:258.5pt;margin-top:487.15pt;width:71.85pt;height:19.8pt;z-index:251691008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Žaloba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2" type="#_x0000_t202" style="position:absolute;left:0;text-align:left;margin-left:233.7pt;margin-top:452.35pt;width:120.65pt;height:21.45pt;z-index:251696128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73" type="#_x0000_t202" style="position:absolute;left:0;text-align:left;margin-left:89.05pt;margin-top:452.35pt;width:120.65pt;height:21.45pt;z-index:251697152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Rozhodnutí o 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64" type="#_x0000_t202" style="position:absolute;left:0;text-align:left;margin-left:115.55pt;margin-top:427.25pt;width:72.15pt;height:19.8pt;z-index:251688960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55" type="#_x0000_t202" style="position:absolute;left:0;text-align:left;margin-left:253.8pt;margin-top:427.25pt;width:72.15pt;height:19.8pt;z-index:251679744;mso-width-relative:margin;mso-height-relative:margin">
            <v:textbox>
              <w:txbxContent>
                <w:p w:rsidR="00E44157" w:rsidRPr="00B51CC1" w:rsidRDefault="00E44157" w:rsidP="00A43180">
                  <w:pPr>
                    <w:jc w:val="center"/>
                    <w:rPr>
                      <w:rFonts w:ascii="Garamond" w:hAnsi="Garamond"/>
                    </w:rPr>
                  </w:pPr>
                  <w:r w:rsidRPr="00B51CC1">
                    <w:rPr>
                      <w:rFonts w:ascii="Garamond" w:hAnsi="Garamond"/>
                    </w:rPr>
                    <w:t>Odvolání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31" type="#_x0000_t202" style="position:absolute;left:0;text-align:left;margin-left:157.75pt;margin-top:61.8pt;width:105.6pt;height:22.4pt;z-index:251664384;mso-width-relative:margin;mso-height-relative:margin">
            <v:textbox>
              <w:txbxContent>
                <w:p w:rsidR="00E44157" w:rsidRPr="0045376D" w:rsidRDefault="00E44157" w:rsidP="00A43180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Zjišťovací řízení</w:t>
                  </w:r>
                </w:p>
              </w:txbxContent>
            </v:textbox>
            <w10:wrap type="topAndBottom"/>
          </v:shape>
        </w:pict>
      </w:r>
      <w:r w:rsidR="00B5201C">
        <w:rPr>
          <w:rFonts w:ascii="Garamond" w:hAnsi="Garamond"/>
          <w:noProof/>
          <w:lang w:eastAsia="cs-CZ"/>
        </w:rPr>
        <w:pict>
          <v:shape id="_x0000_s1029" type="#_x0000_t202" style="position:absolute;left:0;text-align:left;margin-left:289.5pt;margin-top:5.6pt;width:178.85pt;height:52.75pt;z-index:251661312;mso-width-relative:margin;mso-height-relative:margin">
            <v:textbox style="mso-next-textbox:#_x0000_s1029">
              <w:txbxContent>
                <w:p w:rsidR="00E44157" w:rsidRPr="0045376D" w:rsidRDefault="00E44157" w:rsidP="00A43180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ZÁMĚRY PODLEHÁJÍCÍ PROCESU EIA</w:t>
                  </w:r>
                </w:p>
              </w:txbxContent>
            </v:textbox>
          </v:shape>
        </w:pict>
      </w:r>
      <w:r w:rsidR="00B5201C">
        <w:rPr>
          <w:rFonts w:ascii="Garamond" w:hAnsi="Garamond"/>
          <w:noProof/>
        </w:rPr>
        <w:pict>
          <v:shape id="_x0000_s1028" type="#_x0000_t202" style="position:absolute;left:0;text-align:left;margin-left:-47.4pt;margin-top:5.6pt;width:178.45pt;height:52.75pt;z-index:251660288;mso-width-relative:margin;mso-height-relative:margin">
            <v:textbox>
              <w:txbxContent>
                <w:p w:rsidR="00E44157" w:rsidRPr="0045376D" w:rsidRDefault="00E44157" w:rsidP="00A43180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45376D">
                    <w:rPr>
                      <w:rFonts w:ascii="Garamond" w:hAnsi="Garamond"/>
                      <w:b/>
                    </w:rPr>
                    <w:t>ZÁMĚRY, U NICHŽ SE NEPROVÁDÍ PROCES EIA</w:t>
                  </w:r>
                </w:p>
              </w:txbxContent>
            </v:textbox>
            <w10:wrap type="topAndBottom"/>
          </v:shape>
        </w:pict>
      </w:r>
    </w:p>
    <w:sectPr w:rsidR="008D528A" w:rsidRPr="00B51CC1" w:rsidSect="00A431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7BD7"/>
    <w:multiLevelType w:val="hybridMultilevel"/>
    <w:tmpl w:val="95B249A2"/>
    <w:lvl w:ilvl="0" w:tplc="9D24EB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23B92"/>
    <w:multiLevelType w:val="hybridMultilevel"/>
    <w:tmpl w:val="BF0472C6"/>
    <w:lvl w:ilvl="0" w:tplc="8CB0C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903B2"/>
    <w:multiLevelType w:val="hybridMultilevel"/>
    <w:tmpl w:val="675485E6"/>
    <w:lvl w:ilvl="0" w:tplc="979A61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00FF"/>
    <w:rsid w:val="00014C81"/>
    <w:rsid w:val="00041DEB"/>
    <w:rsid w:val="000A398A"/>
    <w:rsid w:val="001F1091"/>
    <w:rsid w:val="0025078E"/>
    <w:rsid w:val="00273E45"/>
    <w:rsid w:val="00295B9B"/>
    <w:rsid w:val="002F2F8E"/>
    <w:rsid w:val="0045376D"/>
    <w:rsid w:val="00474490"/>
    <w:rsid w:val="00512AEE"/>
    <w:rsid w:val="005449BC"/>
    <w:rsid w:val="00575B7A"/>
    <w:rsid w:val="005935E9"/>
    <w:rsid w:val="005D5C75"/>
    <w:rsid w:val="006773B2"/>
    <w:rsid w:val="007B1ECF"/>
    <w:rsid w:val="008B51EC"/>
    <w:rsid w:val="008D528A"/>
    <w:rsid w:val="00A43180"/>
    <w:rsid w:val="00A72085"/>
    <w:rsid w:val="00A834AA"/>
    <w:rsid w:val="00AA3422"/>
    <w:rsid w:val="00AB4971"/>
    <w:rsid w:val="00AB7B29"/>
    <w:rsid w:val="00AC5738"/>
    <w:rsid w:val="00B0669D"/>
    <w:rsid w:val="00B51CC1"/>
    <w:rsid w:val="00B5201C"/>
    <w:rsid w:val="00B8171E"/>
    <w:rsid w:val="00BE00FF"/>
    <w:rsid w:val="00C14B2C"/>
    <w:rsid w:val="00DA6B9D"/>
    <w:rsid w:val="00E23347"/>
    <w:rsid w:val="00E44157"/>
    <w:rsid w:val="00E74682"/>
    <w:rsid w:val="00F22419"/>
    <w:rsid w:val="00F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o:colormenu v:ext="edit" fillcolor="#ffc000" strokecolor="none"/>
    </o:shapedefaults>
    <o:shapelayout v:ext="edit">
      <o:idmap v:ext="edit" data="1"/>
      <o:rules v:ext="edit">
        <o:r id="V:Rule35" type="connector" idref="#_x0000_s1108"/>
        <o:r id="V:Rule36" type="connector" idref="#_x0000_s1109"/>
        <o:r id="V:Rule37" type="connector" idref="#_x0000_s1115"/>
        <o:r id="V:Rule38" type="connector" idref="#_x0000_s1097"/>
        <o:r id="V:Rule39" type="connector" idref="#_x0000_s1111"/>
        <o:r id="V:Rule40" type="connector" idref="#_x0000_s1116"/>
        <o:r id="V:Rule41" type="connector" idref="#_x0000_s1096"/>
        <o:r id="V:Rule42" type="connector" idref="#_x0000_s1082"/>
        <o:r id="V:Rule43" type="connector" idref="#_x0000_s1110"/>
        <o:r id="V:Rule44" type="connector" idref="#_x0000_s1098"/>
        <o:r id="V:Rule45" type="connector" idref="#_x0000_s1090"/>
        <o:r id="V:Rule46" type="connector" idref="#_x0000_s1084"/>
        <o:r id="V:Rule47" type="connector" idref="#_x0000_s1095"/>
        <o:r id="V:Rule48" type="connector" idref="#_x0000_s1113"/>
        <o:r id="V:Rule49" type="connector" idref="#_x0000_s1107"/>
        <o:r id="V:Rule50" type="connector" idref="#_x0000_s1083"/>
        <o:r id="V:Rule51" type="connector" idref="#_x0000_s1112"/>
        <o:r id="V:Rule52" type="connector" idref="#_x0000_s1106"/>
        <o:r id="V:Rule53" type="connector" idref="#_x0000_s1099"/>
        <o:r id="V:Rule54" type="connector" idref="#_x0000_s1117"/>
        <o:r id="V:Rule55" type="connector" idref="#_x0000_s1102"/>
        <o:r id="V:Rule56" type="connector" idref="#_x0000_s1091"/>
        <o:r id="V:Rule57" type="connector" idref="#_x0000_s1092"/>
        <o:r id="V:Rule58" type="connector" idref="#_x0000_s1101"/>
        <o:r id="V:Rule59" type="connector" idref="#_x0000_s1087"/>
        <o:r id="V:Rule60" type="connector" idref="#_x0000_s1114"/>
        <o:r id="V:Rule61" type="connector" idref="#_x0000_s1094"/>
        <o:r id="V:Rule62" type="connector" idref="#_x0000_s1089"/>
        <o:r id="V:Rule63" type="connector" idref="#_x0000_s1103"/>
        <o:r id="V:Rule64" type="connector" idref="#_x0000_s1088"/>
        <o:r id="V:Rule65" type="connector" idref="#_x0000_s1100"/>
        <o:r id="V:Rule66" type="connector" idref="#_x0000_s1104"/>
        <o:r id="V:Rule67" type="connector" idref="#_x0000_s1093"/>
        <o:r id="V:Rule68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A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0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5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weissovam</dc:creator>
  <cp:lastModifiedBy>weissovam</cp:lastModifiedBy>
  <cp:revision>16</cp:revision>
  <cp:lastPrinted>2018-09-24T11:44:00Z</cp:lastPrinted>
  <dcterms:created xsi:type="dcterms:W3CDTF">2018-09-24T07:02:00Z</dcterms:created>
  <dcterms:modified xsi:type="dcterms:W3CDTF">2018-09-24T12:25:00Z</dcterms:modified>
</cp:coreProperties>
</file>