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5A" w:rsidRPr="00B94D2A" w:rsidRDefault="00E14B5A" w:rsidP="00E14B5A">
      <w:pPr>
        <w:spacing w:after="120" w:line="240" w:lineRule="auto"/>
        <w:jc w:val="both"/>
        <w:rPr>
          <w:b/>
          <w:i/>
          <w:sz w:val="20"/>
          <w:szCs w:val="20"/>
        </w:rPr>
      </w:pPr>
      <w:r w:rsidRPr="00B94D2A">
        <w:rPr>
          <w:b/>
          <w:i/>
          <w:sz w:val="20"/>
          <w:szCs w:val="20"/>
        </w:rPr>
        <w:t xml:space="preserve">Přiřaďte </w:t>
      </w:r>
      <w:r w:rsidR="00B94D2A" w:rsidRPr="00B94D2A">
        <w:rPr>
          <w:b/>
          <w:i/>
          <w:sz w:val="20"/>
          <w:szCs w:val="20"/>
        </w:rPr>
        <w:t xml:space="preserve">texty </w:t>
      </w:r>
      <w:r w:rsidRPr="00B94D2A">
        <w:rPr>
          <w:b/>
          <w:i/>
          <w:sz w:val="20"/>
          <w:szCs w:val="20"/>
        </w:rPr>
        <w:t xml:space="preserve">k následujícím </w:t>
      </w:r>
      <w:r w:rsidR="00B94D2A" w:rsidRPr="00B94D2A">
        <w:rPr>
          <w:b/>
          <w:i/>
          <w:sz w:val="20"/>
          <w:szCs w:val="20"/>
        </w:rPr>
        <w:t>pramenům (pozn. prameny i fragmenty seřazeny abecedně, k jednomu z pramenů text není).</w:t>
      </w:r>
    </w:p>
    <w:p w:rsidR="00E14B5A" w:rsidRPr="00B94D2A" w:rsidRDefault="00E14B5A" w:rsidP="00A82E42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sz w:val="24"/>
          <w:szCs w:val="24"/>
        </w:rPr>
      </w:pPr>
      <w:r w:rsidRPr="00B94D2A">
        <w:rPr>
          <w:sz w:val="24"/>
          <w:szCs w:val="24"/>
        </w:rPr>
        <w:t>ABGB</w:t>
      </w:r>
    </w:p>
    <w:p w:rsidR="00E14B5A" w:rsidRPr="00B94D2A" w:rsidRDefault="00E14B5A" w:rsidP="00A82E42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B94D2A">
        <w:rPr>
          <w:rFonts w:ascii="Times New Roman" w:hAnsi="Times New Roman"/>
          <w:iCs/>
          <w:sz w:val="24"/>
          <w:szCs w:val="24"/>
        </w:rPr>
        <w:t>Codex</w:t>
      </w:r>
      <w:proofErr w:type="spellEnd"/>
      <w:r w:rsidRPr="00B94D2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4D2A">
        <w:rPr>
          <w:rFonts w:ascii="Times New Roman" w:hAnsi="Times New Roman"/>
          <w:iCs/>
          <w:sz w:val="24"/>
          <w:szCs w:val="24"/>
        </w:rPr>
        <w:t>Theresianus</w:t>
      </w:r>
      <w:proofErr w:type="spellEnd"/>
    </w:p>
    <w:p w:rsidR="00E14B5A" w:rsidRPr="00B94D2A" w:rsidRDefault="00E14B5A" w:rsidP="00A82E42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4D2A">
        <w:rPr>
          <w:rFonts w:ascii="Times New Roman" w:hAnsi="Times New Roman"/>
          <w:sz w:val="24"/>
          <w:szCs w:val="24"/>
        </w:rPr>
        <w:t>Gaiova</w:t>
      </w:r>
      <w:proofErr w:type="spellEnd"/>
      <w:r w:rsidRPr="00B94D2A">
        <w:rPr>
          <w:rFonts w:ascii="Times New Roman" w:hAnsi="Times New Roman"/>
          <w:sz w:val="24"/>
          <w:szCs w:val="24"/>
        </w:rPr>
        <w:t xml:space="preserve"> učebnice</w:t>
      </w:r>
    </w:p>
    <w:p w:rsidR="00E14B5A" w:rsidRPr="00B94D2A" w:rsidRDefault="00E14B5A" w:rsidP="00A82E42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94D2A">
        <w:rPr>
          <w:rFonts w:ascii="Times New Roman" w:hAnsi="Times New Roman"/>
          <w:sz w:val="24"/>
          <w:szCs w:val="24"/>
        </w:rPr>
        <w:t>NOZ</w:t>
      </w:r>
    </w:p>
    <w:p w:rsidR="00E14B5A" w:rsidRPr="00B94D2A" w:rsidRDefault="00E14B5A" w:rsidP="00A82E42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94D2A">
        <w:rPr>
          <w:rFonts w:ascii="Times New Roman" w:hAnsi="Times New Roman"/>
          <w:sz w:val="24"/>
          <w:szCs w:val="24"/>
        </w:rPr>
        <w:t xml:space="preserve">Osnova </w:t>
      </w:r>
      <w:proofErr w:type="spellStart"/>
      <w:r w:rsidRPr="00B94D2A">
        <w:rPr>
          <w:rFonts w:ascii="Times New Roman" w:hAnsi="Times New Roman"/>
          <w:sz w:val="24"/>
          <w:szCs w:val="24"/>
        </w:rPr>
        <w:t>Hortenova</w:t>
      </w:r>
      <w:proofErr w:type="spellEnd"/>
    </w:p>
    <w:p w:rsidR="00E14B5A" w:rsidRPr="00B94D2A" w:rsidRDefault="00E14B5A" w:rsidP="00A82E42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94D2A">
        <w:rPr>
          <w:rFonts w:ascii="Times New Roman" w:hAnsi="Times New Roman"/>
          <w:iCs/>
          <w:sz w:val="24"/>
          <w:szCs w:val="24"/>
        </w:rPr>
        <w:t xml:space="preserve">Osnova </w:t>
      </w:r>
      <w:proofErr w:type="spellStart"/>
      <w:r w:rsidRPr="00B94D2A">
        <w:rPr>
          <w:rFonts w:ascii="Times New Roman" w:hAnsi="Times New Roman"/>
          <w:iCs/>
          <w:sz w:val="24"/>
          <w:szCs w:val="24"/>
        </w:rPr>
        <w:t>Martiniho</w:t>
      </w:r>
      <w:proofErr w:type="spellEnd"/>
    </w:p>
    <w:p w:rsidR="00E14B5A" w:rsidRPr="00B94D2A" w:rsidRDefault="00E14B5A" w:rsidP="00A82E42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94D2A">
        <w:rPr>
          <w:rFonts w:ascii="Times New Roman" w:hAnsi="Times New Roman"/>
          <w:sz w:val="24"/>
          <w:szCs w:val="24"/>
        </w:rPr>
        <w:t>OZ 1964</w:t>
      </w:r>
    </w:p>
    <w:p w:rsidR="00E14B5A" w:rsidRPr="00B94D2A" w:rsidRDefault="00E14B5A" w:rsidP="00A82E42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94D2A">
        <w:rPr>
          <w:rFonts w:ascii="Times New Roman" w:hAnsi="Times New Roman"/>
          <w:sz w:val="24"/>
          <w:szCs w:val="24"/>
        </w:rPr>
        <w:t>Střední kodex</w:t>
      </w:r>
    </w:p>
    <w:p w:rsidR="00E14B5A" w:rsidRDefault="00E14B5A" w:rsidP="00A82E42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4D2A">
        <w:rPr>
          <w:rFonts w:ascii="Times New Roman" w:hAnsi="Times New Roman"/>
          <w:sz w:val="24"/>
          <w:szCs w:val="24"/>
        </w:rPr>
        <w:t>Západohaličský</w:t>
      </w:r>
      <w:proofErr w:type="spellEnd"/>
      <w:r w:rsidRPr="00B94D2A">
        <w:rPr>
          <w:rFonts w:ascii="Times New Roman" w:hAnsi="Times New Roman"/>
          <w:sz w:val="24"/>
          <w:szCs w:val="24"/>
        </w:rPr>
        <w:t xml:space="preserve"> zákoník</w:t>
      </w:r>
      <w:bookmarkStart w:id="0" w:name="_GoBack"/>
      <w:bookmarkEnd w:id="0"/>
    </w:p>
    <w:p w:rsidR="00B94D2A" w:rsidRPr="00B94D2A" w:rsidRDefault="00B94D2A" w:rsidP="00B94D2A">
      <w:pPr>
        <w:pStyle w:val="Odstavecseseznamem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14B5A" w:rsidRPr="00B94D2A" w:rsidRDefault="00E14B5A" w:rsidP="00B94D2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B94D2A">
        <w:rPr>
          <w:rFonts w:ascii="Times New Roman" w:hAnsi="Times New Roman"/>
          <w:i/>
          <w:iCs/>
          <w:sz w:val="24"/>
          <w:szCs w:val="24"/>
        </w:rPr>
        <w:t xml:space="preserve">Byla-li někomu zůstavena peněžitá částka nebo jiná movitá věc jako odkaz, </w:t>
      </w:r>
      <w:r w:rsidRPr="00B94D2A">
        <w:rPr>
          <w:rFonts w:ascii="Times New Roman" w:hAnsi="Times New Roman"/>
          <w:bCs/>
          <w:i/>
          <w:iCs/>
          <w:sz w:val="24"/>
          <w:szCs w:val="24"/>
        </w:rPr>
        <w:t>platí o odkazu</w:t>
      </w:r>
      <w:r w:rsidRPr="00B94D2A">
        <w:rPr>
          <w:rFonts w:ascii="Times New Roman" w:hAnsi="Times New Roman"/>
          <w:i/>
          <w:iCs/>
          <w:sz w:val="24"/>
          <w:szCs w:val="24"/>
        </w:rPr>
        <w:t xml:space="preserve"> a o </w:t>
      </w:r>
      <w:proofErr w:type="spellStart"/>
      <w:r w:rsidRPr="00B94D2A">
        <w:rPr>
          <w:rFonts w:ascii="Times New Roman" w:hAnsi="Times New Roman"/>
          <w:i/>
          <w:iCs/>
          <w:sz w:val="24"/>
          <w:szCs w:val="24"/>
        </w:rPr>
        <w:t>odkazovníkovi</w:t>
      </w:r>
      <w:proofErr w:type="spellEnd"/>
      <w:r w:rsidRPr="00B94D2A">
        <w:rPr>
          <w:rFonts w:ascii="Times New Roman" w:hAnsi="Times New Roman"/>
          <w:i/>
          <w:iCs/>
          <w:sz w:val="24"/>
          <w:szCs w:val="24"/>
        </w:rPr>
        <w:t xml:space="preserve"> přiměřeně </w:t>
      </w:r>
      <w:r w:rsidRPr="00B94D2A">
        <w:rPr>
          <w:rFonts w:ascii="Times New Roman" w:hAnsi="Times New Roman"/>
          <w:bCs/>
          <w:i/>
          <w:iCs/>
          <w:sz w:val="24"/>
          <w:szCs w:val="24"/>
        </w:rPr>
        <w:t>ustanovení o dědictví</w:t>
      </w:r>
      <w:r w:rsidRPr="00B94D2A">
        <w:rPr>
          <w:rFonts w:ascii="Times New Roman" w:hAnsi="Times New Roman"/>
          <w:i/>
          <w:iCs/>
          <w:sz w:val="24"/>
          <w:szCs w:val="24"/>
        </w:rPr>
        <w:t xml:space="preserve"> a o dědici. Odkazovník však neodpovídá za závazky zůstavitelovy, ani za náklady jeho pohřbu, byla-li </w:t>
      </w:r>
      <w:proofErr w:type="spellStart"/>
      <w:r w:rsidRPr="00B94D2A">
        <w:rPr>
          <w:rFonts w:ascii="Times New Roman" w:hAnsi="Times New Roman"/>
          <w:i/>
          <w:iCs/>
          <w:sz w:val="24"/>
          <w:szCs w:val="24"/>
        </w:rPr>
        <w:t>odkazovníkovi</w:t>
      </w:r>
      <w:proofErr w:type="spellEnd"/>
      <w:r w:rsidRPr="00B94D2A">
        <w:rPr>
          <w:rFonts w:ascii="Times New Roman" w:hAnsi="Times New Roman"/>
          <w:i/>
          <w:iCs/>
          <w:sz w:val="24"/>
          <w:szCs w:val="24"/>
        </w:rPr>
        <w:t xml:space="preserve"> zůstavena věc, jejíž cena je v poměru k ceně zanechaného majetku jen nepatrná, a </w:t>
      </w:r>
      <w:r w:rsidRPr="00B94D2A">
        <w:rPr>
          <w:rFonts w:ascii="Times New Roman" w:hAnsi="Times New Roman"/>
          <w:bCs/>
          <w:i/>
          <w:iCs/>
          <w:sz w:val="24"/>
          <w:szCs w:val="24"/>
        </w:rPr>
        <w:t>jestliže souhrn odkazů nečiní více než čtvrtinu</w:t>
      </w:r>
      <w:r w:rsidRPr="00B94D2A">
        <w:rPr>
          <w:rFonts w:ascii="Times New Roman" w:hAnsi="Times New Roman"/>
          <w:i/>
          <w:iCs/>
          <w:sz w:val="24"/>
          <w:szCs w:val="24"/>
        </w:rPr>
        <w:t xml:space="preserve"> toho, co zbude</w:t>
      </w:r>
      <w:r w:rsidRPr="00B94D2A">
        <w:rPr>
          <w:rFonts w:ascii="Times New Roman" w:hAnsi="Times New Roman"/>
          <w:bCs/>
          <w:i/>
          <w:iCs/>
          <w:sz w:val="24"/>
          <w:szCs w:val="24"/>
        </w:rPr>
        <w:t xml:space="preserve"> ze zanechaného majetku</w:t>
      </w:r>
      <w:r w:rsidRPr="00B94D2A">
        <w:rPr>
          <w:rFonts w:ascii="Times New Roman" w:hAnsi="Times New Roman"/>
          <w:i/>
          <w:iCs/>
          <w:sz w:val="24"/>
          <w:szCs w:val="24"/>
        </w:rPr>
        <w:t xml:space="preserve"> po odečtení dluhů.</w:t>
      </w:r>
    </w:p>
    <w:p w:rsidR="00E14B5A" w:rsidRPr="00B94D2A" w:rsidRDefault="00E14B5A" w:rsidP="00B94D2A">
      <w:pPr>
        <w:pStyle w:val="Poznmkapodarou"/>
        <w:numPr>
          <w:ilvl w:val="0"/>
          <w:numId w:val="2"/>
        </w:numPr>
        <w:spacing w:before="0" w:after="120"/>
        <w:rPr>
          <w:i/>
          <w:sz w:val="24"/>
          <w:szCs w:val="24"/>
        </w:rPr>
      </w:pPr>
      <w:r w:rsidRPr="00B94D2A">
        <w:rPr>
          <w:i/>
          <w:sz w:val="24"/>
          <w:szCs w:val="24"/>
        </w:rPr>
        <w:t>I neodvolané a dle práva platné odkazy utrpí rovnoměrně zkrácení dle následujícího ustanovení v tom případě, kdy pozůstalost je odkazy do té míry vyčerpána, že dědicové jsou obtíženi odkazy převyšujícími tři čtvrtiny pozůstalosti a tudíž jim po zapravení odkazů už nezbývá ani čtvrtina.</w:t>
      </w:r>
    </w:p>
    <w:p w:rsidR="00E14B5A" w:rsidRPr="00B94D2A" w:rsidRDefault="00E14B5A" w:rsidP="00B94D2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B94D2A">
        <w:rPr>
          <w:rFonts w:ascii="Times New Roman" w:hAnsi="Times New Roman"/>
          <w:i/>
          <w:sz w:val="24"/>
          <w:szCs w:val="24"/>
        </w:rPr>
        <w:t>Je-li celé dědictví vyčerpáno odkazy, nemůže dědic žádati nic jiného než náhradu za své náklady, které učinil pro podstatu, a odměnu přiměřenou jeho námahám.</w:t>
      </w:r>
    </w:p>
    <w:p w:rsidR="00E14B5A" w:rsidRPr="00B94D2A" w:rsidRDefault="00E14B5A" w:rsidP="00B94D2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94D2A">
        <w:rPr>
          <w:rFonts w:ascii="Times New Roman" w:hAnsi="Times New Roman"/>
          <w:i/>
          <w:sz w:val="24"/>
          <w:szCs w:val="24"/>
        </w:rPr>
        <w:t>Je-li celé dědictví vyčerpáno odkazy, nemůže dědic žádati nic jiného než náhradu za své náklady, které učinil pro podstatu, a odměnu přiměřenou jeho námahám. Nechce-li pozůstalost sám spravovati, musí žádati za ustanovení opatrovníka. Nestačí-li pozůstalost k zaplacení dluhů, jiných povinných výloh a k zapravení všech odkazů, učiní se odkazovníkům poměrná srážka. Proto dědic není povinen zapraviti odkazy bez zajištění, dokud je takové nebezpečí.</w:t>
      </w:r>
    </w:p>
    <w:p w:rsidR="00E14B5A" w:rsidRPr="00B94D2A" w:rsidRDefault="00E14B5A" w:rsidP="00B94D2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94D2A">
        <w:rPr>
          <w:rFonts w:ascii="Times New Roman" w:hAnsi="Times New Roman"/>
          <w:bCs/>
          <w:i/>
          <w:iCs/>
          <w:sz w:val="24"/>
          <w:szCs w:val="24"/>
        </w:rPr>
        <w:t>Každému z dědiců musí zůstat</w:t>
      </w:r>
      <w:r w:rsidRPr="00B94D2A">
        <w:rPr>
          <w:rFonts w:ascii="Times New Roman" w:hAnsi="Times New Roman"/>
          <w:i/>
          <w:iCs/>
          <w:sz w:val="24"/>
          <w:szCs w:val="24"/>
        </w:rPr>
        <w:t xml:space="preserve"> z hodnoty dědictví alespoň </w:t>
      </w:r>
      <w:r w:rsidRPr="00B94D2A">
        <w:rPr>
          <w:rFonts w:ascii="Times New Roman" w:hAnsi="Times New Roman"/>
          <w:bCs/>
          <w:i/>
          <w:iCs/>
          <w:sz w:val="24"/>
          <w:szCs w:val="24"/>
        </w:rPr>
        <w:t>čtvrtina odkazy nezatížená</w:t>
      </w:r>
      <w:r w:rsidRPr="00B94D2A">
        <w:rPr>
          <w:rFonts w:ascii="Times New Roman" w:hAnsi="Times New Roman"/>
          <w:i/>
          <w:iCs/>
          <w:sz w:val="24"/>
          <w:szCs w:val="24"/>
        </w:rPr>
        <w:t>. Zatíží-li zůstavitel dědice více, má dědic právo na poměrné zkrácení odkazu</w:t>
      </w:r>
      <w:r w:rsidRPr="00B94D2A">
        <w:rPr>
          <w:rFonts w:ascii="Times New Roman" w:hAnsi="Times New Roman"/>
          <w:i/>
          <w:sz w:val="24"/>
          <w:szCs w:val="24"/>
        </w:rPr>
        <w:t>.</w:t>
      </w:r>
    </w:p>
    <w:p w:rsidR="00F900FA" w:rsidRPr="00B94D2A" w:rsidRDefault="00F70328" w:rsidP="00F900F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T</w:t>
      </w:r>
      <w:r w:rsidR="00F900FA" w:rsidRPr="00B94D2A">
        <w:rPr>
          <w:rFonts w:ascii="Times New Roman" w:hAnsi="Times New Roman"/>
          <w:i/>
          <w:sz w:val="24"/>
          <w:szCs w:val="24"/>
        </w:rPr>
        <w:t>estátorovi</w:t>
      </w:r>
      <w:proofErr w:type="spellEnd"/>
      <w:r w:rsidR="00F900FA" w:rsidRPr="00B94D2A">
        <w:rPr>
          <w:rFonts w:ascii="Times New Roman" w:hAnsi="Times New Roman"/>
          <w:i/>
          <w:sz w:val="24"/>
          <w:szCs w:val="24"/>
        </w:rPr>
        <w:t xml:space="preserve"> není dovoleno vyčerpat odkazy více, jak tři čtvrtiny pozůstalosti. Jedna čtvrtina pozůstalosti zůstává proto nutně dědici.</w:t>
      </w:r>
    </w:p>
    <w:p w:rsidR="00E14B5A" w:rsidRPr="00B94D2A" w:rsidRDefault="00E14B5A" w:rsidP="00B94D2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94D2A">
        <w:rPr>
          <w:rFonts w:ascii="Times New Roman" w:hAnsi="Times New Roman"/>
          <w:i/>
          <w:sz w:val="24"/>
          <w:szCs w:val="24"/>
        </w:rPr>
        <w:t>V případě, že je celá pozůstalost vyčerpána odkazy, si dědic přesto nesmí nic ponechat pro sebe. Je mu pouze povoleno požadovat náhradu nákladů učiněných pro podstatu a požadovat odměnu přiměřenou jeho námahám.</w:t>
      </w:r>
    </w:p>
    <w:p w:rsidR="00E14B5A" w:rsidRPr="00B94D2A" w:rsidRDefault="00E14B5A" w:rsidP="00B94D2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94D2A">
        <w:rPr>
          <w:rFonts w:ascii="Times New Roman" w:hAnsi="Times New Roman"/>
          <w:i/>
          <w:sz w:val="24"/>
          <w:szCs w:val="24"/>
        </w:rPr>
        <w:t>Zůstavitel může učinit tolik odkazů, kolik chce, a to až do té míry, že jimi celou pozůstalost vyčerpá. Nechce-li však v takovém případě žádný ustanovený dědic pozůstalost nastoupit, musí být přesto odkazy uspokojeny prostřednictvím zůstavitelem ustanoveného vykonavatele či, není-li těchto vykonavatelů, prostřednictvím soudně ustanoveného poručníka, a všechen majetek, který by měl dědici připadnout díky testamentární či zákonné dědické posloupnosti, připadne coby odúmrť státu.</w:t>
      </w:r>
    </w:p>
    <w:sectPr w:rsidR="00E14B5A" w:rsidRPr="00B94D2A" w:rsidSect="009B4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071"/>
    <w:multiLevelType w:val="hybridMultilevel"/>
    <w:tmpl w:val="AD3EA9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17216"/>
    <w:multiLevelType w:val="hybridMultilevel"/>
    <w:tmpl w:val="E208F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B5A"/>
    <w:rsid w:val="001E393D"/>
    <w:rsid w:val="002D645B"/>
    <w:rsid w:val="005E7049"/>
    <w:rsid w:val="007A453F"/>
    <w:rsid w:val="00852D09"/>
    <w:rsid w:val="009B46C4"/>
    <w:rsid w:val="00A82E42"/>
    <w:rsid w:val="00B94D2A"/>
    <w:rsid w:val="00BC1765"/>
    <w:rsid w:val="00E14B5A"/>
    <w:rsid w:val="00E541AD"/>
    <w:rsid w:val="00F70328"/>
    <w:rsid w:val="00F900FA"/>
    <w:rsid w:val="00FC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B5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podarou">
    <w:name w:val="Poznámka pod čarou"/>
    <w:basedOn w:val="Textpoznpodarou"/>
    <w:rsid w:val="00E14B5A"/>
    <w:pPr>
      <w:spacing w:before="60"/>
      <w:jc w:val="both"/>
    </w:pPr>
    <w:rPr>
      <w:rFonts w:ascii="Times New Roman" w:eastAsia="Times New Roman" w:hAnsi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4B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4B5A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94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B5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podarou">
    <w:name w:val="Poznámka pod čarou"/>
    <w:basedOn w:val="Textpoznpodarou"/>
    <w:rsid w:val="00E14B5A"/>
    <w:pPr>
      <w:spacing w:before="60"/>
      <w:jc w:val="both"/>
    </w:pPr>
    <w:rPr>
      <w:rFonts w:ascii="Times New Roman" w:eastAsia="Times New Roman" w:hAnsi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4B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4B5A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94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Černoch</dc:creator>
  <cp:lastModifiedBy>Nas-9</cp:lastModifiedBy>
  <cp:revision>4</cp:revision>
  <dcterms:created xsi:type="dcterms:W3CDTF">2015-11-19T17:32:00Z</dcterms:created>
  <dcterms:modified xsi:type="dcterms:W3CDTF">2018-11-22T18:49:00Z</dcterms:modified>
</cp:coreProperties>
</file>