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92F" w:rsidRPr="00475BF7" w:rsidRDefault="00DB4885" w:rsidP="00475BF7">
      <w:pPr>
        <w:spacing w:after="240"/>
        <w:jc w:val="both"/>
        <w:rPr>
          <w:rFonts w:ascii="Times New Roman" w:hAnsi="Times New Roman" w:cs="Times New Roman"/>
          <w:b/>
          <w:sz w:val="24"/>
        </w:rPr>
      </w:pPr>
      <w:r w:rsidRPr="00475BF7">
        <w:rPr>
          <w:rFonts w:ascii="Times New Roman" w:hAnsi="Times New Roman" w:cs="Times New Roman"/>
          <w:b/>
          <w:sz w:val="24"/>
        </w:rPr>
        <w:t>1. Církevní restituce nemají být osvobozeny od darovací daně/daně z příjmu.</w:t>
      </w:r>
      <w:r w:rsidR="00D001EC">
        <w:rPr>
          <w:rFonts w:ascii="Times New Roman" w:hAnsi="Times New Roman" w:cs="Times New Roman"/>
          <w:b/>
          <w:sz w:val="24"/>
        </w:rPr>
        <w:t xml:space="preserve"> </w:t>
      </w:r>
    </w:p>
    <w:p w:rsidR="00B45BC3" w:rsidRDefault="001C4982" w:rsidP="00475BF7">
      <w:pPr>
        <w:spacing w:after="120"/>
        <w:jc w:val="both"/>
        <w:rPr>
          <w:rFonts w:ascii="Times New Roman" w:hAnsi="Times New Roman" w:cs="Times New Roman"/>
        </w:rPr>
      </w:pPr>
      <w:r w:rsidRPr="00970A13">
        <w:rPr>
          <w:rFonts w:ascii="Times New Roman" w:hAnsi="Times New Roman" w:cs="Times New Roman"/>
        </w:rPr>
        <w:t xml:space="preserve">Církevní restituce jsou stále aktuální téma. </w:t>
      </w:r>
      <w:r w:rsidR="00B45BC3">
        <w:rPr>
          <w:rFonts w:ascii="Times New Roman" w:hAnsi="Times New Roman" w:cs="Times New Roman"/>
        </w:rPr>
        <w:t xml:space="preserve">A to nejen na rovině politické, právní, ale též občanské. </w:t>
      </w:r>
      <w:r w:rsidR="00970A13">
        <w:rPr>
          <w:rFonts w:ascii="Times New Roman" w:hAnsi="Times New Roman" w:cs="Times New Roman"/>
        </w:rPr>
        <w:t>Otázek</w:t>
      </w:r>
      <w:r w:rsidRPr="00970A13">
        <w:rPr>
          <w:rFonts w:ascii="Times New Roman" w:hAnsi="Times New Roman" w:cs="Times New Roman"/>
        </w:rPr>
        <w:t xml:space="preserve"> s nimi spojenými je </w:t>
      </w:r>
      <w:r w:rsidR="00B45BC3">
        <w:rPr>
          <w:rFonts w:ascii="Times New Roman" w:hAnsi="Times New Roman" w:cs="Times New Roman"/>
        </w:rPr>
        <w:t>stále řada</w:t>
      </w:r>
      <w:r w:rsidRPr="00970A13">
        <w:rPr>
          <w:rFonts w:ascii="Times New Roman" w:hAnsi="Times New Roman" w:cs="Times New Roman"/>
        </w:rPr>
        <w:t>.</w:t>
      </w:r>
      <w:r w:rsidR="00B45BC3">
        <w:rPr>
          <w:rFonts w:ascii="Times New Roman" w:hAnsi="Times New Roman" w:cs="Times New Roman"/>
        </w:rPr>
        <w:t xml:space="preserve"> </w:t>
      </w:r>
      <w:r w:rsidR="008C7042">
        <w:rPr>
          <w:rFonts w:ascii="Times New Roman" w:hAnsi="Times New Roman" w:cs="Times New Roman"/>
        </w:rPr>
        <w:t>Byl</w:t>
      </w:r>
      <w:r w:rsidR="00B45BC3">
        <w:rPr>
          <w:rFonts w:ascii="Times New Roman" w:hAnsi="Times New Roman" w:cs="Times New Roman"/>
        </w:rPr>
        <w:t xml:space="preserve"> zvolený </w:t>
      </w:r>
      <w:r w:rsidR="008C7042">
        <w:rPr>
          <w:rFonts w:ascii="Times New Roman" w:hAnsi="Times New Roman" w:cs="Times New Roman"/>
        </w:rPr>
        <w:t>přístup k</w:t>
      </w:r>
      <w:r w:rsidR="00B45BC3">
        <w:rPr>
          <w:rFonts w:ascii="Times New Roman" w:hAnsi="Times New Roman" w:cs="Times New Roman"/>
        </w:rPr>
        <w:t xml:space="preserve"> řešení </w:t>
      </w:r>
      <w:r w:rsidR="008C7042">
        <w:rPr>
          <w:rFonts w:ascii="Times New Roman" w:hAnsi="Times New Roman" w:cs="Times New Roman"/>
        </w:rPr>
        <w:t xml:space="preserve">dostatečně </w:t>
      </w:r>
      <w:r w:rsidR="00B45BC3">
        <w:rPr>
          <w:rFonts w:ascii="Times New Roman" w:hAnsi="Times New Roman" w:cs="Times New Roman"/>
        </w:rPr>
        <w:t>odůvodněný? Neexistoval nějaký vhodnější? Jakým způsobem budou náhrady fakticky vydávány? Atd.</w:t>
      </w:r>
      <w:r w:rsidR="00D001EC">
        <w:rPr>
          <w:rFonts w:ascii="Times New Roman" w:hAnsi="Times New Roman" w:cs="Times New Roman"/>
        </w:rPr>
        <w:t xml:space="preserve"> </w:t>
      </w:r>
    </w:p>
    <w:p w:rsidR="00D02AA7" w:rsidRDefault="001C4982" w:rsidP="00475BF7">
      <w:pPr>
        <w:spacing w:after="120"/>
        <w:jc w:val="both"/>
        <w:rPr>
          <w:rFonts w:ascii="Times New Roman" w:hAnsi="Times New Roman" w:cs="Times New Roman"/>
        </w:rPr>
      </w:pPr>
      <w:r w:rsidRPr="00970A13">
        <w:rPr>
          <w:rFonts w:ascii="Times New Roman" w:hAnsi="Times New Roman" w:cs="Times New Roman"/>
        </w:rPr>
        <w:t xml:space="preserve"> </w:t>
      </w:r>
      <w:r w:rsidR="00970A13">
        <w:rPr>
          <w:rFonts w:ascii="Times New Roman" w:hAnsi="Times New Roman" w:cs="Times New Roman"/>
        </w:rPr>
        <w:t>Ačkoliv se většinu problémů</w:t>
      </w:r>
      <w:r w:rsidRPr="00970A13">
        <w:rPr>
          <w:rFonts w:ascii="Times New Roman" w:hAnsi="Times New Roman" w:cs="Times New Roman"/>
        </w:rPr>
        <w:t xml:space="preserve"> snažil pomocí tzv. restitučního zákonodárství vyřešit zákonodárce</w:t>
      </w:r>
      <w:r w:rsidR="00970A13">
        <w:rPr>
          <w:rFonts w:ascii="Times New Roman" w:hAnsi="Times New Roman" w:cs="Times New Roman"/>
        </w:rPr>
        <w:t xml:space="preserve"> již</w:t>
      </w:r>
      <w:r w:rsidRPr="00970A13">
        <w:rPr>
          <w:rFonts w:ascii="Times New Roman" w:hAnsi="Times New Roman" w:cs="Times New Roman"/>
        </w:rPr>
        <w:t xml:space="preserve"> v 90. </w:t>
      </w:r>
      <w:r w:rsidR="00D747C1" w:rsidRPr="00970A13">
        <w:rPr>
          <w:rFonts w:ascii="Times New Roman" w:hAnsi="Times New Roman" w:cs="Times New Roman"/>
        </w:rPr>
        <w:t>l</w:t>
      </w:r>
      <w:r w:rsidRPr="00970A13">
        <w:rPr>
          <w:rFonts w:ascii="Times New Roman" w:hAnsi="Times New Roman" w:cs="Times New Roman"/>
        </w:rPr>
        <w:t xml:space="preserve">etech, k samotnému řešení církevních restitucí se přistoupilo </w:t>
      </w:r>
      <w:r w:rsidR="00D747C1" w:rsidRPr="00970A13">
        <w:rPr>
          <w:rFonts w:ascii="Times New Roman" w:hAnsi="Times New Roman" w:cs="Times New Roman"/>
        </w:rPr>
        <w:t xml:space="preserve">až </w:t>
      </w:r>
      <w:r w:rsidRPr="00970A13">
        <w:rPr>
          <w:rFonts w:ascii="Times New Roman" w:hAnsi="Times New Roman" w:cs="Times New Roman"/>
        </w:rPr>
        <w:t>poměrně pozd</w:t>
      </w:r>
      <w:r w:rsidR="00D747C1" w:rsidRPr="00970A13">
        <w:rPr>
          <w:rFonts w:ascii="Times New Roman" w:hAnsi="Times New Roman" w:cs="Times New Roman"/>
        </w:rPr>
        <w:t>ě.</w:t>
      </w:r>
      <w:r w:rsidRPr="00970A13">
        <w:rPr>
          <w:rFonts w:ascii="Times New Roman" w:hAnsi="Times New Roman" w:cs="Times New Roman"/>
        </w:rPr>
        <w:t xml:space="preserve"> </w:t>
      </w:r>
      <w:r w:rsidR="00D747C1" w:rsidRPr="00970A13">
        <w:rPr>
          <w:rFonts w:ascii="Times New Roman" w:hAnsi="Times New Roman" w:cs="Times New Roman"/>
        </w:rPr>
        <w:t>R</w:t>
      </w:r>
      <w:r w:rsidRPr="00970A13">
        <w:rPr>
          <w:rFonts w:ascii="Times New Roman" w:hAnsi="Times New Roman" w:cs="Times New Roman"/>
        </w:rPr>
        <w:t xml:space="preserve">espektive se daný problém </w:t>
      </w:r>
      <w:r w:rsidR="00970A13" w:rsidRPr="00970A13">
        <w:rPr>
          <w:rFonts w:ascii="Times New Roman" w:hAnsi="Times New Roman" w:cs="Times New Roman"/>
        </w:rPr>
        <w:t xml:space="preserve">zpočátku </w:t>
      </w:r>
      <w:r w:rsidRPr="00970A13">
        <w:rPr>
          <w:rFonts w:ascii="Times New Roman" w:hAnsi="Times New Roman" w:cs="Times New Roman"/>
        </w:rPr>
        <w:t>řešil jiným způsobem, jako byly příspěvky</w:t>
      </w:r>
      <w:r w:rsidR="00970A13">
        <w:rPr>
          <w:rFonts w:ascii="Times New Roman" w:hAnsi="Times New Roman" w:cs="Times New Roman"/>
        </w:rPr>
        <w:t xml:space="preserve"> státu</w:t>
      </w:r>
      <w:r w:rsidRPr="00970A13">
        <w:rPr>
          <w:rFonts w:ascii="Times New Roman" w:hAnsi="Times New Roman" w:cs="Times New Roman"/>
        </w:rPr>
        <w:t>, osvobození od určitých daňových povinností</w:t>
      </w:r>
      <w:r w:rsidR="00D747C1" w:rsidRPr="00970A13">
        <w:rPr>
          <w:rFonts w:ascii="Times New Roman" w:hAnsi="Times New Roman" w:cs="Times New Roman"/>
        </w:rPr>
        <w:t xml:space="preserve"> atd. </w:t>
      </w:r>
      <w:r w:rsidR="00970A13">
        <w:rPr>
          <w:rFonts w:ascii="Times New Roman" w:hAnsi="Times New Roman" w:cs="Times New Roman"/>
        </w:rPr>
        <w:t>Nakonec se však</w:t>
      </w:r>
      <w:r w:rsidR="00D747C1" w:rsidRPr="00970A13">
        <w:rPr>
          <w:rFonts w:ascii="Times New Roman" w:hAnsi="Times New Roman" w:cs="Times New Roman"/>
        </w:rPr>
        <w:t xml:space="preserve"> </w:t>
      </w:r>
      <w:r w:rsidR="00970A13">
        <w:rPr>
          <w:rFonts w:ascii="Times New Roman" w:hAnsi="Times New Roman" w:cs="Times New Roman"/>
        </w:rPr>
        <w:t xml:space="preserve">zákonodárce přece jen rozhodl daný problém vyřešit </w:t>
      </w:r>
      <w:r w:rsidR="008C7042">
        <w:rPr>
          <w:rFonts w:ascii="Times New Roman" w:hAnsi="Times New Roman" w:cs="Times New Roman"/>
        </w:rPr>
        <w:t xml:space="preserve">i </w:t>
      </w:r>
      <w:r w:rsidR="00970A13">
        <w:rPr>
          <w:rFonts w:ascii="Times New Roman" w:hAnsi="Times New Roman" w:cs="Times New Roman"/>
        </w:rPr>
        <w:t>vydáním</w:t>
      </w:r>
      <w:r w:rsidR="00D747C1" w:rsidRPr="00970A13">
        <w:rPr>
          <w:rFonts w:ascii="Times New Roman" w:hAnsi="Times New Roman" w:cs="Times New Roman"/>
        </w:rPr>
        <w:t xml:space="preserve"> zákona č. 428/2012 Sb., </w:t>
      </w:r>
      <w:r w:rsidR="00970A13" w:rsidRPr="00970A13">
        <w:rPr>
          <w:rFonts w:ascii="Times New Roman" w:hAnsi="Times New Roman" w:cs="Times New Roman"/>
        </w:rPr>
        <w:t>o majetkovém vyrovnání s církvemi a náboženskými společnostmi</w:t>
      </w:r>
      <w:r w:rsidR="00FF6610">
        <w:rPr>
          <w:rFonts w:ascii="Times New Roman" w:hAnsi="Times New Roman" w:cs="Times New Roman"/>
        </w:rPr>
        <w:t xml:space="preserve"> (dále jen „ZoMVCNS“)</w:t>
      </w:r>
      <w:r w:rsidR="00970A13">
        <w:rPr>
          <w:rFonts w:ascii="Times New Roman" w:hAnsi="Times New Roman" w:cs="Times New Roman"/>
        </w:rPr>
        <w:t xml:space="preserve">, který měl celou problematiku uzavřít, aby se „mohlo jít dál“. </w:t>
      </w:r>
    </w:p>
    <w:p w:rsidR="00D747C1" w:rsidRDefault="00970A13" w:rsidP="00475BF7">
      <w:pPr>
        <w:spacing w:after="120"/>
        <w:jc w:val="both"/>
        <w:rPr>
          <w:rFonts w:ascii="Times New Roman" w:hAnsi="Times New Roman" w:cs="Times New Roman"/>
        </w:rPr>
      </w:pPr>
      <w:r>
        <w:rPr>
          <w:rFonts w:ascii="Times New Roman" w:hAnsi="Times New Roman" w:cs="Times New Roman"/>
        </w:rPr>
        <w:t>Bohužel</w:t>
      </w:r>
      <w:r w:rsidR="00D02AA7">
        <w:rPr>
          <w:rFonts w:ascii="Times New Roman" w:hAnsi="Times New Roman" w:cs="Times New Roman"/>
        </w:rPr>
        <w:t xml:space="preserve"> výsledná podoba zákona mířila nejen na samotné vyrovnání </w:t>
      </w:r>
      <w:r w:rsidR="007555B6">
        <w:rPr>
          <w:rFonts w:ascii="Times New Roman" w:hAnsi="Times New Roman" w:cs="Times New Roman"/>
        </w:rPr>
        <w:t>majetkových křivd minulého režimu, ale taktéž na jakési osamostatnění církví do budoucna</w:t>
      </w:r>
      <w:r w:rsidR="00475BF7">
        <w:rPr>
          <w:rFonts w:ascii="Times New Roman" w:hAnsi="Times New Roman" w:cs="Times New Roman"/>
        </w:rPr>
        <w:t>. Tedy na zajištění možnosti</w:t>
      </w:r>
      <w:r w:rsidR="007555B6">
        <w:rPr>
          <w:rFonts w:ascii="Times New Roman" w:hAnsi="Times New Roman" w:cs="Times New Roman"/>
        </w:rPr>
        <w:t xml:space="preserve"> jejich samostatného fungování bez závislosti na financování ze státních prostředků.</w:t>
      </w:r>
      <w:r w:rsidR="008C7042">
        <w:rPr>
          <w:rFonts w:ascii="Times New Roman" w:hAnsi="Times New Roman" w:cs="Times New Roman"/>
        </w:rPr>
        <w:t xml:space="preserve"> Nutno podotknout, že tento záměr bude fakticky naplněn až po roce 2043, jelikož se stát k vyplácení náhrad vůči církvím zavázal na dobu 30 let.</w:t>
      </w:r>
      <w:r w:rsidR="00D001EC">
        <w:rPr>
          <w:rFonts w:ascii="Times New Roman" w:hAnsi="Times New Roman" w:cs="Times New Roman"/>
        </w:rPr>
        <w:t xml:space="preserve"> </w:t>
      </w:r>
    </w:p>
    <w:p w:rsidR="00D001EC" w:rsidRDefault="00D001EC" w:rsidP="00475BF7">
      <w:pPr>
        <w:spacing w:after="120"/>
        <w:jc w:val="both"/>
        <w:rPr>
          <w:rFonts w:ascii="Times New Roman" w:hAnsi="Times New Roman" w:cs="Times New Roman"/>
        </w:rPr>
      </w:pPr>
      <w:r>
        <w:rPr>
          <w:rFonts w:ascii="Times New Roman" w:hAnsi="Times New Roman" w:cs="Times New Roman"/>
        </w:rPr>
        <w:t xml:space="preserve">Toliko tedy jen na úvod. Teď už se konkrétněji zaměřme na to, jestli ony církevní restituce mají, nebo nemají být osvobozeny od daně z příjmu. </w:t>
      </w:r>
    </w:p>
    <w:p w:rsidR="00D001EC" w:rsidRDefault="00D001EC" w:rsidP="00475BF7">
      <w:pPr>
        <w:spacing w:after="120"/>
        <w:jc w:val="both"/>
        <w:rPr>
          <w:rFonts w:ascii="Times New Roman" w:hAnsi="Times New Roman" w:cs="Times New Roman"/>
        </w:rPr>
      </w:pPr>
      <w:r>
        <w:rPr>
          <w:rFonts w:ascii="Times New Roman" w:hAnsi="Times New Roman" w:cs="Times New Roman"/>
        </w:rPr>
        <w:t>Podle stávající právní úpravy:</w:t>
      </w:r>
    </w:p>
    <w:p w:rsidR="007555B6" w:rsidRDefault="00D001EC" w:rsidP="00475BF7">
      <w:pPr>
        <w:spacing w:after="120"/>
        <w:jc w:val="both"/>
        <w:rPr>
          <w:rFonts w:ascii="Times New Roman" w:hAnsi="Times New Roman" w:cs="Times New Roman"/>
        </w:rPr>
      </w:pPr>
      <w:r>
        <w:rPr>
          <w:rFonts w:ascii="Times New Roman" w:hAnsi="Times New Roman" w:cs="Times New Roman"/>
        </w:rPr>
        <w:t xml:space="preserve">- dle ustanovení § 18a odst. </w:t>
      </w:r>
      <w:r w:rsidRPr="00D001EC">
        <w:rPr>
          <w:rFonts w:ascii="Times New Roman" w:hAnsi="Times New Roman" w:cs="Times New Roman"/>
        </w:rPr>
        <w:t>1</w:t>
      </w:r>
      <w:r>
        <w:rPr>
          <w:rFonts w:ascii="Times New Roman" w:hAnsi="Times New Roman" w:cs="Times New Roman"/>
        </w:rPr>
        <w:t>.</w:t>
      </w:r>
      <w:r w:rsidRPr="00D001EC">
        <w:rPr>
          <w:rFonts w:ascii="Times New Roman" w:hAnsi="Times New Roman" w:cs="Times New Roman"/>
        </w:rPr>
        <w:t xml:space="preserve"> písm. f) Zákona</w:t>
      </w:r>
      <w:r>
        <w:rPr>
          <w:rFonts w:ascii="Times New Roman" w:hAnsi="Times New Roman" w:cs="Times New Roman"/>
        </w:rPr>
        <w:t xml:space="preserve"> č.</w:t>
      </w:r>
      <w:r w:rsidRPr="00D001EC">
        <w:rPr>
          <w:rFonts w:ascii="Times New Roman" w:hAnsi="Times New Roman" w:cs="Times New Roman"/>
        </w:rPr>
        <w:t xml:space="preserve"> 586/1992 Sb., o daních z</w:t>
      </w:r>
      <w:r w:rsidR="00FF6610">
        <w:rPr>
          <w:rFonts w:ascii="Times New Roman" w:hAnsi="Times New Roman" w:cs="Times New Roman"/>
        </w:rPr>
        <w:t> </w:t>
      </w:r>
      <w:r w:rsidRPr="00D001EC">
        <w:rPr>
          <w:rFonts w:ascii="Times New Roman" w:hAnsi="Times New Roman" w:cs="Times New Roman"/>
        </w:rPr>
        <w:t>příjmů</w:t>
      </w:r>
      <w:r w:rsidR="00FF6610">
        <w:rPr>
          <w:rFonts w:ascii="Times New Roman" w:hAnsi="Times New Roman" w:cs="Times New Roman"/>
        </w:rPr>
        <w:t xml:space="preserve"> (dále jen „ZoDP“)</w:t>
      </w:r>
      <w:r w:rsidRPr="00D001EC">
        <w:rPr>
          <w:rFonts w:ascii="Times New Roman" w:hAnsi="Times New Roman" w:cs="Times New Roman"/>
        </w:rPr>
        <w:t xml:space="preserve"> „</w:t>
      </w:r>
      <w:r w:rsidRPr="00D001EC">
        <w:rPr>
          <w:rFonts w:ascii="Times New Roman" w:hAnsi="Times New Roman" w:cs="Times New Roman"/>
          <w:i/>
        </w:rPr>
        <w:t>U veřejně prospěšného poplatníka nejsou předmětem daně příjmy z bezúplatného nabytí věci podle zákona o majetkovém vyrovnání s církvemi a náboženskými společnostmi.</w:t>
      </w:r>
      <w:r w:rsidRPr="00D001EC">
        <w:rPr>
          <w:rFonts w:ascii="Times New Roman" w:hAnsi="Times New Roman" w:cs="Times New Roman"/>
        </w:rPr>
        <w:t>“</w:t>
      </w:r>
    </w:p>
    <w:p w:rsidR="00D001EC" w:rsidRPr="00D001EC" w:rsidRDefault="00D001EC" w:rsidP="00D001EC">
      <w:pPr>
        <w:spacing w:after="120"/>
        <w:jc w:val="both"/>
        <w:rPr>
          <w:rFonts w:ascii="Times New Roman" w:hAnsi="Times New Roman" w:cs="Times New Roman"/>
        </w:rPr>
      </w:pPr>
      <w:r>
        <w:rPr>
          <w:rFonts w:ascii="Times New Roman" w:hAnsi="Times New Roman" w:cs="Times New Roman"/>
        </w:rPr>
        <w:t>- dle ustanovení</w:t>
      </w:r>
      <w:r w:rsidR="00FF6610">
        <w:rPr>
          <w:rFonts w:ascii="Times New Roman" w:hAnsi="Times New Roman" w:cs="Times New Roman"/>
        </w:rPr>
        <w:t xml:space="preserve"> § 15 odst. 1. ZoMVCNS „</w:t>
      </w:r>
      <w:r w:rsidR="005E0CEC" w:rsidRPr="005E0CEC">
        <w:rPr>
          <w:rFonts w:ascii="Times New Roman" w:hAnsi="Times New Roman" w:cs="Times New Roman"/>
          <w:i/>
        </w:rPr>
        <w:t>Registrovaná církev a náboženská společnost uvedená v odstavci 2 (dále jen „dotčená církev a náboženská společnost“), která neodmítne uzavřít se státem smlouvu o vypořádání podle § 16, obdrží paušální finanční náhradu (dále jen „finanční náhrada“).</w:t>
      </w:r>
      <w:r w:rsidR="00FF6610">
        <w:rPr>
          <w:rFonts w:ascii="Times New Roman" w:hAnsi="Times New Roman" w:cs="Times New Roman"/>
        </w:rPr>
        <w:t>“</w:t>
      </w:r>
    </w:p>
    <w:p w:rsidR="00FF6610" w:rsidRPr="00FF6610" w:rsidRDefault="00FF6610" w:rsidP="00FF6610">
      <w:pPr>
        <w:spacing w:after="120"/>
        <w:jc w:val="both"/>
        <w:rPr>
          <w:rFonts w:ascii="Times New Roman" w:hAnsi="Times New Roman" w:cs="Times New Roman"/>
          <w:i/>
        </w:rPr>
      </w:pPr>
      <w:r>
        <w:rPr>
          <w:rFonts w:ascii="Times New Roman" w:hAnsi="Times New Roman" w:cs="Times New Roman"/>
        </w:rPr>
        <w:t>- dle ustanovení § 15 odst. 2. ZoMVCNS</w:t>
      </w:r>
      <w:r w:rsidR="005E0CEC">
        <w:rPr>
          <w:rFonts w:ascii="Times New Roman" w:hAnsi="Times New Roman" w:cs="Times New Roman"/>
        </w:rPr>
        <w:t xml:space="preserve"> </w:t>
      </w:r>
      <w:r>
        <w:rPr>
          <w:rFonts w:ascii="Times New Roman" w:hAnsi="Times New Roman" w:cs="Times New Roman"/>
        </w:rPr>
        <w:t>„</w:t>
      </w:r>
      <w:r w:rsidRPr="00FF6610">
        <w:rPr>
          <w:rFonts w:ascii="Times New Roman" w:hAnsi="Times New Roman" w:cs="Times New Roman"/>
          <w:i/>
        </w:rPr>
        <w:t>Výše finanční náhrady pro jednotlivou dotčenou církev a náboženskou společnost činí:</w:t>
      </w:r>
    </w:p>
    <w:p w:rsidR="00FF6610" w:rsidRPr="00FF6610" w:rsidRDefault="00FF6610" w:rsidP="00FF6610">
      <w:pPr>
        <w:spacing w:after="120"/>
        <w:jc w:val="both"/>
        <w:rPr>
          <w:rFonts w:ascii="Times New Roman" w:hAnsi="Times New Roman" w:cs="Times New Roman"/>
          <w:i/>
        </w:rPr>
      </w:pPr>
      <w:r w:rsidRPr="00FF6610">
        <w:rPr>
          <w:rFonts w:ascii="Times New Roman" w:hAnsi="Times New Roman" w:cs="Times New Roman"/>
          <w:i/>
        </w:rPr>
        <w:t>a) Apoštolská církev</w:t>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1 056 336 374 Kč,</w:t>
      </w:r>
    </w:p>
    <w:p w:rsidR="00FF6610" w:rsidRPr="00FF6610" w:rsidRDefault="00FF6610" w:rsidP="00FF6610">
      <w:pPr>
        <w:spacing w:after="120"/>
        <w:jc w:val="both"/>
        <w:rPr>
          <w:rFonts w:ascii="Times New Roman" w:hAnsi="Times New Roman" w:cs="Times New Roman"/>
          <w:i/>
        </w:rPr>
      </w:pPr>
      <w:r w:rsidRPr="00FF6610">
        <w:rPr>
          <w:rFonts w:ascii="Times New Roman" w:hAnsi="Times New Roman" w:cs="Times New Roman"/>
          <w:i/>
        </w:rPr>
        <w:t>b) Bratrská jednota baptistů</w:t>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227 862 069 Kč,</w:t>
      </w:r>
    </w:p>
    <w:p w:rsidR="00FF6610" w:rsidRPr="00FF6610" w:rsidRDefault="00FF6610" w:rsidP="00FF6610">
      <w:pPr>
        <w:spacing w:after="120"/>
        <w:jc w:val="both"/>
        <w:rPr>
          <w:rFonts w:ascii="Times New Roman" w:hAnsi="Times New Roman" w:cs="Times New Roman"/>
          <w:i/>
        </w:rPr>
      </w:pPr>
      <w:r w:rsidRPr="00FF6610">
        <w:rPr>
          <w:rFonts w:ascii="Times New Roman" w:hAnsi="Times New Roman" w:cs="Times New Roman"/>
          <w:i/>
        </w:rPr>
        <w:t>c</w:t>
      </w:r>
      <w:r w:rsidRPr="00FF6610">
        <w:rPr>
          <w:rFonts w:ascii="Times New Roman" w:hAnsi="Times New Roman" w:cs="Times New Roman"/>
          <w:i/>
        </w:rPr>
        <w:t>) Církev adventistů sedmého dne</w:t>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520 827 586 Kč,</w:t>
      </w:r>
    </w:p>
    <w:p w:rsidR="00FF6610" w:rsidRPr="00FF6610" w:rsidRDefault="00FF6610" w:rsidP="00FF6610">
      <w:pPr>
        <w:spacing w:after="120"/>
        <w:jc w:val="both"/>
        <w:rPr>
          <w:rFonts w:ascii="Times New Roman" w:hAnsi="Times New Roman" w:cs="Times New Roman"/>
          <w:i/>
        </w:rPr>
      </w:pPr>
      <w:r w:rsidRPr="00FF6610">
        <w:rPr>
          <w:rFonts w:ascii="Times New Roman" w:hAnsi="Times New Roman" w:cs="Times New Roman"/>
          <w:i/>
        </w:rPr>
        <w:t>d) Církev bratrská</w:t>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761 051 303 Kč,</w:t>
      </w:r>
    </w:p>
    <w:p w:rsidR="00FF6610" w:rsidRPr="00FF6610" w:rsidRDefault="00FF6610" w:rsidP="00FF6610">
      <w:pPr>
        <w:spacing w:after="120"/>
        <w:jc w:val="both"/>
        <w:rPr>
          <w:rFonts w:ascii="Times New Roman" w:hAnsi="Times New Roman" w:cs="Times New Roman"/>
          <w:i/>
        </w:rPr>
      </w:pPr>
      <w:r w:rsidRPr="00FF6610">
        <w:rPr>
          <w:rFonts w:ascii="Times New Roman" w:hAnsi="Times New Roman" w:cs="Times New Roman"/>
          <w:i/>
        </w:rPr>
        <w:t>e) Církev československá husitská</w:t>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3 085 312 000 Kč,</w:t>
      </w:r>
    </w:p>
    <w:p w:rsidR="00FF6610" w:rsidRPr="00FF6610" w:rsidRDefault="00FF6610" w:rsidP="00FF6610">
      <w:pPr>
        <w:spacing w:after="120"/>
        <w:jc w:val="both"/>
        <w:rPr>
          <w:rFonts w:ascii="Times New Roman" w:hAnsi="Times New Roman" w:cs="Times New Roman"/>
          <w:i/>
        </w:rPr>
      </w:pPr>
      <w:r w:rsidRPr="00FF6610">
        <w:rPr>
          <w:rFonts w:ascii="Times New Roman" w:hAnsi="Times New Roman" w:cs="Times New Roman"/>
          <w:i/>
        </w:rPr>
        <w:t>f) Církev řeckokatolická</w:t>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298 933 257 Kč,</w:t>
      </w:r>
    </w:p>
    <w:p w:rsidR="00FF6610" w:rsidRPr="00FF6610" w:rsidRDefault="00FF6610" w:rsidP="00FF6610">
      <w:pPr>
        <w:spacing w:after="120"/>
        <w:jc w:val="both"/>
        <w:rPr>
          <w:rFonts w:ascii="Times New Roman" w:hAnsi="Times New Roman" w:cs="Times New Roman"/>
          <w:i/>
        </w:rPr>
      </w:pPr>
      <w:r w:rsidRPr="00FF6610">
        <w:rPr>
          <w:rFonts w:ascii="Times New Roman" w:hAnsi="Times New Roman" w:cs="Times New Roman"/>
          <w:i/>
        </w:rPr>
        <w:t>g) Církev římskokatolická</w:t>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t>47 200 000 000 Kč,</w:t>
      </w:r>
    </w:p>
    <w:p w:rsidR="00FF6610" w:rsidRPr="00FF6610" w:rsidRDefault="00FF6610" w:rsidP="00FF6610">
      <w:pPr>
        <w:spacing w:after="120"/>
        <w:jc w:val="both"/>
        <w:rPr>
          <w:rFonts w:ascii="Times New Roman" w:hAnsi="Times New Roman" w:cs="Times New Roman"/>
          <w:i/>
        </w:rPr>
      </w:pPr>
      <w:r w:rsidRPr="00FF6610">
        <w:rPr>
          <w:rFonts w:ascii="Times New Roman" w:hAnsi="Times New Roman" w:cs="Times New Roman"/>
          <w:i/>
        </w:rPr>
        <w:t>h) Českobratrská církev evangelická</w:t>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t>2 266 593 186 Kč,</w:t>
      </w:r>
    </w:p>
    <w:p w:rsidR="00FF6610" w:rsidRPr="00FF6610" w:rsidRDefault="00FF6610" w:rsidP="00FF6610">
      <w:pPr>
        <w:spacing w:after="120"/>
        <w:jc w:val="both"/>
        <w:rPr>
          <w:rFonts w:ascii="Times New Roman" w:hAnsi="Times New Roman" w:cs="Times New Roman"/>
          <w:i/>
        </w:rPr>
      </w:pPr>
      <w:r w:rsidRPr="00FF6610">
        <w:rPr>
          <w:rFonts w:ascii="Times New Roman" w:hAnsi="Times New Roman" w:cs="Times New Roman"/>
          <w:i/>
        </w:rPr>
        <w:t>i) Evangelická církev augsburského vyznání v České republice</w:t>
      </w:r>
      <w:r w:rsidRPr="00FF6610">
        <w:rPr>
          <w:rFonts w:ascii="Times New Roman" w:hAnsi="Times New Roman" w:cs="Times New Roman"/>
          <w:i/>
        </w:rPr>
        <w:tab/>
      </w:r>
      <w:r w:rsidRPr="00FF6610">
        <w:rPr>
          <w:rFonts w:ascii="Times New Roman" w:hAnsi="Times New Roman" w:cs="Times New Roman"/>
          <w:i/>
        </w:rPr>
        <w:tab/>
        <w:t>118 506 407 Kč,</w:t>
      </w:r>
    </w:p>
    <w:p w:rsidR="00FF6610" w:rsidRPr="00FF6610" w:rsidRDefault="00FF6610" w:rsidP="00FF6610">
      <w:pPr>
        <w:spacing w:after="120"/>
        <w:jc w:val="both"/>
        <w:rPr>
          <w:rFonts w:ascii="Times New Roman" w:hAnsi="Times New Roman" w:cs="Times New Roman"/>
          <w:i/>
        </w:rPr>
      </w:pPr>
      <w:r w:rsidRPr="00FF6610">
        <w:rPr>
          <w:rFonts w:ascii="Times New Roman" w:hAnsi="Times New Roman" w:cs="Times New Roman"/>
          <w:i/>
        </w:rPr>
        <w:t>j) Evangelická církev metodistická</w:t>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367 634 208 Kč,</w:t>
      </w:r>
    </w:p>
    <w:p w:rsidR="00FF6610" w:rsidRPr="00FF6610" w:rsidRDefault="00FF6610" w:rsidP="00FF6610">
      <w:pPr>
        <w:spacing w:after="120"/>
        <w:jc w:val="both"/>
        <w:rPr>
          <w:rFonts w:ascii="Times New Roman" w:hAnsi="Times New Roman" w:cs="Times New Roman"/>
          <w:i/>
        </w:rPr>
      </w:pPr>
      <w:r w:rsidRPr="00FF6610">
        <w:rPr>
          <w:rFonts w:ascii="Times New Roman" w:hAnsi="Times New Roman" w:cs="Times New Roman"/>
          <w:i/>
        </w:rPr>
        <w:t>k) Federace ži</w:t>
      </w:r>
      <w:r w:rsidRPr="00FF6610">
        <w:rPr>
          <w:rFonts w:ascii="Times New Roman" w:hAnsi="Times New Roman" w:cs="Times New Roman"/>
          <w:i/>
        </w:rPr>
        <w:t>dovských obcí v České republice</w:t>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272 064 153 Kč,</w:t>
      </w:r>
    </w:p>
    <w:p w:rsidR="00FF6610" w:rsidRPr="00FF6610" w:rsidRDefault="00FF6610" w:rsidP="00FF6610">
      <w:pPr>
        <w:spacing w:after="120"/>
        <w:jc w:val="both"/>
        <w:rPr>
          <w:rFonts w:ascii="Times New Roman" w:hAnsi="Times New Roman" w:cs="Times New Roman"/>
          <w:i/>
        </w:rPr>
      </w:pPr>
      <w:r w:rsidRPr="00FF6610">
        <w:rPr>
          <w:rFonts w:ascii="Times New Roman" w:hAnsi="Times New Roman" w:cs="Times New Roman"/>
          <w:i/>
        </w:rPr>
        <w:t>l) Jednota bratrská</w:t>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t>601 707 065 Kč,</w:t>
      </w:r>
    </w:p>
    <w:p w:rsidR="00FF6610" w:rsidRPr="00FF6610" w:rsidRDefault="00FF6610" w:rsidP="00FF6610">
      <w:pPr>
        <w:spacing w:after="120"/>
        <w:jc w:val="both"/>
        <w:rPr>
          <w:rFonts w:ascii="Times New Roman" w:hAnsi="Times New Roman" w:cs="Times New Roman"/>
          <w:i/>
        </w:rPr>
      </w:pPr>
      <w:r w:rsidRPr="00FF6610">
        <w:rPr>
          <w:rFonts w:ascii="Times New Roman" w:hAnsi="Times New Roman" w:cs="Times New Roman"/>
          <w:i/>
        </w:rPr>
        <w:t>m) Luterská evangelická církev a. v. v České republice</w:t>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113 828 334 Kč,</w:t>
      </w:r>
    </w:p>
    <w:p w:rsidR="00FF6610" w:rsidRPr="00FF6610" w:rsidRDefault="00FF6610" w:rsidP="00FF6610">
      <w:pPr>
        <w:spacing w:after="120"/>
        <w:jc w:val="both"/>
        <w:rPr>
          <w:rFonts w:ascii="Times New Roman" w:hAnsi="Times New Roman" w:cs="Times New Roman"/>
          <w:i/>
        </w:rPr>
      </w:pPr>
      <w:r w:rsidRPr="00FF6610">
        <w:rPr>
          <w:rFonts w:ascii="Times New Roman" w:hAnsi="Times New Roman" w:cs="Times New Roman"/>
          <w:i/>
        </w:rPr>
        <w:t>n) Náboženská společnost českých unitářů</w:t>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35 999 847 Kč,</w:t>
      </w:r>
    </w:p>
    <w:p w:rsidR="00FF6610" w:rsidRPr="00FF6610" w:rsidRDefault="00FF6610" w:rsidP="00FF6610">
      <w:pPr>
        <w:spacing w:after="120"/>
        <w:jc w:val="both"/>
        <w:rPr>
          <w:rFonts w:ascii="Times New Roman" w:hAnsi="Times New Roman" w:cs="Times New Roman"/>
          <w:i/>
        </w:rPr>
      </w:pPr>
      <w:r w:rsidRPr="00FF6610">
        <w:rPr>
          <w:rFonts w:ascii="Times New Roman" w:hAnsi="Times New Roman" w:cs="Times New Roman"/>
          <w:i/>
        </w:rPr>
        <w:lastRenderedPageBreak/>
        <w:t>o) Prav</w:t>
      </w:r>
      <w:r w:rsidRPr="00FF6610">
        <w:rPr>
          <w:rFonts w:ascii="Times New Roman" w:hAnsi="Times New Roman" w:cs="Times New Roman"/>
          <w:i/>
        </w:rPr>
        <w:t>oslavná církev v českých zemích</w:t>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1 146 511 242 Kč,</w:t>
      </w:r>
    </w:p>
    <w:p w:rsidR="00FF6610" w:rsidRPr="00FF6610" w:rsidRDefault="00FF6610" w:rsidP="00FF6610">
      <w:pPr>
        <w:spacing w:after="120"/>
        <w:jc w:val="both"/>
        <w:rPr>
          <w:rFonts w:ascii="Times New Roman" w:hAnsi="Times New Roman" w:cs="Times New Roman"/>
          <w:i/>
        </w:rPr>
      </w:pPr>
      <w:r w:rsidRPr="00FF6610">
        <w:rPr>
          <w:rFonts w:ascii="Times New Roman" w:hAnsi="Times New Roman" w:cs="Times New Roman"/>
          <w:i/>
        </w:rPr>
        <w:t>p) Slezská církev evangelická augsburského vyznání</w:t>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654 093 059 Kč,</w:t>
      </w:r>
    </w:p>
    <w:p w:rsidR="00FF6610" w:rsidRPr="00FF6610" w:rsidRDefault="00FF6610" w:rsidP="00FF6610">
      <w:pPr>
        <w:spacing w:after="120"/>
        <w:jc w:val="both"/>
        <w:rPr>
          <w:rFonts w:ascii="Times New Roman" w:hAnsi="Times New Roman" w:cs="Times New Roman"/>
          <w:i/>
        </w:rPr>
      </w:pPr>
      <w:r w:rsidRPr="00FF6610">
        <w:rPr>
          <w:rFonts w:ascii="Times New Roman" w:hAnsi="Times New Roman" w:cs="Times New Roman"/>
          <w:i/>
        </w:rPr>
        <w:t>r) Starokatolická církev v České republice</w:t>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ab/>
      </w:r>
      <w:r w:rsidRPr="00FF6610">
        <w:rPr>
          <w:rFonts w:ascii="Times New Roman" w:hAnsi="Times New Roman" w:cs="Times New Roman"/>
          <w:i/>
        </w:rPr>
        <w:t>272 739 910 Kč.</w:t>
      </w:r>
      <w:r w:rsidRPr="00FF6610">
        <w:rPr>
          <w:rFonts w:ascii="Times New Roman" w:hAnsi="Times New Roman" w:cs="Times New Roman"/>
        </w:rPr>
        <w:t>“</w:t>
      </w:r>
    </w:p>
    <w:p w:rsidR="00FF6610" w:rsidRPr="00FF6610" w:rsidRDefault="00FF6610" w:rsidP="00D001EC">
      <w:pPr>
        <w:spacing w:after="120"/>
        <w:jc w:val="both"/>
        <w:rPr>
          <w:rFonts w:ascii="Times New Roman" w:hAnsi="Times New Roman" w:cs="Times New Roman"/>
        </w:rPr>
      </w:pPr>
      <w:r>
        <w:rPr>
          <w:rFonts w:ascii="Times New Roman" w:hAnsi="Times New Roman" w:cs="Times New Roman"/>
        </w:rPr>
        <w:t>- dle ustanovení § 15 odst. 3. ZoMVCNS „</w:t>
      </w:r>
      <w:r w:rsidRPr="00FF6610">
        <w:rPr>
          <w:rFonts w:ascii="Times New Roman" w:hAnsi="Times New Roman" w:cs="Times New Roman"/>
          <w:i/>
        </w:rPr>
        <w:t>Finanční náhrada se vyplatí ve třiceti bezprostředně po sobě následujících ročních splátkách. Výše roční splátky se vypočte jako podíl nesplacené částky finanční náhrady a počtu dosud neuhrazených ročních splátek.</w:t>
      </w:r>
      <w:r>
        <w:rPr>
          <w:rFonts w:ascii="Times New Roman" w:hAnsi="Times New Roman" w:cs="Times New Roman"/>
        </w:rPr>
        <w:t>“</w:t>
      </w:r>
    </w:p>
    <w:p w:rsidR="00D001EC" w:rsidRDefault="00FF6610" w:rsidP="00D001EC">
      <w:pPr>
        <w:spacing w:after="120"/>
        <w:jc w:val="both"/>
        <w:rPr>
          <w:rFonts w:ascii="Times New Roman" w:hAnsi="Times New Roman" w:cs="Times New Roman"/>
        </w:rPr>
      </w:pPr>
      <w:r>
        <w:rPr>
          <w:rFonts w:ascii="Times New Roman" w:hAnsi="Times New Roman" w:cs="Times New Roman"/>
        </w:rPr>
        <w:t>- dle ustanovení § 15 odst. 6. ZoMVCNS „</w:t>
      </w:r>
      <w:r w:rsidRPr="00FF6610">
        <w:rPr>
          <w:rFonts w:ascii="Times New Roman" w:hAnsi="Times New Roman" w:cs="Times New Roman"/>
          <w:i/>
        </w:rPr>
        <w:t>Finanční náhrada není předmětem daně, poplatku ani jiného obdobného peněžitého plnění</w:t>
      </w:r>
      <w:r w:rsidRPr="00FF6610">
        <w:rPr>
          <w:rFonts w:ascii="Times New Roman" w:hAnsi="Times New Roman" w:cs="Times New Roman"/>
        </w:rPr>
        <w:t>.</w:t>
      </w:r>
      <w:r>
        <w:rPr>
          <w:rFonts w:ascii="Times New Roman" w:hAnsi="Times New Roman" w:cs="Times New Roman"/>
        </w:rPr>
        <w:t>“</w:t>
      </w:r>
    </w:p>
    <w:p w:rsidR="002F7BF5" w:rsidRPr="002F7BF5" w:rsidRDefault="002F7BF5" w:rsidP="002F7BF5">
      <w:pPr>
        <w:spacing w:after="120"/>
        <w:jc w:val="both"/>
        <w:rPr>
          <w:rFonts w:ascii="Times New Roman" w:hAnsi="Times New Roman" w:cs="Times New Roman"/>
        </w:rPr>
      </w:pPr>
      <w:r>
        <w:rPr>
          <w:rFonts w:ascii="Times New Roman" w:hAnsi="Times New Roman" w:cs="Times New Roman"/>
        </w:rPr>
        <w:t>- dle ustanovení § 17 odst. 1. ZoMVCNS „</w:t>
      </w:r>
      <w:r w:rsidRPr="002F7BF5">
        <w:rPr>
          <w:rFonts w:ascii="Times New Roman" w:hAnsi="Times New Roman" w:cs="Times New Roman"/>
          <w:i/>
        </w:rPr>
        <w:t>Po dobu 17 let ode dne nabytí účinnosti tohoto zákona (dále jen „přechodné období“) stát vyplácí dotčeným církvím a náboženským společnostem příspěvek na podporu jejich činnosti (dále jen „příspěvek“)</w:t>
      </w:r>
      <w:r w:rsidRPr="002F7BF5">
        <w:rPr>
          <w:rFonts w:ascii="Times New Roman" w:hAnsi="Times New Roman" w:cs="Times New Roman"/>
        </w:rPr>
        <w:t>.</w:t>
      </w:r>
      <w:r>
        <w:rPr>
          <w:rFonts w:ascii="Times New Roman" w:hAnsi="Times New Roman" w:cs="Times New Roman"/>
        </w:rPr>
        <w:t>“</w:t>
      </w:r>
    </w:p>
    <w:p w:rsidR="002F7BF5" w:rsidRPr="002F7BF5" w:rsidRDefault="002F7BF5" w:rsidP="002F7BF5">
      <w:pPr>
        <w:spacing w:after="120"/>
        <w:jc w:val="both"/>
        <w:rPr>
          <w:rFonts w:ascii="Times New Roman" w:hAnsi="Times New Roman" w:cs="Times New Roman"/>
        </w:rPr>
      </w:pPr>
      <w:r>
        <w:rPr>
          <w:rFonts w:ascii="Times New Roman" w:hAnsi="Times New Roman" w:cs="Times New Roman"/>
        </w:rPr>
        <w:t>- dle ustanovení § 17 odst. 2. ZoMVCNS „</w:t>
      </w:r>
      <w:r w:rsidRPr="002F7BF5">
        <w:rPr>
          <w:rFonts w:ascii="Times New Roman" w:hAnsi="Times New Roman" w:cs="Times New Roman"/>
          <w:i/>
        </w:rPr>
        <w:t>V prvních třech letech přechodného období se výše příspěvku rovná částce poskytnuté dotčené církvi a náboženské společnosti na základě zákona č. 218/1949 Sb., o hospodářském zabezpečení církví a náboženských společností státem, ve znění pozdějších předpisů, v roce 2011.</w:t>
      </w:r>
      <w:r>
        <w:rPr>
          <w:rFonts w:ascii="Times New Roman" w:hAnsi="Times New Roman" w:cs="Times New Roman"/>
        </w:rPr>
        <w:t>“</w:t>
      </w:r>
    </w:p>
    <w:p w:rsidR="002F7BF5" w:rsidRDefault="002F7BF5" w:rsidP="002F7BF5">
      <w:pPr>
        <w:spacing w:after="120"/>
        <w:jc w:val="both"/>
        <w:rPr>
          <w:rFonts w:ascii="Times New Roman" w:hAnsi="Times New Roman" w:cs="Times New Roman"/>
        </w:rPr>
      </w:pPr>
      <w:r>
        <w:rPr>
          <w:rFonts w:ascii="Times New Roman" w:hAnsi="Times New Roman" w:cs="Times New Roman"/>
        </w:rPr>
        <w:t>- dle ustanovení § 17 odst. 3. ZoMVCNS „</w:t>
      </w:r>
      <w:r w:rsidRPr="002F7BF5">
        <w:rPr>
          <w:rFonts w:ascii="Times New Roman" w:hAnsi="Times New Roman" w:cs="Times New Roman"/>
          <w:i/>
        </w:rPr>
        <w:t>Výše příspěvku se od čtvrtého roku přechodného období každoročně snižuje o částku odpovídající 5 % částky vyplacené v prvním roce přechodného období</w:t>
      </w:r>
      <w:r w:rsidRPr="002F7BF5">
        <w:rPr>
          <w:rFonts w:ascii="Times New Roman" w:hAnsi="Times New Roman" w:cs="Times New Roman"/>
        </w:rPr>
        <w:t>.</w:t>
      </w:r>
      <w:r>
        <w:rPr>
          <w:rFonts w:ascii="Times New Roman" w:hAnsi="Times New Roman" w:cs="Times New Roman"/>
        </w:rPr>
        <w:t>“</w:t>
      </w:r>
    </w:p>
    <w:p w:rsidR="005E0CEC" w:rsidRPr="00D001EC" w:rsidRDefault="005E0CEC" w:rsidP="002F7BF5">
      <w:pPr>
        <w:spacing w:after="120"/>
        <w:jc w:val="both"/>
        <w:rPr>
          <w:rFonts w:ascii="Times New Roman" w:hAnsi="Times New Roman" w:cs="Times New Roman"/>
        </w:rPr>
      </w:pPr>
      <w:r>
        <w:rPr>
          <w:rFonts w:ascii="Times New Roman" w:hAnsi="Times New Roman" w:cs="Times New Roman"/>
        </w:rPr>
        <w:t xml:space="preserve">- dle ustanovení § 17 odst. </w:t>
      </w:r>
      <w:r w:rsidR="00853CAA">
        <w:rPr>
          <w:rFonts w:ascii="Times New Roman" w:hAnsi="Times New Roman" w:cs="Times New Roman"/>
        </w:rPr>
        <w:t>5</w:t>
      </w:r>
      <w:r>
        <w:rPr>
          <w:rFonts w:ascii="Times New Roman" w:hAnsi="Times New Roman" w:cs="Times New Roman"/>
        </w:rPr>
        <w:t>. ZoMVCNS „</w:t>
      </w:r>
      <w:r w:rsidRPr="005E0CEC">
        <w:rPr>
          <w:rFonts w:ascii="Times New Roman" w:hAnsi="Times New Roman" w:cs="Times New Roman"/>
          <w:i/>
        </w:rPr>
        <w:t>Příspěvek není předmětem daně, poplatku ani jiného obdobného peněžitého plnění.“</w:t>
      </w:r>
    </w:p>
    <w:p w:rsidR="00D001EC" w:rsidRDefault="005E0CEC" w:rsidP="00475BF7">
      <w:pPr>
        <w:spacing w:after="120"/>
        <w:jc w:val="both"/>
        <w:rPr>
          <w:rFonts w:ascii="Times New Roman" w:hAnsi="Times New Roman" w:cs="Times New Roman"/>
        </w:rPr>
      </w:pPr>
      <w:r>
        <w:rPr>
          <w:rFonts w:ascii="Times New Roman" w:hAnsi="Times New Roman" w:cs="Times New Roman"/>
        </w:rPr>
        <w:t>Po dobu 30 let tak církve a náboženské společnosti každoročně přijmou nemalé množství finančních prostředků</w:t>
      </w:r>
      <w:r w:rsidR="003C01FC">
        <w:rPr>
          <w:rFonts w:ascii="Times New Roman" w:hAnsi="Times New Roman" w:cs="Times New Roman"/>
        </w:rPr>
        <w:t>. Tyto prostředky, které jsou formálně označené jako náhrada, v sobě zahrnují nejen vyrovnání za majetkové zásahy do vlastnických práv, ale též za zásahy do práv</w:t>
      </w:r>
      <w:r w:rsidR="00E35BB3">
        <w:rPr>
          <w:rFonts w:ascii="Times New Roman" w:hAnsi="Times New Roman" w:cs="Times New Roman"/>
        </w:rPr>
        <w:t xml:space="preserve"> k majetkům veřejného charakteru</w:t>
      </w:r>
      <w:r w:rsidR="003C01FC">
        <w:rPr>
          <w:rFonts w:ascii="Times New Roman" w:hAnsi="Times New Roman" w:cs="Times New Roman"/>
        </w:rPr>
        <w:t xml:space="preserve">, která </w:t>
      </w:r>
      <w:r w:rsidR="00E35BB3">
        <w:rPr>
          <w:rFonts w:ascii="Times New Roman" w:hAnsi="Times New Roman" w:cs="Times New Roman"/>
        </w:rPr>
        <w:t>církvím a náboženským společnostem pouze „příslušela“.</w:t>
      </w:r>
      <w:r w:rsidR="00E35BB3">
        <w:rPr>
          <w:rStyle w:val="Znakapoznpodarou"/>
          <w:rFonts w:ascii="Times New Roman" w:hAnsi="Times New Roman" w:cs="Times New Roman"/>
        </w:rPr>
        <w:footnoteReference w:id="2"/>
      </w:r>
    </w:p>
    <w:p w:rsidR="00723223" w:rsidRPr="00970A13" w:rsidRDefault="00723223" w:rsidP="00723223">
      <w:pPr>
        <w:jc w:val="both"/>
        <w:rPr>
          <w:rFonts w:ascii="Times New Roman" w:hAnsi="Times New Roman" w:cs="Times New Roman"/>
        </w:rPr>
      </w:pPr>
      <w:r w:rsidRPr="00970A13">
        <w:rPr>
          <w:rFonts w:ascii="Times New Roman" w:hAnsi="Times New Roman" w:cs="Times New Roman"/>
        </w:rPr>
        <w:t>Ústavní soud ve své judikatuře opakovaně připomíná, že restituční zákonodárství je směřováno ke zmírnění toliko některých majetkových křivd a že záměrem zákonodárcovým nemůže být i při jeho sebelepší vůli odstranění všech protiprávním komunistickým režimem napáchaných křivd. Ústavní soud přitom akcentuje vůli zákonodárcovu v tom směru, že je právě na něm, aby určil, následky kterých majetkových křivd bude zmírňovat.</w:t>
      </w:r>
      <w:r>
        <w:rPr>
          <w:rStyle w:val="Znakapoznpodarou"/>
          <w:rFonts w:ascii="Times New Roman" w:hAnsi="Times New Roman" w:cs="Times New Roman"/>
        </w:rPr>
        <w:footnoteReference w:id="3"/>
      </w:r>
    </w:p>
    <w:p w:rsidR="00853CAA" w:rsidRDefault="00853CAA" w:rsidP="00E35BB3">
      <w:pPr>
        <w:spacing w:after="120"/>
        <w:jc w:val="both"/>
        <w:rPr>
          <w:rFonts w:ascii="Times New Roman" w:hAnsi="Times New Roman" w:cs="Times New Roman"/>
        </w:rPr>
      </w:pPr>
      <w:r>
        <w:rPr>
          <w:rFonts w:ascii="Times New Roman" w:hAnsi="Times New Roman" w:cs="Times New Roman"/>
        </w:rPr>
        <w:t>Ve svém o</w:t>
      </w:r>
      <w:r w:rsidRPr="00853CAA">
        <w:rPr>
          <w:rFonts w:ascii="Times New Roman" w:hAnsi="Times New Roman" w:cs="Times New Roman"/>
        </w:rPr>
        <w:t>dlišné</w:t>
      </w:r>
      <w:r>
        <w:rPr>
          <w:rFonts w:ascii="Times New Roman" w:hAnsi="Times New Roman" w:cs="Times New Roman"/>
        </w:rPr>
        <w:t>m stanovisku</w:t>
      </w:r>
      <w:r w:rsidRPr="00853CAA">
        <w:rPr>
          <w:rFonts w:ascii="Times New Roman" w:hAnsi="Times New Roman" w:cs="Times New Roman"/>
        </w:rPr>
        <w:t xml:space="preserve"> </w:t>
      </w:r>
      <w:r>
        <w:rPr>
          <w:rFonts w:ascii="Times New Roman" w:hAnsi="Times New Roman" w:cs="Times New Roman"/>
        </w:rPr>
        <w:t xml:space="preserve">k Nálezu Ústavního soudu Pl. ÚS 10/93 se </w:t>
      </w:r>
      <w:r w:rsidRPr="00853CAA">
        <w:rPr>
          <w:rFonts w:ascii="Times New Roman" w:hAnsi="Times New Roman" w:cs="Times New Roman"/>
        </w:rPr>
        <w:t xml:space="preserve">soudce Jaroslava Fenyka </w:t>
      </w:r>
      <w:r>
        <w:rPr>
          <w:rFonts w:ascii="Times New Roman" w:hAnsi="Times New Roman" w:cs="Times New Roman"/>
        </w:rPr>
        <w:t>vyjádřil tak, že: „</w:t>
      </w:r>
      <w:r w:rsidRPr="00853CAA">
        <w:rPr>
          <w:rFonts w:ascii="Times New Roman" w:hAnsi="Times New Roman" w:cs="Times New Roman"/>
          <w:i/>
        </w:rPr>
        <w:t>Osoby, kterým se uvedeným právním předpisem poskytují restituční, subsidiární nebo dotační plnění, jsou zvýhodněny oproti jiným osobám, ať už fyzickým nebo právnickým, jimž předchozí právní úprava (zejm. zákon č. 87/1991 Sb., o mimosoudních rehabilitacích, a zákon č. 229/1991 Sb., o úpravě vlastnických vztahů k půdě a k jinému zemědělskému majetku, oba ve znění pozdějších předpisů) poskytla jen zlomek komfortu, jehož se dostává nyní právnickým osobám uvedeným v § 15 odst. 2 zákona č. 428/2012 Sb. V předchozích restitučních úpravách se oprávněné subjekty musely svého práva domáhat pracným administrativním a soudním způsobem a jejich restituční nároky byly často uspokojeny pouze zlomkem původního majetku. Podle posuzované úpravy se však oprávněné osoby nároků dočkaly přímo ze zákona</w:t>
      </w:r>
      <w:r w:rsidRPr="00853CAA">
        <w:rPr>
          <w:rFonts w:ascii="Times New Roman" w:hAnsi="Times New Roman" w:cs="Times New Roman"/>
        </w:rPr>
        <w:t>.</w:t>
      </w:r>
      <w:r>
        <w:rPr>
          <w:rFonts w:ascii="Times New Roman" w:hAnsi="Times New Roman" w:cs="Times New Roman"/>
        </w:rPr>
        <w:t>“</w:t>
      </w:r>
    </w:p>
    <w:p w:rsidR="0017710E" w:rsidRDefault="00853CAA" w:rsidP="00E35BB3">
      <w:pPr>
        <w:spacing w:after="120"/>
        <w:jc w:val="both"/>
        <w:rPr>
          <w:rFonts w:ascii="Times New Roman" w:hAnsi="Times New Roman" w:cs="Times New Roman"/>
          <w:i/>
        </w:rPr>
      </w:pPr>
      <w:r>
        <w:rPr>
          <w:rFonts w:ascii="Times New Roman" w:hAnsi="Times New Roman" w:cs="Times New Roman"/>
        </w:rPr>
        <w:t>„</w:t>
      </w:r>
      <w:r w:rsidR="00E35BB3" w:rsidRPr="00853CAA">
        <w:rPr>
          <w:rFonts w:ascii="Times New Roman" w:hAnsi="Times New Roman" w:cs="Times New Roman"/>
          <w:i/>
        </w:rPr>
        <w:t xml:space="preserve">Jak § 15 odst. 3, tak § 17 odst. 5 </w:t>
      </w:r>
      <w:r w:rsidRPr="00853CAA">
        <w:rPr>
          <w:rFonts w:ascii="Times New Roman" w:hAnsi="Times New Roman" w:cs="Times New Roman"/>
          <w:i/>
        </w:rPr>
        <w:t xml:space="preserve">ZoMVCNS </w:t>
      </w:r>
      <w:r w:rsidR="00E35BB3" w:rsidRPr="00853CAA">
        <w:rPr>
          <w:rFonts w:ascii="Times New Roman" w:hAnsi="Times New Roman" w:cs="Times New Roman"/>
          <w:i/>
        </w:rPr>
        <w:t>osvobozuje finanční náhradu a příspěvek od daně, poplatku a jakéhokoli jiného obdobného peněžitého plnění, což je typickou formou státní podpory</w:t>
      </w:r>
      <w:r w:rsidRPr="00853CAA">
        <w:rPr>
          <w:rFonts w:ascii="Times New Roman" w:hAnsi="Times New Roman" w:cs="Times New Roman"/>
          <w:i/>
        </w:rPr>
        <w:t xml:space="preserve">. </w:t>
      </w:r>
      <w:r w:rsidR="00E35BB3" w:rsidRPr="00853CAA">
        <w:rPr>
          <w:rFonts w:ascii="Times New Roman" w:hAnsi="Times New Roman" w:cs="Times New Roman"/>
          <w:i/>
        </w:rPr>
        <w:t xml:space="preserve">Poskytnutí příspěvků či dotace, subvence atd. je smysluplné, je-li věcně odůvodnitelné. Důvod poskytnutí takové podpory se zpravidla vymezuje stanovením jejího společensky přijatelného účelu, </w:t>
      </w:r>
      <w:r w:rsidR="00E35BB3" w:rsidRPr="00853CAA">
        <w:rPr>
          <w:rFonts w:ascii="Times New Roman" w:hAnsi="Times New Roman" w:cs="Times New Roman"/>
          <w:i/>
        </w:rPr>
        <w:lastRenderedPageBreak/>
        <w:t>který může spočívat např. v podpoře činnosti, kterou by jinak musel zabezpečovat stát nebo územně samosprávný celek atd. Církve a náboženské společnosti ji podle stávající úpravy mohou využít i libovolně a souvislost s hlavním předmětem činnosti v tom sehrává jen rámcovou roli. Přitom základní vlastností příspěvku či dotace by mělo být jejich účelové určení buď pro konkrétní činnost, nebo alespoň pro činnosti určitého druhu</w:t>
      </w:r>
      <w:r w:rsidRPr="00853CAA">
        <w:rPr>
          <w:rFonts w:ascii="Times New Roman" w:hAnsi="Times New Roman" w:cs="Times New Roman"/>
          <w:i/>
        </w:rPr>
        <w:t>…</w:t>
      </w:r>
      <w:r w:rsidR="00E35BB3" w:rsidRPr="00853CAA">
        <w:rPr>
          <w:rFonts w:ascii="Times New Roman" w:hAnsi="Times New Roman" w:cs="Times New Roman"/>
          <w:i/>
        </w:rPr>
        <w:t xml:space="preserve"> Církevní právnické osoby budou mít stejnou startovací pozici jako kterýkoli jiný soutěžitel na trhu (například se zemědělskými produkty), a přesto se jim díky přijaté právní úpravě dostává další mimořádné podpory z veřejných zdrojů (státní podpora). Mohou tedy nastat problémy při hodnocení testu proporcionality ve světle kritérií veřejné podpory. Příspěvky, dotace, subvence zpravidla nemají nárokovou povahu, nicméně zákon tento nárok předpokládá</w:t>
      </w:r>
      <w:r w:rsidRPr="00853CAA">
        <w:rPr>
          <w:rFonts w:ascii="Times New Roman" w:hAnsi="Times New Roman" w:cs="Times New Roman"/>
          <w:i/>
        </w:rPr>
        <w:t>.“</w:t>
      </w:r>
    </w:p>
    <w:p w:rsidR="0017710E" w:rsidRDefault="0017710E" w:rsidP="00E35BB3">
      <w:pPr>
        <w:spacing w:after="120"/>
        <w:jc w:val="both"/>
        <w:rPr>
          <w:rFonts w:ascii="Times New Roman" w:hAnsi="Times New Roman" w:cs="Times New Roman"/>
          <w:i/>
        </w:rPr>
      </w:pPr>
      <w:r>
        <w:rPr>
          <w:rFonts w:ascii="Times New Roman" w:hAnsi="Times New Roman" w:cs="Times New Roman"/>
        </w:rPr>
        <w:t>Ve svém o</w:t>
      </w:r>
      <w:r w:rsidRPr="00853CAA">
        <w:rPr>
          <w:rFonts w:ascii="Times New Roman" w:hAnsi="Times New Roman" w:cs="Times New Roman"/>
        </w:rPr>
        <w:t>dlišné</w:t>
      </w:r>
      <w:r>
        <w:rPr>
          <w:rFonts w:ascii="Times New Roman" w:hAnsi="Times New Roman" w:cs="Times New Roman"/>
        </w:rPr>
        <w:t>m stanovisku</w:t>
      </w:r>
      <w:r w:rsidRPr="00853CAA">
        <w:rPr>
          <w:rFonts w:ascii="Times New Roman" w:hAnsi="Times New Roman" w:cs="Times New Roman"/>
        </w:rPr>
        <w:t xml:space="preserve"> </w:t>
      </w:r>
      <w:r>
        <w:rPr>
          <w:rFonts w:ascii="Times New Roman" w:hAnsi="Times New Roman" w:cs="Times New Roman"/>
        </w:rPr>
        <w:t xml:space="preserve">k Nálezu Ústavního soudu Pl. ÚS 10/93 se </w:t>
      </w:r>
      <w:r w:rsidRPr="00853CAA">
        <w:rPr>
          <w:rFonts w:ascii="Times New Roman" w:hAnsi="Times New Roman" w:cs="Times New Roman"/>
        </w:rPr>
        <w:t>soudce J</w:t>
      </w:r>
      <w:r>
        <w:rPr>
          <w:rFonts w:ascii="Times New Roman" w:hAnsi="Times New Roman" w:cs="Times New Roman"/>
        </w:rPr>
        <w:t>an Musil vyjádřil tak, že: „</w:t>
      </w:r>
      <w:r w:rsidRPr="0017710E">
        <w:rPr>
          <w:rFonts w:ascii="Times New Roman" w:hAnsi="Times New Roman" w:cs="Times New Roman"/>
          <w:i/>
        </w:rPr>
        <w:t>Ustálená judikatura Ústavního soudu konstatuje, že české restituční zákonodárství je založeno na záměru vzniklé křivdy „zmírnit (nikoliv napravit)“, že „Ústava ani jiný právní předpis nevyžadují, aby tento majetek byl vrácen nebo za něj byla poskytnuta náhrada“ a že „zakotvení restitučních nároků bylo beneficiem státu – přesně vymezeným z hlediska časového a věcného“.“</w:t>
      </w:r>
    </w:p>
    <w:p w:rsidR="006E56DF" w:rsidRDefault="006E56DF" w:rsidP="00E35BB3">
      <w:pPr>
        <w:spacing w:after="120"/>
        <w:jc w:val="both"/>
        <w:rPr>
          <w:rFonts w:ascii="Times New Roman" w:hAnsi="Times New Roman" w:cs="Times New Roman"/>
          <w:i/>
        </w:rPr>
      </w:pPr>
      <w:r>
        <w:rPr>
          <w:rFonts w:ascii="Times New Roman" w:hAnsi="Times New Roman" w:cs="Times New Roman"/>
        </w:rPr>
        <w:t>„</w:t>
      </w:r>
      <w:r w:rsidRPr="006E56DF">
        <w:rPr>
          <w:rFonts w:ascii="Times New Roman" w:hAnsi="Times New Roman" w:cs="Times New Roman"/>
          <w:i/>
        </w:rPr>
        <w:t>V restitučním zákonodárství lze tedy vysledovat zřetelnou tendenci k určité selektivitě při výběru křivd, jež mají či nemají být zmírňovány.“</w:t>
      </w:r>
    </w:p>
    <w:p w:rsidR="006E56DF" w:rsidRDefault="006E56DF" w:rsidP="00E35BB3">
      <w:pPr>
        <w:spacing w:after="120"/>
        <w:jc w:val="both"/>
        <w:rPr>
          <w:rFonts w:ascii="Times New Roman" w:hAnsi="Times New Roman" w:cs="Times New Roman"/>
          <w:i/>
        </w:rPr>
      </w:pPr>
      <w:r>
        <w:rPr>
          <w:rFonts w:ascii="Times New Roman" w:hAnsi="Times New Roman" w:cs="Times New Roman"/>
        </w:rPr>
        <w:t>„</w:t>
      </w:r>
      <w:r>
        <w:rPr>
          <w:rFonts w:ascii="Times New Roman" w:hAnsi="Times New Roman" w:cs="Times New Roman"/>
          <w:i/>
        </w:rPr>
        <w:t>…</w:t>
      </w:r>
      <w:r w:rsidRPr="006E56DF">
        <w:rPr>
          <w:rFonts w:ascii="Times New Roman" w:hAnsi="Times New Roman" w:cs="Times New Roman"/>
          <w:i/>
        </w:rPr>
        <w:t xml:space="preserve"> míra selektivity při výběru subjektů, jimž bude či nebude poskytnuto restituční beneficium, nemůže být neomezená. Kritéria tohoto výběru musí být transparentní a přístupná demokratické kontrole ze strany veřejnosti. Také rozsah a podmínky odškodnění křivd nesmí být ve vztahu k různým skupinám subjektů, které jsou či nejsou odškodňovány, zjevně diskriminační. Pokud zákonodárce hodlá tyto podmínky stanovit rozdílně, musí k tomu mít vážné důvody, jež je povinen racionálně ozřejmit. Jestliže tak neučiní, vystavuje se podezření, že určitou skupinu občanů či institucí neoprávněně zvýhodňuje, např. proto, že takto privilegovaná skupina má silnější mocenskou nebo ekonomickou pozici, takže je schopna legislativní proces nespravedlivě ovlivnit ve svůj prospěch.“</w:t>
      </w:r>
    </w:p>
    <w:p w:rsidR="006E56DF" w:rsidRPr="006E56DF" w:rsidRDefault="006E56DF" w:rsidP="006E56DF">
      <w:pPr>
        <w:spacing w:after="120"/>
        <w:jc w:val="both"/>
        <w:rPr>
          <w:rFonts w:ascii="Times New Roman" w:hAnsi="Times New Roman" w:cs="Times New Roman"/>
          <w:i/>
        </w:rPr>
      </w:pPr>
      <w:r>
        <w:rPr>
          <w:rFonts w:ascii="Times New Roman" w:hAnsi="Times New Roman" w:cs="Times New Roman"/>
          <w:i/>
        </w:rPr>
        <w:t>„</w:t>
      </w:r>
      <w:r w:rsidRPr="006E56DF">
        <w:rPr>
          <w:rFonts w:ascii="Times New Roman" w:hAnsi="Times New Roman" w:cs="Times New Roman"/>
          <w:i/>
        </w:rPr>
        <w:t xml:space="preserve">Zvýhodnění církví a náboženských společností oproti jiným subjektům, jichž se týkalo dřívější restituční zákonodárství, se projevuje např. v těchto aspektech: </w:t>
      </w:r>
    </w:p>
    <w:p w:rsidR="006E56DF" w:rsidRPr="006E56DF" w:rsidRDefault="006E56DF" w:rsidP="006E56DF">
      <w:pPr>
        <w:spacing w:after="120"/>
        <w:jc w:val="both"/>
        <w:rPr>
          <w:rFonts w:ascii="Times New Roman" w:hAnsi="Times New Roman" w:cs="Times New Roman"/>
          <w:i/>
        </w:rPr>
      </w:pPr>
      <w:r w:rsidRPr="006E56DF">
        <w:rPr>
          <w:rFonts w:ascii="Times New Roman" w:hAnsi="Times New Roman" w:cs="Times New Roman"/>
          <w:i/>
        </w:rPr>
        <w:tab/>
        <w:t>- církevním právnickým osobám za nevydaný majetek náleží finanční náhrada ve výši současných tržních cen (§ 15 napadeného zákona), zatímco všechny předchozí restituční předpisy v minulosti přiznávaly finanční náhradu ve výši určené podle starších cenových předpisů, ta</w:t>
      </w:r>
      <w:r>
        <w:rPr>
          <w:rFonts w:ascii="Times New Roman" w:hAnsi="Times New Roman" w:cs="Times New Roman"/>
          <w:i/>
        </w:rPr>
        <w:t>kže náhrada byla výrazně nižší;</w:t>
      </w:r>
      <w:r w:rsidRPr="006E56DF">
        <w:rPr>
          <w:rFonts w:ascii="Times New Roman" w:hAnsi="Times New Roman" w:cs="Times New Roman"/>
          <w:i/>
        </w:rPr>
        <w:t xml:space="preserve"> </w:t>
      </w:r>
    </w:p>
    <w:p w:rsidR="006E56DF" w:rsidRPr="006E56DF" w:rsidRDefault="006E56DF" w:rsidP="006E56DF">
      <w:pPr>
        <w:spacing w:after="120"/>
        <w:jc w:val="both"/>
        <w:rPr>
          <w:rFonts w:ascii="Times New Roman" w:hAnsi="Times New Roman" w:cs="Times New Roman"/>
          <w:i/>
        </w:rPr>
      </w:pPr>
      <w:r w:rsidRPr="006E56DF">
        <w:rPr>
          <w:rFonts w:ascii="Times New Roman" w:hAnsi="Times New Roman" w:cs="Times New Roman"/>
          <w:i/>
        </w:rPr>
        <w:tab/>
        <w:t xml:space="preserve">- finanční náhrada se poskytuje i takovým církvím a náboženským společnostem, které v rozhodné době vůbec neexistovaly, a tudíž žádnou majetkovou újmu neutrpěly; </w:t>
      </w:r>
    </w:p>
    <w:p w:rsidR="006E56DF" w:rsidRDefault="006E56DF" w:rsidP="006E56DF">
      <w:pPr>
        <w:spacing w:after="120"/>
        <w:jc w:val="both"/>
        <w:rPr>
          <w:rFonts w:ascii="Times New Roman" w:hAnsi="Times New Roman" w:cs="Times New Roman"/>
          <w:i/>
        </w:rPr>
      </w:pPr>
      <w:r w:rsidRPr="006E56DF">
        <w:rPr>
          <w:rFonts w:ascii="Times New Roman" w:hAnsi="Times New Roman" w:cs="Times New Roman"/>
          <w:i/>
        </w:rPr>
        <w:tab/>
        <w:t>- výše nesplacené částky finanční náhrady poskytované podle § 15 odst. 5 napadeného zákona se každoročně zvyšuje o míru roční inflace; podle dřívějších restitučních předpisů nebyla žádná taková valorizace uplatňována.</w:t>
      </w:r>
      <w:r>
        <w:rPr>
          <w:rFonts w:ascii="Times New Roman" w:hAnsi="Times New Roman" w:cs="Times New Roman"/>
          <w:i/>
        </w:rPr>
        <w:t>“</w:t>
      </w:r>
    </w:p>
    <w:p w:rsidR="006E56DF" w:rsidRDefault="006E56DF" w:rsidP="00723223">
      <w:pPr>
        <w:spacing w:after="120"/>
        <w:jc w:val="both"/>
        <w:rPr>
          <w:rFonts w:ascii="Times New Roman" w:hAnsi="Times New Roman" w:cs="Times New Roman"/>
          <w:i/>
        </w:rPr>
      </w:pPr>
      <w:r>
        <w:rPr>
          <w:rFonts w:ascii="Times New Roman" w:hAnsi="Times New Roman" w:cs="Times New Roman"/>
          <w:i/>
        </w:rPr>
        <w:t>„</w:t>
      </w:r>
      <w:r w:rsidRPr="006E56DF">
        <w:rPr>
          <w:rFonts w:ascii="Times New Roman" w:hAnsi="Times New Roman" w:cs="Times New Roman"/>
          <w:i/>
        </w:rPr>
        <w:t>Ze všech uvedených důvodů se domnívám, že zákon č. 428/2012 Sb., o majetkovém vyrovnání s církvemi a náboženskými společnostmi, je v rozporu s ústavními předpisy a že návrhům na jeho zrušení mělo být vyhověno.</w:t>
      </w:r>
      <w:r>
        <w:rPr>
          <w:rFonts w:ascii="Times New Roman" w:hAnsi="Times New Roman" w:cs="Times New Roman"/>
          <w:i/>
        </w:rPr>
        <w:t>“</w:t>
      </w:r>
    </w:p>
    <w:p w:rsidR="00723223" w:rsidRDefault="00546CDC">
      <w:pPr>
        <w:jc w:val="both"/>
        <w:rPr>
          <w:rFonts w:ascii="Times New Roman" w:hAnsi="Times New Roman" w:cs="Times New Roman"/>
        </w:rPr>
      </w:pPr>
      <w:r>
        <w:rPr>
          <w:rFonts w:ascii="Times New Roman" w:hAnsi="Times New Roman" w:cs="Times New Roman"/>
        </w:rPr>
        <w:t>Jak říká jedno pěkné české přísloví „dvakrát měř a jednou řež“. Daný zákon nebyl dostatečně připraven. Především nebyly domyšleny důsledky, které daný zákon bude mít, ať už ekonomické, tak například diskriminační.</w:t>
      </w:r>
    </w:p>
    <w:p w:rsidR="00546CDC" w:rsidRPr="00970A13" w:rsidRDefault="00546CDC">
      <w:pPr>
        <w:jc w:val="both"/>
        <w:rPr>
          <w:rFonts w:ascii="Times New Roman" w:hAnsi="Times New Roman" w:cs="Times New Roman"/>
        </w:rPr>
      </w:pPr>
      <w:r>
        <w:rPr>
          <w:rFonts w:ascii="Times New Roman" w:hAnsi="Times New Roman" w:cs="Times New Roman"/>
        </w:rPr>
        <w:t>Zdanění církevních restitucí je tak určitý kompromis, který by mohl rozvířené vody nakonec uklidnit.</w:t>
      </w:r>
    </w:p>
    <w:sectPr w:rsidR="00546CDC" w:rsidRPr="00970A13" w:rsidSect="00215AF0">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5E5" w:rsidRDefault="00B625E5" w:rsidP="001B0941">
      <w:pPr>
        <w:spacing w:after="0" w:line="240" w:lineRule="auto"/>
      </w:pPr>
      <w:r>
        <w:separator/>
      </w:r>
    </w:p>
  </w:endnote>
  <w:endnote w:type="continuationSeparator" w:id="1">
    <w:p w:rsidR="00B625E5" w:rsidRDefault="00B625E5" w:rsidP="001B0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5E5" w:rsidRDefault="00B625E5" w:rsidP="001B0941">
      <w:pPr>
        <w:spacing w:after="0" w:line="240" w:lineRule="auto"/>
      </w:pPr>
      <w:r>
        <w:separator/>
      </w:r>
    </w:p>
  </w:footnote>
  <w:footnote w:type="continuationSeparator" w:id="1">
    <w:p w:rsidR="00B625E5" w:rsidRDefault="00B625E5" w:rsidP="001B0941">
      <w:pPr>
        <w:spacing w:after="0" w:line="240" w:lineRule="auto"/>
      </w:pPr>
      <w:r>
        <w:continuationSeparator/>
      </w:r>
    </w:p>
  </w:footnote>
  <w:footnote w:id="2">
    <w:p w:rsidR="00E35BB3" w:rsidRDefault="00E35BB3">
      <w:pPr>
        <w:pStyle w:val="Textpoznpodarou"/>
      </w:pPr>
      <w:r>
        <w:rPr>
          <w:rStyle w:val="Znakapoznpodarou"/>
        </w:rPr>
        <w:footnoteRef/>
      </w:r>
      <w:r>
        <w:t xml:space="preserve"> Bod 13. Nálezu Ústavního soudu sp. zn. </w:t>
      </w:r>
      <w:r w:rsidRPr="00E35BB3">
        <w:t>Pl. ÚS 10/1</w:t>
      </w:r>
      <w:r>
        <w:t>3 ze dne 29. 5. 2013</w:t>
      </w:r>
    </w:p>
  </w:footnote>
  <w:footnote w:id="3">
    <w:p w:rsidR="00723223" w:rsidRDefault="00723223" w:rsidP="00723223">
      <w:pPr>
        <w:pStyle w:val="Textpoznpodarou"/>
      </w:pPr>
      <w:r>
        <w:rPr>
          <w:rStyle w:val="Znakapoznpodarou"/>
        </w:rPr>
        <w:footnoteRef/>
      </w:r>
      <w:r>
        <w:t xml:space="preserve"> Bod 96. Nálezu Ústavního soudu sp. zn. </w:t>
      </w:r>
      <w:r w:rsidRPr="00E35BB3">
        <w:t>Pl. ÚS 10/1</w:t>
      </w:r>
      <w:r>
        <w:t>3 ze dne 29. 5.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941" w:rsidRDefault="001B0941" w:rsidP="001B0941">
    <w:pPr>
      <w:pStyle w:val="Zhlav"/>
      <w:jc w:val="right"/>
    </w:pPr>
    <w:r>
      <w:t>České PIS</w:t>
    </w:r>
  </w:p>
  <w:p w:rsidR="001B0941" w:rsidRDefault="001B0941" w:rsidP="001B0941">
    <w:pPr>
      <w:pStyle w:val="Zhlav"/>
      <w:jc w:val="right"/>
    </w:pPr>
    <w:r>
      <w:t>Mikuláš Nevřivý</w:t>
    </w:r>
  </w:p>
  <w:p w:rsidR="001B0941" w:rsidRDefault="001B0941" w:rsidP="001B0941">
    <w:pPr>
      <w:pStyle w:val="Zhlav"/>
      <w:jc w:val="right"/>
    </w:pPr>
    <w:r>
      <w:t>434520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A0DA5"/>
    <w:multiLevelType w:val="hybridMultilevel"/>
    <w:tmpl w:val="754412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B4885"/>
    <w:rsid w:val="00012F16"/>
    <w:rsid w:val="00047686"/>
    <w:rsid w:val="0007792F"/>
    <w:rsid w:val="00093840"/>
    <w:rsid w:val="00161A96"/>
    <w:rsid w:val="0017710E"/>
    <w:rsid w:val="001B0941"/>
    <w:rsid w:val="001C4982"/>
    <w:rsid w:val="00215AF0"/>
    <w:rsid w:val="002C76BF"/>
    <w:rsid w:val="002F7BF5"/>
    <w:rsid w:val="003C01FC"/>
    <w:rsid w:val="00447F6E"/>
    <w:rsid w:val="00461844"/>
    <w:rsid w:val="00475BF7"/>
    <w:rsid w:val="004938DB"/>
    <w:rsid w:val="00546CDC"/>
    <w:rsid w:val="005E0CEC"/>
    <w:rsid w:val="00604CA2"/>
    <w:rsid w:val="006377E4"/>
    <w:rsid w:val="00675C7C"/>
    <w:rsid w:val="006E56DF"/>
    <w:rsid w:val="007008A3"/>
    <w:rsid w:val="00723223"/>
    <w:rsid w:val="007555B6"/>
    <w:rsid w:val="00797C56"/>
    <w:rsid w:val="00853CAA"/>
    <w:rsid w:val="008C0C95"/>
    <w:rsid w:val="008C7042"/>
    <w:rsid w:val="00970A13"/>
    <w:rsid w:val="00A129FB"/>
    <w:rsid w:val="00A87398"/>
    <w:rsid w:val="00AF37E7"/>
    <w:rsid w:val="00B45BC3"/>
    <w:rsid w:val="00B625E5"/>
    <w:rsid w:val="00BE76FA"/>
    <w:rsid w:val="00BF0FAB"/>
    <w:rsid w:val="00C0710D"/>
    <w:rsid w:val="00C23854"/>
    <w:rsid w:val="00CF2258"/>
    <w:rsid w:val="00D001EC"/>
    <w:rsid w:val="00D02AA7"/>
    <w:rsid w:val="00D747C1"/>
    <w:rsid w:val="00DB4885"/>
    <w:rsid w:val="00E35BB3"/>
    <w:rsid w:val="00FF661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5AF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4885"/>
    <w:pPr>
      <w:ind w:left="720"/>
      <w:contextualSpacing/>
    </w:pPr>
  </w:style>
  <w:style w:type="paragraph" w:styleId="Zhlav">
    <w:name w:val="header"/>
    <w:basedOn w:val="Normln"/>
    <w:link w:val="ZhlavChar"/>
    <w:uiPriority w:val="99"/>
    <w:semiHidden/>
    <w:unhideWhenUsed/>
    <w:rsid w:val="001B094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B0941"/>
  </w:style>
  <w:style w:type="paragraph" w:styleId="Zpat">
    <w:name w:val="footer"/>
    <w:basedOn w:val="Normln"/>
    <w:link w:val="ZpatChar"/>
    <w:uiPriority w:val="99"/>
    <w:semiHidden/>
    <w:unhideWhenUsed/>
    <w:rsid w:val="001B094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B0941"/>
  </w:style>
  <w:style w:type="paragraph" w:styleId="Textpoznpodarou">
    <w:name w:val="footnote text"/>
    <w:basedOn w:val="Normln"/>
    <w:link w:val="TextpoznpodarouChar"/>
    <w:uiPriority w:val="99"/>
    <w:semiHidden/>
    <w:unhideWhenUsed/>
    <w:rsid w:val="00E35BB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35BB3"/>
    <w:rPr>
      <w:sz w:val="20"/>
      <w:szCs w:val="20"/>
    </w:rPr>
  </w:style>
  <w:style w:type="character" w:styleId="Znakapoznpodarou">
    <w:name w:val="footnote reference"/>
    <w:basedOn w:val="Standardnpsmoodstavce"/>
    <w:uiPriority w:val="99"/>
    <w:semiHidden/>
    <w:unhideWhenUsed/>
    <w:rsid w:val="00E35BB3"/>
    <w:rPr>
      <w:vertAlign w:val="superscript"/>
    </w:rPr>
  </w:style>
</w:styles>
</file>

<file path=word/webSettings.xml><?xml version="1.0" encoding="utf-8"?>
<w:webSettings xmlns:r="http://schemas.openxmlformats.org/officeDocument/2006/relationships" xmlns:w="http://schemas.openxmlformats.org/wordprocessingml/2006/main">
  <w:divs>
    <w:div w:id="123424406">
      <w:bodyDiv w:val="1"/>
      <w:marLeft w:val="0"/>
      <w:marRight w:val="0"/>
      <w:marTop w:val="0"/>
      <w:marBottom w:val="0"/>
      <w:divBdr>
        <w:top w:val="none" w:sz="0" w:space="0" w:color="auto"/>
        <w:left w:val="none" w:sz="0" w:space="0" w:color="auto"/>
        <w:bottom w:val="none" w:sz="0" w:space="0" w:color="auto"/>
        <w:right w:val="none" w:sz="0" w:space="0" w:color="auto"/>
      </w:divBdr>
    </w:div>
    <w:div w:id="206111721">
      <w:bodyDiv w:val="1"/>
      <w:marLeft w:val="0"/>
      <w:marRight w:val="0"/>
      <w:marTop w:val="0"/>
      <w:marBottom w:val="0"/>
      <w:divBdr>
        <w:top w:val="none" w:sz="0" w:space="0" w:color="auto"/>
        <w:left w:val="none" w:sz="0" w:space="0" w:color="auto"/>
        <w:bottom w:val="none" w:sz="0" w:space="0" w:color="auto"/>
        <w:right w:val="none" w:sz="0" w:space="0" w:color="auto"/>
      </w:divBdr>
      <w:divsChild>
        <w:div w:id="1241405059">
          <w:marLeft w:val="0"/>
          <w:marRight w:val="0"/>
          <w:marTop w:val="0"/>
          <w:marBottom w:val="100"/>
          <w:divBdr>
            <w:top w:val="none" w:sz="0" w:space="0" w:color="auto"/>
            <w:left w:val="none" w:sz="0" w:space="0" w:color="auto"/>
            <w:bottom w:val="none" w:sz="0" w:space="0" w:color="auto"/>
            <w:right w:val="none" w:sz="0" w:space="0" w:color="auto"/>
          </w:divBdr>
        </w:div>
      </w:divsChild>
    </w:div>
    <w:div w:id="699480032">
      <w:bodyDiv w:val="1"/>
      <w:marLeft w:val="0"/>
      <w:marRight w:val="0"/>
      <w:marTop w:val="0"/>
      <w:marBottom w:val="0"/>
      <w:divBdr>
        <w:top w:val="none" w:sz="0" w:space="0" w:color="auto"/>
        <w:left w:val="none" w:sz="0" w:space="0" w:color="auto"/>
        <w:bottom w:val="none" w:sz="0" w:space="0" w:color="auto"/>
        <w:right w:val="none" w:sz="0" w:space="0" w:color="auto"/>
      </w:divBdr>
    </w:div>
    <w:div w:id="1191802840">
      <w:bodyDiv w:val="1"/>
      <w:marLeft w:val="0"/>
      <w:marRight w:val="0"/>
      <w:marTop w:val="0"/>
      <w:marBottom w:val="0"/>
      <w:divBdr>
        <w:top w:val="none" w:sz="0" w:space="0" w:color="auto"/>
        <w:left w:val="none" w:sz="0" w:space="0" w:color="auto"/>
        <w:bottom w:val="none" w:sz="0" w:space="0" w:color="auto"/>
        <w:right w:val="none" w:sz="0" w:space="0" w:color="auto"/>
      </w:divBdr>
      <w:divsChild>
        <w:div w:id="1263028948">
          <w:marLeft w:val="0"/>
          <w:marRight w:val="0"/>
          <w:marTop w:val="0"/>
          <w:marBottom w:val="100"/>
          <w:divBdr>
            <w:top w:val="none" w:sz="0" w:space="0" w:color="auto"/>
            <w:left w:val="none" w:sz="0" w:space="0" w:color="auto"/>
            <w:bottom w:val="none" w:sz="0" w:space="0" w:color="auto"/>
            <w:right w:val="none" w:sz="0" w:space="0" w:color="auto"/>
          </w:divBdr>
        </w:div>
      </w:divsChild>
    </w:div>
    <w:div w:id="1472408561">
      <w:bodyDiv w:val="1"/>
      <w:marLeft w:val="0"/>
      <w:marRight w:val="0"/>
      <w:marTop w:val="0"/>
      <w:marBottom w:val="0"/>
      <w:divBdr>
        <w:top w:val="none" w:sz="0" w:space="0" w:color="auto"/>
        <w:left w:val="none" w:sz="0" w:space="0" w:color="auto"/>
        <w:bottom w:val="none" w:sz="0" w:space="0" w:color="auto"/>
        <w:right w:val="none" w:sz="0" w:space="0" w:color="auto"/>
      </w:divBdr>
    </w:div>
    <w:div w:id="2021809051">
      <w:bodyDiv w:val="1"/>
      <w:marLeft w:val="0"/>
      <w:marRight w:val="0"/>
      <w:marTop w:val="0"/>
      <w:marBottom w:val="0"/>
      <w:divBdr>
        <w:top w:val="none" w:sz="0" w:space="0" w:color="auto"/>
        <w:left w:val="none" w:sz="0" w:space="0" w:color="auto"/>
        <w:bottom w:val="none" w:sz="0" w:space="0" w:color="auto"/>
        <w:right w:val="none" w:sz="0" w:space="0" w:color="auto"/>
      </w:divBdr>
    </w:div>
    <w:div w:id="21009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65BFA-5660-43E4-8EE9-632AB050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1466</Words>
  <Characters>8653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Mikuláš Nevřivý</dc:creator>
  <cp:keywords/>
  <dc:description/>
  <cp:lastModifiedBy>Miki</cp:lastModifiedBy>
  <cp:revision>12</cp:revision>
  <dcterms:created xsi:type="dcterms:W3CDTF">2018-10-16T06:18:00Z</dcterms:created>
  <dcterms:modified xsi:type="dcterms:W3CDTF">2018-12-01T22:58:00Z</dcterms:modified>
</cp:coreProperties>
</file>