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38" w:rsidRPr="00F44C5F" w:rsidRDefault="008B2A38" w:rsidP="008B2A38">
      <w:pPr>
        <w:pStyle w:val="Normlnweb"/>
        <w:rPr>
          <w:lang w:val="en-US"/>
        </w:rPr>
      </w:pPr>
      <w:r w:rsidRPr="00F44C5F">
        <w:rPr>
          <w:lang w:val="en-US"/>
        </w:rPr>
        <w:t xml:space="preserve">The Supreme Court has been established to achieve a complete separation between the </w:t>
      </w:r>
      <w:smartTag w:uri="urn:schemas-microsoft-com:office:smarttags" w:element="place">
        <w:smartTag w:uri="urn:schemas-microsoft-com:office:smarttags" w:element="country-region">
          <w:r w:rsidRPr="00F44C5F">
            <w:rPr>
              <w:lang w:val="en-US"/>
            </w:rPr>
            <w:t>United Kingdom</w:t>
          </w:r>
        </w:smartTag>
      </w:smartTag>
      <w:r w:rsidRPr="00F44C5F">
        <w:rPr>
          <w:lang w:val="en-US"/>
        </w:rPr>
        <w:t xml:space="preserve">’s senior Judges and the Upper House of Parliament, </w:t>
      </w:r>
      <w:proofErr w:type="spellStart"/>
      <w:r w:rsidRPr="00F44C5F">
        <w:rPr>
          <w:lang w:val="en-US"/>
        </w:rPr>
        <w:t>emphasising</w:t>
      </w:r>
      <w:proofErr w:type="spellEnd"/>
      <w:r w:rsidRPr="00F44C5F">
        <w:rPr>
          <w:lang w:val="en-US"/>
        </w:rPr>
        <w:t> the independence of the Law Lords and increasing the transparency betw</w:t>
      </w:r>
      <w:r>
        <w:rPr>
          <w:lang w:val="en-US"/>
        </w:rPr>
        <w:t>een Parliament and the courts.</w:t>
      </w:r>
      <w:r>
        <w:rPr>
          <w:lang w:val="en-US"/>
        </w:rPr>
        <w:br/>
      </w:r>
      <w:r w:rsidRPr="00F44C5F">
        <w:rPr>
          <w:lang w:val="en-US"/>
        </w:rPr>
        <w:t xml:space="preserve">In August 2009 the Justices moved out of the House of Lords (where they sat as the Appellate Committee of the House of Lords) into their own building on the </w:t>
      </w:r>
      <w:hyperlink r:id="rId6" w:history="1">
        <w:r w:rsidRPr="00E31A85">
          <w:rPr>
            <w:rStyle w:val="Hypertextovodkaz"/>
            <w:color w:val="auto"/>
            <w:u w:val="none"/>
            <w:lang w:val="en-US"/>
          </w:rPr>
          <w:t>opposite side of Parliament Square</w:t>
        </w:r>
      </w:hyperlink>
      <w:r w:rsidRPr="00E31A85">
        <w:rPr>
          <w:lang w:val="en-US"/>
        </w:rPr>
        <w:t>. They will sit for the first time as a Supreme Court in October 2009.</w:t>
      </w:r>
      <w:r w:rsidRPr="00E31A85">
        <w:rPr>
          <w:lang w:val="en-US"/>
        </w:rPr>
        <w:br/>
      </w:r>
      <w:r w:rsidRPr="00F44C5F">
        <w:rPr>
          <w:lang w:val="en-US"/>
        </w:rPr>
        <w:t xml:space="preserve">The impact of Supreme Court decisions will extend far beyond the parties involved in any given case, shaping our society, and directly </w:t>
      </w:r>
      <w:r>
        <w:rPr>
          <w:lang w:val="en-US"/>
        </w:rPr>
        <w:t xml:space="preserve">affecting our everyday lives. </w:t>
      </w:r>
      <w:r>
        <w:rPr>
          <w:lang w:val="en-US"/>
        </w:rPr>
        <w:br/>
      </w:r>
      <w:r w:rsidRPr="00F44C5F">
        <w:rPr>
          <w:lang w:val="en-US"/>
        </w:rPr>
        <w:t xml:space="preserve">For instance, in their previous role as the Appellate Committee of the House of Lords, the Justices gave landmark rulings on the legality of the Hunting Act 2004 under European law, and whether or not a schoolgirl could be prevented from wearing traditional cultural dress. </w:t>
      </w:r>
    </w:p>
    <w:p w:rsidR="008B2A38" w:rsidRPr="00F44C5F" w:rsidRDefault="008B2A38" w:rsidP="008B2A38">
      <w:pPr>
        <w:pStyle w:val="Normlnweb"/>
        <w:rPr>
          <w:lang w:val="en-US"/>
        </w:rPr>
      </w:pPr>
      <w:r w:rsidRPr="00F44C5F">
        <w:rPr>
          <w:lang w:val="en-US"/>
        </w:rPr>
        <w:t xml:space="preserve">The Supreme Court, as well as being the final court of appeal, plays an important role in the development of </w:t>
      </w:r>
      <w:smartTag w:uri="urn:schemas-microsoft-com:office:smarttags" w:element="place">
        <w:smartTag w:uri="urn:schemas-microsoft-com:office:smarttags" w:element="country-region">
          <w:r w:rsidRPr="00F44C5F">
            <w:rPr>
              <w:lang w:val="en-US"/>
            </w:rPr>
            <w:t>United Kingdom</w:t>
          </w:r>
        </w:smartTag>
      </w:smartTag>
      <w:r w:rsidRPr="00F44C5F">
        <w:rPr>
          <w:lang w:val="en-US"/>
        </w:rPr>
        <w:t xml:space="preserve"> law. As an appeal court, The Supreme Court cannot consider a case unless a relevant order has been made in a lower court.</w:t>
      </w:r>
      <w:r>
        <w:rPr>
          <w:lang w:val="en-US"/>
        </w:rPr>
        <w:t xml:space="preserve"> </w:t>
      </w:r>
      <w:r w:rsidRPr="00F44C5F">
        <w:rPr>
          <w:lang w:val="en-US"/>
        </w:rPr>
        <w:t>The Supreme Court:</w:t>
      </w:r>
    </w:p>
    <w:p w:rsidR="008B2A38" w:rsidRPr="00F44C5F" w:rsidRDefault="008B2A38" w:rsidP="008B2A38">
      <w:pPr>
        <w:numPr>
          <w:ilvl w:val="0"/>
          <w:numId w:val="1"/>
        </w:numPr>
        <w:spacing w:before="100" w:beforeAutospacing="1" w:after="100" w:afterAutospacing="1"/>
        <w:rPr>
          <w:lang w:val="en-US"/>
        </w:rPr>
      </w:pPr>
      <w:r w:rsidRPr="00F44C5F">
        <w:rPr>
          <w:lang w:val="en-US"/>
        </w:rPr>
        <w:t xml:space="preserve">is the final court of appeal for all </w:t>
      </w:r>
      <w:smartTag w:uri="urn:schemas-microsoft-com:office:smarttags" w:element="country-region">
        <w:r w:rsidRPr="00F44C5F">
          <w:rPr>
            <w:lang w:val="en-US"/>
          </w:rPr>
          <w:t>United Kingdom</w:t>
        </w:r>
      </w:smartTag>
      <w:r w:rsidRPr="00F44C5F">
        <w:rPr>
          <w:lang w:val="en-US"/>
        </w:rPr>
        <w:t xml:space="preserve"> civil cases, and criminal cases from </w:t>
      </w:r>
      <w:smartTag w:uri="urn:schemas-microsoft-com:office:smarttags" w:element="country-region">
        <w:r w:rsidRPr="00F44C5F">
          <w:rPr>
            <w:lang w:val="en-US"/>
          </w:rPr>
          <w:t>England</w:t>
        </w:r>
      </w:smartTag>
      <w:r w:rsidRPr="00F44C5F">
        <w:rPr>
          <w:lang w:val="en-US"/>
        </w:rPr>
        <w:t xml:space="preserve">, </w:t>
      </w:r>
      <w:smartTag w:uri="urn:schemas-microsoft-com:office:smarttags" w:element="country-region">
        <w:r w:rsidRPr="00F44C5F">
          <w:rPr>
            <w:lang w:val="en-US"/>
          </w:rPr>
          <w:t>Wales</w:t>
        </w:r>
      </w:smartTag>
      <w:r w:rsidRPr="00F44C5F">
        <w:rPr>
          <w:lang w:val="en-US"/>
        </w:rPr>
        <w:t xml:space="preserve"> and </w:t>
      </w:r>
      <w:smartTag w:uri="urn:schemas-microsoft-com:office:smarttags" w:element="place">
        <w:smartTag w:uri="urn:schemas-microsoft-com:office:smarttags" w:element="country-region">
          <w:r w:rsidRPr="00F44C5F">
            <w:rPr>
              <w:lang w:val="en-US"/>
            </w:rPr>
            <w:t>Northern Ireland</w:t>
          </w:r>
        </w:smartTag>
      </w:smartTag>
      <w:r w:rsidRPr="00F44C5F">
        <w:rPr>
          <w:lang w:val="en-US"/>
        </w:rPr>
        <w:t xml:space="preserve"> </w:t>
      </w:r>
    </w:p>
    <w:p w:rsidR="008B2A38" w:rsidRPr="00F44C5F" w:rsidRDefault="008B2A38" w:rsidP="008B2A38">
      <w:pPr>
        <w:numPr>
          <w:ilvl w:val="0"/>
          <w:numId w:val="1"/>
        </w:numPr>
        <w:spacing w:before="100" w:beforeAutospacing="1" w:after="100" w:afterAutospacing="1"/>
        <w:rPr>
          <w:lang w:val="en-US"/>
        </w:rPr>
      </w:pPr>
      <w:r w:rsidRPr="00F44C5F">
        <w:rPr>
          <w:lang w:val="en-US"/>
        </w:rPr>
        <w:t xml:space="preserve">hears appeals on arguable points of law of general public importance </w:t>
      </w:r>
    </w:p>
    <w:p w:rsidR="008B2A38" w:rsidRPr="00F44C5F" w:rsidRDefault="008B2A38" w:rsidP="008B2A38">
      <w:pPr>
        <w:numPr>
          <w:ilvl w:val="0"/>
          <w:numId w:val="1"/>
        </w:numPr>
        <w:spacing w:before="100" w:beforeAutospacing="1" w:after="100" w:afterAutospacing="1"/>
        <w:rPr>
          <w:lang w:val="en-US"/>
        </w:rPr>
      </w:pPr>
      <w:r w:rsidRPr="00F44C5F">
        <w:rPr>
          <w:lang w:val="en-US"/>
        </w:rPr>
        <w:t xml:space="preserve">concentrates on cases of the greatest public and constitutional importance </w:t>
      </w:r>
    </w:p>
    <w:p w:rsidR="008B2A38" w:rsidRPr="00F44C5F" w:rsidRDefault="008B2A38" w:rsidP="008B2A38">
      <w:pPr>
        <w:numPr>
          <w:ilvl w:val="0"/>
          <w:numId w:val="1"/>
        </w:numPr>
        <w:spacing w:before="100" w:beforeAutospacing="1" w:after="100" w:afterAutospacing="1"/>
        <w:rPr>
          <w:lang w:val="en-US"/>
        </w:rPr>
      </w:pPr>
      <w:r w:rsidRPr="00F44C5F">
        <w:rPr>
          <w:lang w:val="en-US"/>
        </w:rPr>
        <w:t xml:space="preserve">maintains and develops the role of the highest court in the </w:t>
      </w:r>
      <w:smartTag w:uri="urn:schemas-microsoft-com:office:smarttags" w:element="place">
        <w:smartTag w:uri="urn:schemas-microsoft-com:office:smarttags" w:element="country-region">
          <w:r w:rsidRPr="00F44C5F">
            <w:rPr>
              <w:lang w:val="en-US"/>
            </w:rPr>
            <w:t>United Kingdom</w:t>
          </w:r>
        </w:smartTag>
      </w:smartTag>
      <w:r w:rsidRPr="00F44C5F">
        <w:rPr>
          <w:lang w:val="en-US"/>
        </w:rPr>
        <w:t xml:space="preserve"> as a leader in the common law world</w:t>
      </w:r>
    </w:p>
    <w:p w:rsidR="008B2A38" w:rsidRPr="00F44C5F" w:rsidRDefault="008B2A38" w:rsidP="008B2A38">
      <w:pPr>
        <w:pStyle w:val="Normlnweb"/>
        <w:rPr>
          <w:lang w:val="en-US"/>
        </w:rPr>
      </w:pPr>
      <w:r w:rsidRPr="00F44C5F">
        <w:rPr>
          <w:lang w:val="en-US"/>
        </w:rPr>
        <w:t>The Supreme Court hears appeals from the following courts in each jurisdiction:</w:t>
      </w:r>
    </w:p>
    <w:p w:rsidR="008B2A38" w:rsidRPr="00F44C5F" w:rsidRDefault="008B2A38" w:rsidP="008B2A38">
      <w:pPr>
        <w:pStyle w:val="Normlnweb"/>
        <w:rPr>
          <w:lang w:val="en-US"/>
        </w:rPr>
      </w:pPr>
      <w:smartTag w:uri="urn:schemas-microsoft-com:office:smarttags" w:element="country-region">
        <w:r w:rsidRPr="00F44C5F">
          <w:rPr>
            <w:rStyle w:val="Siln"/>
            <w:lang w:val="en-US"/>
          </w:rPr>
          <w:t>England</w:t>
        </w:r>
      </w:smartTag>
      <w:r w:rsidRPr="00F44C5F">
        <w:rPr>
          <w:rStyle w:val="Siln"/>
          <w:lang w:val="en-US"/>
        </w:rPr>
        <w:t xml:space="preserve"> and </w:t>
      </w:r>
      <w:smartTag w:uri="urn:schemas-microsoft-com:office:smarttags" w:element="place">
        <w:smartTag w:uri="urn:schemas-microsoft-com:office:smarttags" w:element="country-region">
          <w:r w:rsidRPr="00F44C5F">
            <w:rPr>
              <w:rStyle w:val="Siln"/>
              <w:lang w:val="en-US"/>
            </w:rPr>
            <w:t>Wales</w:t>
          </w:r>
        </w:smartTag>
      </w:smartTag>
    </w:p>
    <w:p w:rsidR="008B2A38" w:rsidRPr="00F44C5F" w:rsidRDefault="008B2A38" w:rsidP="008B2A38">
      <w:pPr>
        <w:numPr>
          <w:ilvl w:val="0"/>
          <w:numId w:val="2"/>
        </w:numPr>
        <w:spacing w:before="100" w:beforeAutospacing="1" w:after="100" w:afterAutospacing="1"/>
        <w:rPr>
          <w:lang w:val="en-US"/>
        </w:rPr>
      </w:pPr>
      <w:r w:rsidRPr="00F44C5F">
        <w:rPr>
          <w:lang w:val="en-US"/>
        </w:rPr>
        <w:t xml:space="preserve">The Court of Appeal, Civil Division </w:t>
      </w:r>
    </w:p>
    <w:p w:rsidR="008B2A38" w:rsidRPr="00F44C5F" w:rsidRDefault="008B2A38" w:rsidP="008B2A38">
      <w:pPr>
        <w:numPr>
          <w:ilvl w:val="0"/>
          <w:numId w:val="2"/>
        </w:numPr>
        <w:spacing w:before="100" w:beforeAutospacing="1" w:after="100" w:afterAutospacing="1"/>
        <w:rPr>
          <w:lang w:val="en-US"/>
        </w:rPr>
      </w:pPr>
      <w:r w:rsidRPr="00F44C5F">
        <w:rPr>
          <w:lang w:val="en-US"/>
        </w:rPr>
        <w:t xml:space="preserve">The Court of Appeal, Criminal Division </w:t>
      </w:r>
    </w:p>
    <w:p w:rsidR="008B2A38" w:rsidRPr="00F44C5F" w:rsidRDefault="008B2A38" w:rsidP="008B2A38">
      <w:pPr>
        <w:numPr>
          <w:ilvl w:val="0"/>
          <w:numId w:val="2"/>
        </w:numPr>
        <w:spacing w:before="100" w:beforeAutospacing="1" w:after="100" w:afterAutospacing="1"/>
        <w:rPr>
          <w:lang w:val="en-US"/>
        </w:rPr>
      </w:pPr>
      <w:r w:rsidRPr="00F44C5F">
        <w:rPr>
          <w:lang w:val="en-US"/>
        </w:rPr>
        <w:t>(in some limited cases) the High Court</w:t>
      </w:r>
    </w:p>
    <w:p w:rsidR="008B2A38" w:rsidRPr="00F44C5F" w:rsidRDefault="008B2A38" w:rsidP="008B2A38">
      <w:pPr>
        <w:pStyle w:val="Normlnweb"/>
        <w:rPr>
          <w:lang w:val="en-US"/>
        </w:rPr>
      </w:pPr>
      <w:smartTag w:uri="urn:schemas-microsoft-com:office:smarttags" w:element="place">
        <w:smartTag w:uri="urn:schemas-microsoft-com:office:smarttags" w:element="country-region">
          <w:r w:rsidRPr="00F44C5F">
            <w:rPr>
              <w:rStyle w:val="Siln"/>
              <w:lang w:val="en-US"/>
            </w:rPr>
            <w:t>Scotland</w:t>
          </w:r>
        </w:smartTag>
      </w:smartTag>
    </w:p>
    <w:p w:rsidR="008B2A38" w:rsidRPr="00F44C5F" w:rsidRDefault="008B2A38" w:rsidP="008B2A38">
      <w:pPr>
        <w:numPr>
          <w:ilvl w:val="0"/>
          <w:numId w:val="3"/>
        </w:numPr>
        <w:spacing w:before="100" w:beforeAutospacing="1" w:after="100" w:afterAutospacing="1"/>
        <w:rPr>
          <w:lang w:val="en-US"/>
        </w:rPr>
      </w:pPr>
      <w:r w:rsidRPr="00F44C5F">
        <w:rPr>
          <w:lang w:val="en-US"/>
        </w:rPr>
        <w:t>The Court of Session</w:t>
      </w:r>
    </w:p>
    <w:p w:rsidR="008B2A38" w:rsidRPr="00F44C5F" w:rsidRDefault="008B2A38" w:rsidP="008B2A38">
      <w:pPr>
        <w:pStyle w:val="Normlnweb"/>
        <w:rPr>
          <w:lang w:val="en-US"/>
        </w:rPr>
      </w:pPr>
      <w:smartTag w:uri="urn:schemas-microsoft-com:office:smarttags" w:element="place">
        <w:smartTag w:uri="urn:schemas-microsoft-com:office:smarttags" w:element="country-region">
          <w:r w:rsidRPr="00F44C5F">
            <w:rPr>
              <w:rStyle w:val="Siln"/>
              <w:lang w:val="en-US"/>
            </w:rPr>
            <w:t>Northern Ireland</w:t>
          </w:r>
        </w:smartTag>
      </w:smartTag>
    </w:p>
    <w:p w:rsidR="008B2A38" w:rsidRPr="00F44C5F" w:rsidRDefault="008B2A38" w:rsidP="008B2A38">
      <w:pPr>
        <w:numPr>
          <w:ilvl w:val="0"/>
          <w:numId w:val="4"/>
        </w:numPr>
        <w:spacing w:before="100" w:beforeAutospacing="1" w:after="100" w:afterAutospacing="1"/>
        <w:rPr>
          <w:lang w:val="en-US"/>
        </w:rPr>
      </w:pPr>
      <w:r w:rsidRPr="00F44C5F">
        <w:rPr>
          <w:lang w:val="en-US"/>
        </w:rPr>
        <w:t xml:space="preserve">The Court of Appeal in </w:t>
      </w:r>
      <w:smartTag w:uri="urn:schemas-microsoft-com:office:smarttags" w:element="place">
        <w:smartTag w:uri="urn:schemas-microsoft-com:office:smarttags" w:element="country-region">
          <w:r w:rsidRPr="00F44C5F">
            <w:rPr>
              <w:lang w:val="en-US"/>
            </w:rPr>
            <w:t>Northern Ireland</w:t>
          </w:r>
        </w:smartTag>
      </w:smartTag>
      <w:r w:rsidRPr="00F44C5F">
        <w:rPr>
          <w:lang w:val="en-US"/>
        </w:rPr>
        <w:t xml:space="preserve"> </w:t>
      </w:r>
    </w:p>
    <w:p w:rsidR="008B2A38" w:rsidRPr="00F44C5F" w:rsidRDefault="008B2A38" w:rsidP="008B2A38">
      <w:pPr>
        <w:numPr>
          <w:ilvl w:val="0"/>
          <w:numId w:val="4"/>
        </w:numPr>
        <w:spacing w:before="100" w:beforeAutospacing="1" w:after="100" w:afterAutospacing="1"/>
        <w:rPr>
          <w:lang w:val="en-US"/>
        </w:rPr>
      </w:pPr>
      <w:r w:rsidRPr="00F44C5F">
        <w:rPr>
          <w:lang w:val="en-US"/>
        </w:rPr>
        <w:t>(in some limited cases) the High Court</w:t>
      </w:r>
    </w:p>
    <w:p w:rsidR="008B2A38" w:rsidRDefault="008B2A38" w:rsidP="008B2A38">
      <w:pPr>
        <w:pStyle w:val="Normlnweb"/>
        <w:rPr>
          <w:lang w:val="en-US"/>
        </w:rPr>
      </w:pPr>
      <w:r w:rsidRPr="00F44C5F">
        <w:rPr>
          <w:lang w:val="en-US"/>
        </w:rPr>
        <w:t xml:space="preserve">As the highest court of appeal in the </w:t>
      </w:r>
      <w:smartTag w:uri="urn:schemas-microsoft-com:office:smarttags" w:element="country-region">
        <w:smartTag w:uri="urn:schemas-microsoft-com:office:smarttags" w:element="place">
          <w:r w:rsidRPr="00F44C5F">
            <w:rPr>
              <w:lang w:val="en-US"/>
            </w:rPr>
            <w:t>United Kingdom</w:t>
          </w:r>
        </w:smartTag>
      </w:smartTag>
      <w:r w:rsidRPr="00F44C5F">
        <w:rPr>
          <w:lang w:val="en-US"/>
        </w:rPr>
        <w:t xml:space="preserve">, The Supreme Court acts as the final arbiter on cases. Occasionally, The Court will be called upon to interpret European law and the European Convention on Human Rights as they relate to our domestic laws. </w:t>
      </w:r>
      <w:r>
        <w:rPr>
          <w:lang w:val="en-US"/>
        </w:rPr>
        <w:t xml:space="preserve"> </w:t>
      </w:r>
    </w:p>
    <w:p w:rsidR="008B2A38" w:rsidRDefault="008B2A38" w:rsidP="008B2A38">
      <w:pPr>
        <w:pStyle w:val="Normlnweb"/>
        <w:rPr>
          <w:lang w:val="en-US"/>
        </w:rPr>
      </w:pPr>
      <w:r w:rsidRPr="00F44C5F">
        <w:rPr>
          <w:lang w:val="en-US"/>
        </w:rPr>
        <w:t>Under European law, member states’ courts should always make their rulings according to principles laid down in relevant decisions by the European Court of Justice (ECJ). </w:t>
      </w:r>
    </w:p>
    <w:p w:rsidR="008B2A38" w:rsidRDefault="008B2A38" w:rsidP="008B2A38">
      <w:pPr>
        <w:pStyle w:val="Normlnweb"/>
        <w:rPr>
          <w:lang w:val="en-US"/>
        </w:rPr>
      </w:pPr>
      <w:r w:rsidRPr="00F44C5F">
        <w:rPr>
          <w:lang w:val="en-US"/>
        </w:rPr>
        <w:t xml:space="preserve"> If The Supreme Court is considering a case where interpretation of an ECJ decision is unclear, the Justices can refer the question to the ECJ for clarification.  They will then base their own decision on this answer.</w:t>
      </w:r>
      <w:r>
        <w:rPr>
          <w:lang w:val="en-US"/>
        </w:rPr>
        <w:t xml:space="preserve"> </w:t>
      </w:r>
      <w:r w:rsidRPr="00F44C5F">
        <w:rPr>
          <w:lang w:val="en-US"/>
        </w:rPr>
        <w:t xml:space="preserve">In cases relating to the European Convention on Human </w:t>
      </w:r>
      <w:r w:rsidRPr="00F44C5F">
        <w:rPr>
          <w:lang w:val="en-US"/>
        </w:rPr>
        <w:lastRenderedPageBreak/>
        <w:t xml:space="preserve">Rights, it is accepted that no national court should “without strong reason dilute or weaken the effect of the </w:t>
      </w:r>
      <w:smartTag w:uri="urn:schemas-microsoft-com:office:smarttags" w:element="place">
        <w:smartTag w:uri="urn:schemas-microsoft-com:office:smarttags" w:element="City">
          <w:r w:rsidRPr="00F44C5F">
            <w:rPr>
              <w:lang w:val="en-US"/>
            </w:rPr>
            <w:t>Strasbourg</w:t>
          </w:r>
        </w:smartTag>
      </w:smartTag>
      <w:r w:rsidRPr="00F44C5F">
        <w:rPr>
          <w:lang w:val="en-US"/>
        </w:rPr>
        <w:t xml:space="preserve"> case law” (Lord Bingham of Cornhill in R (</w:t>
      </w:r>
      <w:proofErr w:type="spellStart"/>
      <w:r w:rsidRPr="00F44C5F">
        <w:rPr>
          <w:lang w:val="en-US"/>
        </w:rPr>
        <w:t>Ullah</w:t>
      </w:r>
      <w:proofErr w:type="spellEnd"/>
      <w:r w:rsidRPr="00F44C5F">
        <w:rPr>
          <w:lang w:val="en-US"/>
        </w:rPr>
        <w:t xml:space="preserve">) v Special Adjudicator (2004)).  </w:t>
      </w:r>
      <w:r>
        <w:rPr>
          <w:lang w:val="en-US"/>
        </w:rPr>
        <w:t xml:space="preserve"> </w:t>
      </w:r>
    </w:p>
    <w:p w:rsidR="008B2A38" w:rsidRPr="00F44C5F" w:rsidRDefault="008B2A38" w:rsidP="008B2A38">
      <w:pPr>
        <w:pStyle w:val="Normlnweb"/>
        <w:rPr>
          <w:lang w:val="en-US"/>
        </w:rPr>
      </w:pPr>
      <w:r w:rsidRPr="00F44C5F">
        <w:rPr>
          <w:lang w:val="en-US"/>
        </w:rPr>
        <w:t xml:space="preserve">If human rights principles seem to have been breached, it may be possible to appeal to the </w:t>
      </w:r>
      <w:smartTag w:uri="urn:schemas-microsoft-com:office:smarttags" w:element="Street">
        <w:smartTag w:uri="urn:schemas-microsoft-com:office:smarttags" w:element="address">
          <w:r w:rsidRPr="00F44C5F">
            <w:rPr>
              <w:lang w:val="en-US"/>
            </w:rPr>
            <w:t>European Court</w:t>
          </w:r>
        </w:smartTag>
      </w:smartTag>
      <w:r w:rsidRPr="00F44C5F">
        <w:rPr>
          <w:lang w:val="en-US"/>
        </w:rPr>
        <w:t xml:space="preserve"> after all avenues of appeal in the </w:t>
      </w:r>
      <w:smartTag w:uri="urn:schemas-microsoft-com:office:smarttags" w:element="place">
        <w:smartTag w:uri="urn:schemas-microsoft-com:office:smarttags" w:element="country-region">
          <w:r w:rsidRPr="00F44C5F">
            <w:rPr>
              <w:lang w:val="en-US"/>
            </w:rPr>
            <w:t>United Kingdom</w:t>
          </w:r>
        </w:smartTag>
      </w:smartTag>
      <w:r w:rsidRPr="00F44C5F">
        <w:rPr>
          <w:lang w:val="en-US"/>
        </w:rPr>
        <w:t xml:space="preserve"> have been exhausted, or The Supreme Court has no jurisdiction in this particular case.</w:t>
      </w:r>
    </w:p>
    <w:p w:rsidR="008B2A38" w:rsidRPr="00C72AC4" w:rsidRDefault="008B2A38" w:rsidP="008B2A38">
      <w:pPr>
        <w:rPr>
          <w:lang w:val="en-US"/>
        </w:rPr>
      </w:pPr>
      <w:r>
        <w:rPr>
          <w:lang w:val="en-US"/>
        </w:rPr>
        <w:t>[</w:t>
      </w:r>
      <w:r>
        <w:t xml:space="preserve">cit. </w:t>
      </w:r>
      <w:r w:rsidR="00785409">
        <w:t>18.9</w:t>
      </w:r>
      <w:proofErr w:type="gramStart"/>
      <w:r w:rsidR="00785409">
        <w:t>.</w:t>
      </w:r>
      <w:r>
        <w:t>.20</w:t>
      </w:r>
      <w:r w:rsidR="00785409">
        <w:t>13</w:t>
      </w:r>
      <w:proofErr w:type="gramEnd"/>
      <w:r>
        <w:rPr>
          <w:lang w:val="en-US"/>
        </w:rPr>
        <w:t>]</w:t>
      </w:r>
      <w:r>
        <w:t xml:space="preserve"> dostupný z </w:t>
      </w:r>
      <w:r>
        <w:rPr>
          <w:lang w:val="en-US"/>
        </w:rPr>
        <w:t>&lt;</w:t>
      </w:r>
      <w:hyperlink r:id="rId7" w:history="1">
        <w:r w:rsidRPr="00183B54">
          <w:rPr>
            <w:rStyle w:val="Hypertextovodkaz"/>
          </w:rPr>
          <w:t>http://www.supremecourt.gov.uk</w:t>
        </w:r>
      </w:hyperlink>
      <w:r>
        <w:rPr>
          <w:lang w:val="en-US"/>
        </w:rPr>
        <w:t>&gt;</w:t>
      </w:r>
    </w:p>
    <w:p w:rsidR="008B2A38" w:rsidRDefault="008B2A38" w:rsidP="008B2A38"/>
    <w:p w:rsidR="008B2A38" w:rsidRDefault="008B2A38" w:rsidP="008B2A38"/>
    <w:p w:rsidR="00CE017C" w:rsidRDefault="00CE017C">
      <w:bookmarkStart w:id="0" w:name="_GoBack"/>
      <w:bookmarkEnd w:id="0"/>
    </w:p>
    <w:sectPr w:rsidR="00CE0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85C"/>
    <w:multiLevelType w:val="multilevel"/>
    <w:tmpl w:val="89D6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D5750"/>
    <w:multiLevelType w:val="multilevel"/>
    <w:tmpl w:val="D5E8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854709"/>
    <w:multiLevelType w:val="multilevel"/>
    <w:tmpl w:val="D282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B50584"/>
    <w:multiLevelType w:val="multilevel"/>
    <w:tmpl w:val="AB36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38"/>
    <w:rsid w:val="000248CF"/>
    <w:rsid w:val="000379D9"/>
    <w:rsid w:val="000409E9"/>
    <w:rsid w:val="00064B9F"/>
    <w:rsid w:val="00086ABA"/>
    <w:rsid w:val="000A70ED"/>
    <w:rsid w:val="000C5970"/>
    <w:rsid w:val="000D2E1C"/>
    <w:rsid w:val="000E3A22"/>
    <w:rsid w:val="000F65FF"/>
    <w:rsid w:val="00104E04"/>
    <w:rsid w:val="001056FA"/>
    <w:rsid w:val="00115932"/>
    <w:rsid w:val="00120C9E"/>
    <w:rsid w:val="00126333"/>
    <w:rsid w:val="00126446"/>
    <w:rsid w:val="00143D17"/>
    <w:rsid w:val="00144C72"/>
    <w:rsid w:val="00151617"/>
    <w:rsid w:val="001628BD"/>
    <w:rsid w:val="001676AE"/>
    <w:rsid w:val="00192E02"/>
    <w:rsid w:val="001D16DF"/>
    <w:rsid w:val="001D1BBE"/>
    <w:rsid w:val="001D3E76"/>
    <w:rsid w:val="001D6728"/>
    <w:rsid w:val="001F0EB4"/>
    <w:rsid w:val="001F34E3"/>
    <w:rsid w:val="001F3C47"/>
    <w:rsid w:val="00216A0D"/>
    <w:rsid w:val="002206BB"/>
    <w:rsid w:val="002408CD"/>
    <w:rsid w:val="002516E2"/>
    <w:rsid w:val="002517E4"/>
    <w:rsid w:val="0026755A"/>
    <w:rsid w:val="002710DB"/>
    <w:rsid w:val="002B02F8"/>
    <w:rsid w:val="002B5048"/>
    <w:rsid w:val="002D5089"/>
    <w:rsid w:val="002D74B0"/>
    <w:rsid w:val="00302145"/>
    <w:rsid w:val="00315443"/>
    <w:rsid w:val="00340D6C"/>
    <w:rsid w:val="00343B12"/>
    <w:rsid w:val="003648EE"/>
    <w:rsid w:val="003805DA"/>
    <w:rsid w:val="003A73C3"/>
    <w:rsid w:val="003A7890"/>
    <w:rsid w:val="003B044E"/>
    <w:rsid w:val="003C0730"/>
    <w:rsid w:val="003C1940"/>
    <w:rsid w:val="003C6F0A"/>
    <w:rsid w:val="003D285C"/>
    <w:rsid w:val="003F1C65"/>
    <w:rsid w:val="003F3948"/>
    <w:rsid w:val="00404489"/>
    <w:rsid w:val="00411148"/>
    <w:rsid w:val="0041306E"/>
    <w:rsid w:val="004132D1"/>
    <w:rsid w:val="00434447"/>
    <w:rsid w:val="00441E28"/>
    <w:rsid w:val="00474C18"/>
    <w:rsid w:val="0049486D"/>
    <w:rsid w:val="004A73E1"/>
    <w:rsid w:val="004C1D24"/>
    <w:rsid w:val="004C42D4"/>
    <w:rsid w:val="004D1E0B"/>
    <w:rsid w:val="004D30C7"/>
    <w:rsid w:val="004E503D"/>
    <w:rsid w:val="004E5535"/>
    <w:rsid w:val="00503BEE"/>
    <w:rsid w:val="0050661B"/>
    <w:rsid w:val="00507A8C"/>
    <w:rsid w:val="0051084E"/>
    <w:rsid w:val="0052492C"/>
    <w:rsid w:val="0052498A"/>
    <w:rsid w:val="00546F57"/>
    <w:rsid w:val="00546FD5"/>
    <w:rsid w:val="00552474"/>
    <w:rsid w:val="0055417C"/>
    <w:rsid w:val="00577792"/>
    <w:rsid w:val="005877AE"/>
    <w:rsid w:val="00591695"/>
    <w:rsid w:val="00595DBF"/>
    <w:rsid w:val="005A6065"/>
    <w:rsid w:val="005A7C08"/>
    <w:rsid w:val="005B47A8"/>
    <w:rsid w:val="005C70C7"/>
    <w:rsid w:val="005F6F5B"/>
    <w:rsid w:val="00601E62"/>
    <w:rsid w:val="00601F8A"/>
    <w:rsid w:val="00602EDE"/>
    <w:rsid w:val="00614DE7"/>
    <w:rsid w:val="006171F5"/>
    <w:rsid w:val="006449A6"/>
    <w:rsid w:val="0064636F"/>
    <w:rsid w:val="006503A7"/>
    <w:rsid w:val="0065255F"/>
    <w:rsid w:val="00673A48"/>
    <w:rsid w:val="00676211"/>
    <w:rsid w:val="006765E3"/>
    <w:rsid w:val="006C7781"/>
    <w:rsid w:val="006F1092"/>
    <w:rsid w:val="007054CC"/>
    <w:rsid w:val="00725DA0"/>
    <w:rsid w:val="007505C1"/>
    <w:rsid w:val="00785409"/>
    <w:rsid w:val="00785CB5"/>
    <w:rsid w:val="007A0E7F"/>
    <w:rsid w:val="007A7221"/>
    <w:rsid w:val="007B4E17"/>
    <w:rsid w:val="007B6A73"/>
    <w:rsid w:val="007C276A"/>
    <w:rsid w:val="007C2E51"/>
    <w:rsid w:val="007D390C"/>
    <w:rsid w:val="007E52CD"/>
    <w:rsid w:val="007E5AE7"/>
    <w:rsid w:val="007F3D80"/>
    <w:rsid w:val="00823561"/>
    <w:rsid w:val="00836EE5"/>
    <w:rsid w:val="0086066F"/>
    <w:rsid w:val="00862ECE"/>
    <w:rsid w:val="00871B8E"/>
    <w:rsid w:val="008927B8"/>
    <w:rsid w:val="00896D1A"/>
    <w:rsid w:val="008B2A38"/>
    <w:rsid w:val="008F4E85"/>
    <w:rsid w:val="008F53FB"/>
    <w:rsid w:val="00946CEE"/>
    <w:rsid w:val="00960E70"/>
    <w:rsid w:val="00961826"/>
    <w:rsid w:val="0096433C"/>
    <w:rsid w:val="009674FD"/>
    <w:rsid w:val="00992A1F"/>
    <w:rsid w:val="009A0483"/>
    <w:rsid w:val="009B46A1"/>
    <w:rsid w:val="009C00C9"/>
    <w:rsid w:val="009D2A9D"/>
    <w:rsid w:val="009E2433"/>
    <w:rsid w:val="009E710D"/>
    <w:rsid w:val="00A00DF0"/>
    <w:rsid w:val="00A01F0E"/>
    <w:rsid w:val="00A03C0B"/>
    <w:rsid w:val="00A125AF"/>
    <w:rsid w:val="00A318F7"/>
    <w:rsid w:val="00A32B5A"/>
    <w:rsid w:val="00A47A64"/>
    <w:rsid w:val="00A55901"/>
    <w:rsid w:val="00A55A09"/>
    <w:rsid w:val="00A6318F"/>
    <w:rsid w:val="00A63EDF"/>
    <w:rsid w:val="00A87343"/>
    <w:rsid w:val="00A873E9"/>
    <w:rsid w:val="00AA432A"/>
    <w:rsid w:val="00AA523F"/>
    <w:rsid w:val="00AC1756"/>
    <w:rsid w:val="00AC2FE1"/>
    <w:rsid w:val="00B01031"/>
    <w:rsid w:val="00B03594"/>
    <w:rsid w:val="00B25EBF"/>
    <w:rsid w:val="00B33F37"/>
    <w:rsid w:val="00B80611"/>
    <w:rsid w:val="00B83E2D"/>
    <w:rsid w:val="00B93700"/>
    <w:rsid w:val="00BB7460"/>
    <w:rsid w:val="00BC4939"/>
    <w:rsid w:val="00BD4D47"/>
    <w:rsid w:val="00BE2C33"/>
    <w:rsid w:val="00BE6B4A"/>
    <w:rsid w:val="00BF11D3"/>
    <w:rsid w:val="00C225EB"/>
    <w:rsid w:val="00C327F1"/>
    <w:rsid w:val="00C420BE"/>
    <w:rsid w:val="00C56475"/>
    <w:rsid w:val="00C601E8"/>
    <w:rsid w:val="00C63F32"/>
    <w:rsid w:val="00C649EE"/>
    <w:rsid w:val="00C71F5F"/>
    <w:rsid w:val="00C9183C"/>
    <w:rsid w:val="00CA79AC"/>
    <w:rsid w:val="00CB10E9"/>
    <w:rsid w:val="00CD1833"/>
    <w:rsid w:val="00CD53A4"/>
    <w:rsid w:val="00CE017C"/>
    <w:rsid w:val="00CE3DB2"/>
    <w:rsid w:val="00D03A01"/>
    <w:rsid w:val="00D03CFB"/>
    <w:rsid w:val="00D17E07"/>
    <w:rsid w:val="00D35868"/>
    <w:rsid w:val="00D45108"/>
    <w:rsid w:val="00D50F9F"/>
    <w:rsid w:val="00D542DD"/>
    <w:rsid w:val="00D7233B"/>
    <w:rsid w:val="00D80205"/>
    <w:rsid w:val="00D87C2D"/>
    <w:rsid w:val="00D87C4D"/>
    <w:rsid w:val="00D911F3"/>
    <w:rsid w:val="00D915B1"/>
    <w:rsid w:val="00DB31E3"/>
    <w:rsid w:val="00DC2FB0"/>
    <w:rsid w:val="00DE7ED0"/>
    <w:rsid w:val="00DF60B5"/>
    <w:rsid w:val="00E33244"/>
    <w:rsid w:val="00E506A7"/>
    <w:rsid w:val="00E534BF"/>
    <w:rsid w:val="00E547C8"/>
    <w:rsid w:val="00E63A9A"/>
    <w:rsid w:val="00E65ADA"/>
    <w:rsid w:val="00E70895"/>
    <w:rsid w:val="00E74958"/>
    <w:rsid w:val="00E8269C"/>
    <w:rsid w:val="00E9367E"/>
    <w:rsid w:val="00E957F1"/>
    <w:rsid w:val="00EA7C63"/>
    <w:rsid w:val="00EE2B66"/>
    <w:rsid w:val="00EE3FA0"/>
    <w:rsid w:val="00EF6804"/>
    <w:rsid w:val="00F0748F"/>
    <w:rsid w:val="00F10CDE"/>
    <w:rsid w:val="00F152AB"/>
    <w:rsid w:val="00F161DD"/>
    <w:rsid w:val="00F34909"/>
    <w:rsid w:val="00F4337C"/>
    <w:rsid w:val="00F4492C"/>
    <w:rsid w:val="00F51563"/>
    <w:rsid w:val="00F54388"/>
    <w:rsid w:val="00F63A3C"/>
    <w:rsid w:val="00F643AE"/>
    <w:rsid w:val="00F72D44"/>
    <w:rsid w:val="00FD45F2"/>
    <w:rsid w:val="00FE5462"/>
    <w:rsid w:val="00FE6E93"/>
    <w:rsid w:val="00FF301A"/>
    <w:rsid w:val="00FF6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2A3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B2A38"/>
    <w:rPr>
      <w:color w:val="0000FF"/>
      <w:u w:val="single"/>
    </w:rPr>
  </w:style>
  <w:style w:type="paragraph" w:styleId="Normlnweb">
    <w:name w:val="Normal (Web)"/>
    <w:basedOn w:val="Normln"/>
    <w:rsid w:val="008B2A38"/>
    <w:pPr>
      <w:spacing w:before="100" w:beforeAutospacing="1" w:after="100" w:afterAutospacing="1"/>
    </w:pPr>
  </w:style>
  <w:style w:type="character" w:styleId="Siln">
    <w:name w:val="Strong"/>
    <w:qFormat/>
    <w:rsid w:val="008B2A38"/>
    <w:rPr>
      <w:b/>
      <w:bCs/>
    </w:rPr>
  </w:style>
  <w:style w:type="character" w:styleId="Sledovanodkaz">
    <w:name w:val="FollowedHyperlink"/>
    <w:basedOn w:val="Standardnpsmoodstavce"/>
    <w:uiPriority w:val="99"/>
    <w:semiHidden/>
    <w:unhideWhenUsed/>
    <w:rsid w:val="007854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2A3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B2A38"/>
    <w:rPr>
      <w:color w:val="0000FF"/>
      <w:u w:val="single"/>
    </w:rPr>
  </w:style>
  <w:style w:type="paragraph" w:styleId="Normlnweb">
    <w:name w:val="Normal (Web)"/>
    <w:basedOn w:val="Normln"/>
    <w:rsid w:val="008B2A38"/>
    <w:pPr>
      <w:spacing w:before="100" w:beforeAutospacing="1" w:after="100" w:afterAutospacing="1"/>
    </w:pPr>
  </w:style>
  <w:style w:type="character" w:styleId="Siln">
    <w:name w:val="Strong"/>
    <w:qFormat/>
    <w:rsid w:val="008B2A38"/>
    <w:rPr>
      <w:b/>
      <w:bCs/>
    </w:rPr>
  </w:style>
  <w:style w:type="character" w:styleId="Sledovanodkaz">
    <w:name w:val="FollowedHyperlink"/>
    <w:basedOn w:val="Standardnpsmoodstavce"/>
    <w:uiPriority w:val="99"/>
    <w:semiHidden/>
    <w:unhideWhenUsed/>
    <w:rsid w:val="007854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upremecour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remecourt.gov.uk/visiting/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2811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Šopovová</dc:creator>
  <cp:keywords/>
  <dc:description/>
  <cp:lastModifiedBy>Radoslava Šopovová</cp:lastModifiedBy>
  <cp:revision>2</cp:revision>
  <dcterms:created xsi:type="dcterms:W3CDTF">2013-09-18T10:04:00Z</dcterms:created>
  <dcterms:modified xsi:type="dcterms:W3CDTF">2013-09-18T11:08:00Z</dcterms:modified>
</cp:coreProperties>
</file>