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CF" w:rsidRPr="00371344" w:rsidRDefault="00371344">
      <w:pPr>
        <w:pStyle w:val="Normln1"/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371344">
        <w:rPr>
          <w:b/>
          <w:bCs/>
          <w:color w:val="000000" w:themeColor="text1"/>
          <w:sz w:val="28"/>
          <w:szCs w:val="28"/>
        </w:rPr>
        <w:t>S</w:t>
      </w:r>
      <w:r w:rsidR="007A1C2D" w:rsidRPr="00371344">
        <w:rPr>
          <w:b/>
          <w:bCs/>
          <w:color w:val="000000" w:themeColor="text1"/>
          <w:sz w:val="28"/>
          <w:szCs w:val="28"/>
        </w:rPr>
        <w:t>eznam t</w:t>
      </w:r>
      <w:r w:rsidR="00E157B2" w:rsidRPr="00371344">
        <w:rPr>
          <w:b/>
          <w:bCs/>
          <w:color w:val="000000" w:themeColor="text1"/>
          <w:sz w:val="28"/>
          <w:szCs w:val="28"/>
        </w:rPr>
        <w:t xml:space="preserve">émat přednášek předmětu </w:t>
      </w:r>
    </w:p>
    <w:p w:rsidR="006F06CF" w:rsidRDefault="00E157B2">
      <w:pPr>
        <w:pStyle w:val="Normln1"/>
        <w:spacing w:after="0" w:line="240" w:lineRule="auto"/>
        <w:jc w:val="center"/>
        <w:rPr>
          <w:rFonts w:ascii="Arial Black" w:hAnsi="Arial Black" w:cs="Arial Black"/>
          <w:b/>
          <w:bCs/>
          <w:sz w:val="32"/>
          <w:szCs w:val="32"/>
        </w:rPr>
      </w:pPr>
      <w:r>
        <w:rPr>
          <w:rFonts w:ascii="Arial Black" w:hAnsi="Arial Black" w:cs="Arial Black"/>
          <w:b/>
          <w:bCs/>
          <w:color w:val="DC2300"/>
          <w:sz w:val="32"/>
          <w:szCs w:val="32"/>
        </w:rPr>
        <w:t xml:space="preserve">Právo EU II </w:t>
      </w:r>
      <w:r>
        <w:rPr>
          <w:rFonts w:ascii="Arial Black" w:hAnsi="Arial Black" w:cs="Arial Black"/>
          <w:b/>
          <w:bCs/>
          <w:sz w:val="32"/>
          <w:szCs w:val="32"/>
        </w:rPr>
        <w:t>(7. semestr magisterského studia)</w:t>
      </w:r>
    </w:p>
    <w:p w:rsidR="006F06CF" w:rsidRDefault="00E157B2">
      <w:pPr>
        <w:pStyle w:val="Normln1"/>
        <w:spacing w:after="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(akademický rok 201</w:t>
      </w:r>
      <w:r w:rsidR="00186EA8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>/20</w:t>
      </w:r>
      <w:r w:rsidR="00186EA8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 xml:space="preserve"> - podzimní semestr</w:t>
      </w:r>
      <w:r w:rsidR="00B92F09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="00B92F09">
        <w:rPr>
          <w:rFonts w:ascii="Arial" w:hAnsi="Arial" w:cs="Arial"/>
          <w:b/>
          <w:bCs/>
          <w:sz w:val="28"/>
          <w:szCs w:val="28"/>
        </w:rPr>
        <w:t>PrF</w:t>
      </w:r>
      <w:proofErr w:type="spellEnd"/>
      <w:r w:rsidR="00B92F09">
        <w:rPr>
          <w:rFonts w:ascii="Arial" w:hAnsi="Arial" w:cs="Arial"/>
          <w:b/>
          <w:bCs/>
          <w:sz w:val="28"/>
          <w:szCs w:val="28"/>
        </w:rPr>
        <w:t xml:space="preserve"> MU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A4317D" w:rsidRDefault="00EE250F" w:rsidP="00EE250F">
      <w:pPr>
        <w:pStyle w:val="Normln1"/>
        <w:spacing w:after="0"/>
        <w:jc w:val="center"/>
      </w:pPr>
      <w:r>
        <w:t>14.00 – 15.40 hod. – místnost 038</w:t>
      </w:r>
      <w:r w:rsidR="00A4317D">
        <w:t xml:space="preserve"> </w:t>
      </w:r>
    </w:p>
    <w:p w:rsidR="006F06CF" w:rsidRDefault="006F06CF">
      <w:pPr>
        <w:pStyle w:val="Normln1"/>
        <w:spacing w:before="120" w:after="0"/>
      </w:pPr>
    </w:p>
    <w:p w:rsidR="00B14B9F" w:rsidRDefault="0054114B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2</w:t>
      </w:r>
      <w:r w:rsidR="00186EA8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3</w:t>
      </w: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.9</w:t>
      </w:r>
      <w:r w:rsidR="007A1C2D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.</w:t>
      </w:r>
      <w:r w:rsidR="007A1C2D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ab/>
      </w:r>
      <w:r w:rsidR="00371344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 </w:t>
      </w:r>
      <w:r w:rsidR="007A1C2D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Posílená spolupráce</w:t>
      </w:r>
    </w:p>
    <w:p w:rsidR="00B14B9F" w:rsidRDefault="00186EA8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30</w:t>
      </w:r>
      <w:r w:rsidR="0054114B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.</w:t>
      </w: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9</w:t>
      </w:r>
      <w:r w:rsidR="0054114B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.  </w:t>
      </w:r>
      <w:r w:rsidR="00371344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 </w:t>
      </w:r>
      <w:r w:rsidR="007A1C2D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Vnitřní trh, harmonizace práva, zásada vzájemného uznávání, volný pohyb zboží </w:t>
      </w:r>
    </w:p>
    <w:p w:rsidR="007A1C2D" w:rsidRDefault="00186EA8" w:rsidP="00B14B9F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7</w:t>
      </w:r>
      <w:r w:rsidR="0054114B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.10.  </w:t>
      </w:r>
      <w:r w:rsidR="00371344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 </w:t>
      </w:r>
      <w:r w:rsidR="0054114B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 </w:t>
      </w:r>
      <w:r w:rsidR="007A1C2D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Volný pohyb zboží (dokončení), volný pohyb osob, výkon práce v zahraničí</w:t>
      </w:r>
    </w:p>
    <w:p w:rsidR="007A1C2D" w:rsidRDefault="007A1C2D" w:rsidP="007A1C2D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14.10. </w:t>
      </w:r>
      <w:r w:rsidR="00371344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Volný pohyb služeb a právo usazování </w:t>
      </w:r>
    </w:p>
    <w:p w:rsidR="00B14B9F" w:rsidRDefault="00371344" w:rsidP="00371344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21.10.  </w:t>
      </w:r>
      <w:r w:rsidR="00B14B9F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Prostor svobody, bezpečnosti a práva</w:t>
      </w:r>
      <w:r w:rsidR="007A1C2D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,</w:t>
      </w:r>
      <w:r w:rsidR="00B14B9F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 </w:t>
      </w:r>
      <w:r w:rsidR="00E157B2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migrační a </w:t>
      </w:r>
      <w:r w:rsidR="00B14B9F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azylové právo EU</w:t>
      </w:r>
    </w:p>
    <w:p w:rsidR="00371344" w:rsidRPr="00371344" w:rsidRDefault="00371344" w:rsidP="00371344">
      <w:pPr>
        <w:pStyle w:val="Normln1"/>
        <w:spacing w:before="120" w:after="0"/>
        <w:rPr>
          <w:rFonts w:ascii="Arial" w:hAnsi="Arial" w:cs="Arial"/>
          <w:b/>
          <w:bCs/>
          <w:color w:val="E36C0A" w:themeColor="accent6" w:themeShade="BF"/>
          <w:sz w:val="26"/>
          <w:szCs w:val="26"/>
        </w:rPr>
      </w:pPr>
      <w:r w:rsidRPr="00371344">
        <w:rPr>
          <w:rFonts w:ascii="Arial" w:hAnsi="Arial" w:cs="Arial"/>
          <w:b/>
          <w:bCs/>
          <w:color w:val="E36C0A" w:themeColor="accent6" w:themeShade="BF"/>
          <w:sz w:val="26"/>
          <w:szCs w:val="26"/>
        </w:rPr>
        <w:t xml:space="preserve">28.10.    Státní svátek </w:t>
      </w:r>
    </w:p>
    <w:p w:rsidR="00371344" w:rsidRDefault="00371344" w:rsidP="00371344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4.11.    </w:t>
      </w: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Společná obchodní politika EU (navenek), celní unie</w:t>
      </w:r>
    </w:p>
    <w:p w:rsidR="007A1C2D" w:rsidRPr="00371344" w:rsidRDefault="00371344" w:rsidP="00371344">
      <w:pPr>
        <w:pStyle w:val="Normln1"/>
        <w:spacing w:before="120" w:after="0"/>
        <w:rPr>
          <w:rFonts w:ascii="Arial" w:hAnsi="Arial" w:cs="Arial"/>
          <w:b/>
          <w:bCs/>
          <w:i/>
          <w:color w:val="0000CC"/>
          <w:sz w:val="26"/>
          <w:szCs w:val="26"/>
        </w:rPr>
      </w:pPr>
      <w:r w:rsidRPr="00371344">
        <w:rPr>
          <w:rFonts w:ascii="Arial" w:hAnsi="Arial" w:cs="Arial"/>
          <w:b/>
          <w:bCs/>
          <w:i/>
          <w:color w:val="0000CC"/>
          <w:sz w:val="26"/>
          <w:szCs w:val="26"/>
        </w:rPr>
        <w:t xml:space="preserve">11.11.  </w:t>
      </w:r>
      <w:r w:rsidR="007A1C2D" w:rsidRPr="00371344">
        <w:rPr>
          <w:rFonts w:ascii="Arial" w:hAnsi="Arial" w:cs="Arial"/>
          <w:b/>
          <w:bCs/>
          <w:i/>
          <w:color w:val="0000CC"/>
          <w:sz w:val="26"/>
          <w:szCs w:val="26"/>
        </w:rPr>
        <w:t>Ochrana hospodářské soutěže na vnitřním trhu I (dr. Michal Petr)</w:t>
      </w:r>
    </w:p>
    <w:p w:rsidR="007A1C2D" w:rsidRPr="00371344" w:rsidRDefault="00371344" w:rsidP="00371344">
      <w:pPr>
        <w:pStyle w:val="Normln1"/>
        <w:spacing w:before="120" w:after="0"/>
        <w:rPr>
          <w:rFonts w:ascii="Arial" w:hAnsi="Arial" w:cs="Arial"/>
          <w:b/>
          <w:bCs/>
          <w:i/>
          <w:color w:val="0000CC"/>
          <w:sz w:val="26"/>
          <w:szCs w:val="26"/>
        </w:rPr>
      </w:pPr>
      <w:r w:rsidRPr="00371344">
        <w:rPr>
          <w:rFonts w:ascii="Arial" w:hAnsi="Arial" w:cs="Arial"/>
          <w:b/>
          <w:bCs/>
          <w:i/>
          <w:color w:val="0000CC"/>
          <w:sz w:val="26"/>
          <w:szCs w:val="26"/>
        </w:rPr>
        <w:t>18.11.</w:t>
      </w:r>
      <w:r w:rsidR="003A313E" w:rsidRPr="00371344">
        <w:rPr>
          <w:rFonts w:ascii="Arial" w:hAnsi="Arial" w:cs="Arial"/>
          <w:b/>
          <w:bCs/>
          <w:i/>
          <w:color w:val="0000CC"/>
          <w:sz w:val="26"/>
          <w:szCs w:val="26"/>
        </w:rPr>
        <w:t xml:space="preserve">  </w:t>
      </w:r>
      <w:r w:rsidR="007A1C2D" w:rsidRPr="00371344">
        <w:rPr>
          <w:rFonts w:ascii="Arial" w:hAnsi="Arial" w:cs="Arial"/>
          <w:b/>
          <w:bCs/>
          <w:i/>
          <w:color w:val="0000CC"/>
          <w:sz w:val="26"/>
          <w:szCs w:val="26"/>
        </w:rPr>
        <w:t>Ochrana hospodářské soutěže na vnitřním trhu II (dr. Michal Petr)</w:t>
      </w:r>
    </w:p>
    <w:p w:rsidR="006F06CF" w:rsidRDefault="00371344" w:rsidP="00371344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color w:val="632423" w:themeColor="accent2" w:themeShade="80"/>
          <w:sz w:val="26"/>
          <w:szCs w:val="26"/>
        </w:rPr>
        <w:t xml:space="preserve">25.11.  </w:t>
      </w:r>
      <w:r w:rsidR="00796F69">
        <w:rPr>
          <w:rFonts w:ascii="Arial" w:hAnsi="Arial" w:cs="Arial"/>
          <w:b/>
          <w:color w:val="632423" w:themeColor="accent2" w:themeShade="80"/>
          <w:sz w:val="26"/>
          <w:szCs w:val="26"/>
        </w:rPr>
        <w:t>Ochrana duševního vlastnictví v EU, s</w:t>
      </w:r>
      <w:r w:rsidR="00796F69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tátn</w:t>
      </w:r>
      <w:r w:rsidR="00A4317D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í podpory a veřejné zakázky </w:t>
      </w:r>
    </w:p>
    <w:p w:rsidR="006F06CF" w:rsidRDefault="00371344" w:rsidP="00371344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2. 12.</w:t>
      </w: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ab/>
        <w:t xml:space="preserve">   </w:t>
      </w:r>
      <w:r w:rsidR="00E157B2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Harmonizace daní na vnitřním trhu </w:t>
      </w:r>
    </w:p>
    <w:p w:rsidR="006F06CF" w:rsidRDefault="007902EE" w:rsidP="007902EE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9. 12.    </w:t>
      </w:r>
      <w:r w:rsidR="00E157B2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Ochrana spotřebitele na jednotném vnitřním trhu </w:t>
      </w: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(doc. D. </w:t>
      </w:r>
      <w:proofErr w:type="spellStart"/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Sehnálek</w:t>
      </w:r>
      <w:proofErr w:type="spellEnd"/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)</w:t>
      </w:r>
    </w:p>
    <w:p w:rsidR="006F06CF" w:rsidRDefault="007902EE" w:rsidP="007902EE">
      <w:pPr>
        <w:pStyle w:val="Normln1"/>
        <w:spacing w:before="120" w:after="0"/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</w:pP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16.12.   </w:t>
      </w:r>
      <w:r w:rsidR="00796F69"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>Ochrana lidských práv v právu EU, postavení jednotlivce v právu EU, jednotlivec před SDEU, měnová unie, finanční a rozpočtová problematika</w:t>
      </w:r>
      <w:r>
        <w:rPr>
          <w:rFonts w:ascii="Arial" w:hAnsi="Arial" w:cs="Arial"/>
          <w:b/>
          <w:bCs/>
          <w:color w:val="632423" w:themeColor="accent2" w:themeShade="80"/>
          <w:sz w:val="26"/>
          <w:szCs w:val="26"/>
        </w:rPr>
        <w:t xml:space="preserve"> aj.</w:t>
      </w:r>
    </w:p>
    <w:p w:rsidR="00796F69" w:rsidRDefault="00796F69">
      <w:pPr>
        <w:pStyle w:val="Normln1"/>
        <w:spacing w:after="0"/>
        <w:rPr>
          <w:color w:val="C00000"/>
          <w:sz w:val="32"/>
          <w:szCs w:val="32"/>
        </w:rPr>
      </w:pPr>
    </w:p>
    <w:p w:rsidR="006F06CF" w:rsidRPr="00B92F09" w:rsidRDefault="007A1C2D">
      <w:pPr>
        <w:pStyle w:val="Normln1"/>
        <w:spacing w:after="0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Konkrétní data jednotlivých témat </w:t>
      </w:r>
      <w:r w:rsidR="00371344">
        <w:rPr>
          <w:color w:val="C00000"/>
          <w:sz w:val="32"/>
          <w:szCs w:val="32"/>
        </w:rPr>
        <w:t>mohou být mezi sebou přesouvána</w:t>
      </w:r>
      <w:r>
        <w:rPr>
          <w:color w:val="C00000"/>
          <w:sz w:val="32"/>
          <w:szCs w:val="32"/>
        </w:rPr>
        <w:t xml:space="preserve"> s ohledem na disponibilitu </w:t>
      </w:r>
      <w:r w:rsidR="00371344">
        <w:rPr>
          <w:color w:val="C00000"/>
          <w:sz w:val="32"/>
          <w:szCs w:val="32"/>
        </w:rPr>
        <w:t>jednotlivých přednášejících</w:t>
      </w:r>
      <w:r>
        <w:rPr>
          <w:color w:val="C00000"/>
          <w:sz w:val="32"/>
          <w:szCs w:val="32"/>
        </w:rPr>
        <w:t xml:space="preserve">, </w:t>
      </w:r>
      <w:r w:rsidR="0054114B" w:rsidRPr="00B92F09">
        <w:rPr>
          <w:color w:val="C00000"/>
          <w:sz w:val="32"/>
          <w:szCs w:val="32"/>
        </w:rPr>
        <w:t>nicméně všechna témata budou vyčerpána</w:t>
      </w:r>
      <w:r w:rsidR="00E157B2" w:rsidRPr="00B92F09">
        <w:rPr>
          <w:color w:val="C00000"/>
          <w:sz w:val="32"/>
          <w:szCs w:val="32"/>
        </w:rPr>
        <w:t>.</w:t>
      </w:r>
    </w:p>
    <w:p w:rsidR="006F06CF" w:rsidRDefault="006F06CF">
      <w:pPr>
        <w:pStyle w:val="Normln1"/>
        <w:spacing w:after="0"/>
      </w:pPr>
    </w:p>
    <w:p w:rsidR="006F06CF" w:rsidRDefault="00E157B2">
      <w:pPr>
        <w:pStyle w:val="Normln1"/>
        <w:spacing w:after="0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Základní literatura:</w:t>
      </w:r>
    </w:p>
    <w:p w:rsidR="006F06CF" w:rsidRDefault="00E157B2">
      <w:pPr>
        <w:pStyle w:val="Normln1"/>
        <w:spacing w:after="0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bCs/>
          <w:i/>
          <w:iCs/>
          <w:color w:val="002060"/>
        </w:rPr>
        <w:t>* M. Tomášek, V. Tý</w:t>
      </w:r>
      <w:r w:rsidR="00B14B9F">
        <w:rPr>
          <w:rFonts w:ascii="Arial" w:hAnsi="Arial" w:cs="Arial"/>
          <w:b/>
          <w:bCs/>
          <w:i/>
          <w:iCs/>
          <w:color w:val="002060"/>
        </w:rPr>
        <w:t>č a kol.: Právo Evropské unie, 2</w:t>
      </w:r>
      <w:r>
        <w:rPr>
          <w:rFonts w:ascii="Arial" w:hAnsi="Arial" w:cs="Arial"/>
          <w:b/>
          <w:bCs/>
          <w:i/>
          <w:iCs/>
          <w:color w:val="002060"/>
        </w:rPr>
        <w:t>. vydání,</w:t>
      </w:r>
      <w:r w:rsidR="0054114B">
        <w:rPr>
          <w:rFonts w:ascii="Arial" w:hAnsi="Arial" w:cs="Arial"/>
          <w:color w:val="002060"/>
        </w:rPr>
        <w:t xml:space="preserve"> </w:t>
      </w:r>
      <w:proofErr w:type="spellStart"/>
      <w:r w:rsidR="0054114B">
        <w:rPr>
          <w:rFonts w:ascii="Arial" w:hAnsi="Arial" w:cs="Arial"/>
          <w:color w:val="002060"/>
        </w:rPr>
        <w:t>Leges</w:t>
      </w:r>
      <w:proofErr w:type="spellEnd"/>
      <w:r w:rsidR="0054114B">
        <w:rPr>
          <w:rFonts w:ascii="Arial" w:hAnsi="Arial" w:cs="Arial"/>
          <w:color w:val="002060"/>
        </w:rPr>
        <w:t>, Praha, 2017</w:t>
      </w:r>
      <w:r>
        <w:rPr>
          <w:rFonts w:ascii="Arial" w:hAnsi="Arial" w:cs="Arial"/>
          <w:color w:val="002060"/>
        </w:rPr>
        <w:t xml:space="preserve">  </w:t>
      </w:r>
    </w:p>
    <w:p w:rsidR="0054114B" w:rsidRDefault="0054114B" w:rsidP="0054114B">
      <w:pPr>
        <w:pStyle w:val="Normln1"/>
        <w:spacing w:after="0"/>
        <w:rPr>
          <w:rFonts w:ascii="Arial" w:hAnsi="Arial" w:cs="Arial"/>
          <w:color w:val="002060"/>
        </w:rPr>
      </w:pPr>
    </w:p>
    <w:p w:rsidR="0054114B" w:rsidRPr="0054114B" w:rsidRDefault="007A1C2D" w:rsidP="0054114B">
      <w:pPr>
        <w:pStyle w:val="Normln1"/>
        <w:spacing w:after="0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Silně doporučená</w:t>
      </w:r>
      <w:r w:rsidR="0054114B" w:rsidRPr="0054114B">
        <w:rPr>
          <w:rFonts w:ascii="Arial" w:hAnsi="Arial" w:cs="Arial"/>
          <w:b/>
          <w:color w:val="002060"/>
          <w:sz w:val="28"/>
          <w:szCs w:val="28"/>
        </w:rPr>
        <w:t xml:space="preserve"> literatura:</w:t>
      </w:r>
    </w:p>
    <w:p w:rsidR="0054114B" w:rsidRDefault="0054114B" w:rsidP="0054114B">
      <w:pPr>
        <w:pStyle w:val="Normln1"/>
        <w:spacing w:after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*</w:t>
      </w:r>
      <w:r>
        <w:rPr>
          <w:rFonts w:ascii="Arial" w:hAnsi="Arial" w:cs="Arial"/>
          <w:i/>
          <w:iCs/>
          <w:color w:val="002060"/>
        </w:rPr>
        <w:t xml:space="preserve"> </w:t>
      </w:r>
      <w:r>
        <w:rPr>
          <w:rFonts w:ascii="Arial" w:hAnsi="Arial" w:cs="Arial"/>
          <w:b/>
          <w:bCs/>
          <w:i/>
          <w:iCs/>
          <w:color w:val="002060"/>
        </w:rPr>
        <w:t>V. Týč: Základy práva EU pro ekonomy, 7. vydání,</w:t>
      </w:r>
      <w:r>
        <w:rPr>
          <w:rFonts w:ascii="Arial" w:hAnsi="Arial" w:cs="Arial"/>
          <w:color w:val="002060"/>
        </w:rPr>
        <w:t xml:space="preserve"> </w:t>
      </w:r>
      <w:proofErr w:type="spellStart"/>
      <w:r>
        <w:rPr>
          <w:rFonts w:ascii="Arial" w:hAnsi="Arial" w:cs="Arial"/>
          <w:color w:val="002060"/>
        </w:rPr>
        <w:t>Leges</w:t>
      </w:r>
      <w:proofErr w:type="spellEnd"/>
      <w:r>
        <w:rPr>
          <w:rFonts w:ascii="Arial" w:hAnsi="Arial" w:cs="Arial"/>
          <w:color w:val="002060"/>
        </w:rPr>
        <w:t xml:space="preserve">, Praha, 2017 </w:t>
      </w:r>
    </w:p>
    <w:p w:rsidR="006F06CF" w:rsidRDefault="006F06CF">
      <w:pPr>
        <w:pStyle w:val="Normln1"/>
        <w:spacing w:after="0"/>
        <w:rPr>
          <w:color w:val="002060"/>
        </w:rPr>
      </w:pPr>
    </w:p>
    <w:p w:rsidR="006F06CF" w:rsidRDefault="00E157B2">
      <w:pPr>
        <w:pStyle w:val="Normln1"/>
        <w:spacing w:after="0"/>
        <w:rPr>
          <w:rFonts w:ascii="Arial" w:hAnsi="Arial" w:cs="Arial"/>
          <w:b/>
          <w:bCs/>
          <w:i/>
          <w:iCs/>
          <w:color w:val="002060"/>
        </w:rPr>
      </w:pPr>
      <w:r>
        <w:rPr>
          <w:rFonts w:ascii="Arial" w:hAnsi="Arial" w:cs="Arial"/>
          <w:color w:val="002060"/>
        </w:rPr>
        <w:t xml:space="preserve">* </w:t>
      </w:r>
      <w:r w:rsidRPr="0054114B">
        <w:rPr>
          <w:rFonts w:ascii="Arial" w:hAnsi="Arial" w:cs="Arial"/>
          <w:b/>
          <w:color w:val="002060"/>
        </w:rPr>
        <w:t>Texty základních dokumentů</w:t>
      </w:r>
      <w:r>
        <w:rPr>
          <w:rFonts w:ascii="Arial" w:hAnsi="Arial" w:cs="Arial"/>
          <w:color w:val="002060"/>
        </w:rPr>
        <w:t xml:space="preserve"> (SEU, SFEU, Smlouva o přístupu ČR) </w:t>
      </w:r>
      <w:r>
        <w:rPr>
          <w:rFonts w:ascii="Arial" w:hAnsi="Arial" w:cs="Arial"/>
          <w:i/>
          <w:iCs/>
          <w:color w:val="002060"/>
        </w:rPr>
        <w:t>(nejlépe</w:t>
      </w:r>
      <w:r>
        <w:rPr>
          <w:rFonts w:ascii="Arial" w:hAnsi="Arial" w:cs="Arial"/>
          <w:b/>
          <w:bCs/>
          <w:i/>
          <w:iCs/>
          <w:color w:val="002060"/>
        </w:rPr>
        <w:t xml:space="preserve"> Evropské právo, základní dokumenty, </w:t>
      </w:r>
      <w:proofErr w:type="spellStart"/>
      <w:r>
        <w:rPr>
          <w:rFonts w:ascii="Arial" w:hAnsi="Arial" w:cs="Arial"/>
          <w:b/>
          <w:bCs/>
          <w:i/>
          <w:iCs/>
          <w:color w:val="002060"/>
        </w:rPr>
        <w:t>Sagit</w:t>
      </w:r>
      <w:proofErr w:type="spellEnd"/>
      <w:r>
        <w:rPr>
          <w:rFonts w:ascii="Arial" w:hAnsi="Arial" w:cs="Arial"/>
          <w:b/>
          <w:bCs/>
          <w:i/>
          <w:iCs/>
          <w:color w:val="002060"/>
        </w:rPr>
        <w:t>, Ostrava, řada ÚZ č. 1</w:t>
      </w:r>
      <w:r w:rsidR="00A04E6F">
        <w:rPr>
          <w:rFonts w:ascii="Arial" w:hAnsi="Arial" w:cs="Arial"/>
          <w:b/>
          <w:bCs/>
          <w:i/>
          <w:iCs/>
          <w:color w:val="002060"/>
        </w:rPr>
        <w:t>311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color w:val="002060"/>
        </w:rPr>
        <w:t>)</w:t>
      </w:r>
    </w:p>
    <w:p w:rsidR="00E157B2" w:rsidRDefault="00E157B2">
      <w:pPr>
        <w:pStyle w:val="Normln1"/>
        <w:spacing w:after="0"/>
        <w:rPr>
          <w:rFonts w:ascii="Arial" w:hAnsi="Arial" w:cs="Arial"/>
          <w:color w:val="002060"/>
        </w:rPr>
      </w:pPr>
    </w:p>
    <w:p w:rsidR="006F06CF" w:rsidRDefault="00E157B2">
      <w:pPr>
        <w:pStyle w:val="Normln1"/>
        <w:spacing w:after="0"/>
      </w:pPr>
      <w:r>
        <w:rPr>
          <w:rFonts w:ascii="Arial" w:hAnsi="Arial" w:cs="Arial"/>
          <w:color w:val="002060"/>
        </w:rPr>
        <w:t>Další specializovanou literaturu doporučí na požádání přednášející</w:t>
      </w:r>
    </w:p>
    <w:sectPr w:rsidR="006F06CF">
      <w:pgSz w:w="11906" w:h="16838"/>
      <w:pgMar w:top="1134" w:right="1134" w:bottom="1134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F"/>
    <w:rsid w:val="00186EA8"/>
    <w:rsid w:val="00371344"/>
    <w:rsid w:val="003A313E"/>
    <w:rsid w:val="0054114B"/>
    <w:rsid w:val="005E10F5"/>
    <w:rsid w:val="006F06CF"/>
    <w:rsid w:val="007902EE"/>
    <w:rsid w:val="00796F69"/>
    <w:rsid w:val="007A1C2D"/>
    <w:rsid w:val="00A04E6F"/>
    <w:rsid w:val="00A4317D"/>
    <w:rsid w:val="00B14B9F"/>
    <w:rsid w:val="00B92F09"/>
    <w:rsid w:val="00E157B2"/>
    <w:rsid w:val="00E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76D2"/>
  <w15:docId w15:val="{1EF92F36-A2C3-42EA-A285-6D23E9E3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WenQuanYi Micro Hei" w:hAnsi="Calibri" w:cs="Times New Roman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adpis"/>
    <w:pPr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1"/>
    <w:next w:val="Tlotextu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1"/>
    <w:qFormat/>
    <w:pPr>
      <w:suppressLineNumbers/>
    </w:pPr>
    <w:rPr>
      <w:rFonts w:cs="FreeSans"/>
    </w:rPr>
  </w:style>
  <w:style w:type="paragraph" w:customStyle="1" w:styleId="Normln1">
    <w:name w:val="Normální1"/>
    <w:qFormat/>
    <w:pPr>
      <w:widowControl w:val="0"/>
      <w:suppressAutoHyphens/>
      <w:spacing w:after="200"/>
    </w:pPr>
    <w:rPr>
      <w:rFonts w:ascii="Liberation Serif" w:hAnsi="Liberation Serif" w:cs="Lohit Hindi"/>
      <w:color w:val="00000A"/>
      <w:sz w:val="24"/>
      <w:szCs w:val="24"/>
      <w:lang w:eastAsia="zh-CN" w:bidi="hi-IN"/>
    </w:rPr>
  </w:style>
  <w:style w:type="paragraph" w:customStyle="1" w:styleId="Obsahtabulky">
    <w:name w:val="Obsah tabulky"/>
    <w:basedOn w:val="Normln1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Týč</dc:creator>
  <dc:description/>
  <cp:lastModifiedBy>Vladimír Týč</cp:lastModifiedBy>
  <cp:revision>6</cp:revision>
  <dcterms:created xsi:type="dcterms:W3CDTF">2019-10-01T11:37:00Z</dcterms:created>
  <dcterms:modified xsi:type="dcterms:W3CDTF">2019-10-02T12:26:00Z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