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3DEA0" w14:textId="77777777" w:rsidR="00EB58DE" w:rsidRPr="002D4EB6" w:rsidRDefault="00EB58DE" w:rsidP="00EB58DE">
      <w:pPr>
        <w:rPr>
          <w:b/>
          <w:sz w:val="28"/>
          <w:szCs w:val="28"/>
          <w:u w:val="single"/>
        </w:rPr>
      </w:pPr>
      <w:r w:rsidRPr="002D4EB6">
        <w:rPr>
          <w:b/>
          <w:sz w:val="28"/>
          <w:szCs w:val="28"/>
          <w:u w:val="single"/>
        </w:rPr>
        <w:t>Seminář č. I</w:t>
      </w:r>
      <w:r w:rsidR="00503D68">
        <w:rPr>
          <w:b/>
          <w:sz w:val="28"/>
          <w:szCs w:val="28"/>
          <w:u w:val="single"/>
        </w:rPr>
        <w:t>I</w:t>
      </w:r>
      <w:r w:rsidRPr="002D4EB6">
        <w:rPr>
          <w:b/>
          <w:sz w:val="28"/>
          <w:szCs w:val="28"/>
          <w:u w:val="single"/>
        </w:rPr>
        <w:t>I. –</w:t>
      </w:r>
      <w:r w:rsidR="00503D68">
        <w:rPr>
          <w:b/>
          <w:sz w:val="28"/>
          <w:szCs w:val="28"/>
          <w:u w:val="single"/>
        </w:rPr>
        <w:t xml:space="preserve"> T</w:t>
      </w:r>
      <w:r w:rsidRPr="002D4EB6">
        <w:rPr>
          <w:b/>
          <w:sz w:val="28"/>
          <w:szCs w:val="28"/>
          <w:u w:val="single"/>
        </w:rPr>
        <w:t xml:space="preserve">radiční </w:t>
      </w:r>
      <w:r w:rsidR="00503D68">
        <w:rPr>
          <w:b/>
          <w:sz w:val="28"/>
          <w:szCs w:val="28"/>
          <w:u w:val="single"/>
        </w:rPr>
        <w:t xml:space="preserve">právní </w:t>
      </w:r>
      <w:r w:rsidRPr="002D4EB6">
        <w:rPr>
          <w:b/>
          <w:sz w:val="28"/>
          <w:szCs w:val="28"/>
          <w:u w:val="single"/>
        </w:rPr>
        <w:t>argumenty</w:t>
      </w:r>
    </w:p>
    <w:p w14:paraId="31409504" w14:textId="77777777" w:rsidR="003769CD" w:rsidRDefault="003769CD" w:rsidP="00EB58DE">
      <w:pPr>
        <w:rPr>
          <w:b/>
          <w:u w:val="single"/>
        </w:rPr>
      </w:pPr>
    </w:p>
    <w:p w14:paraId="15A17BB8" w14:textId="5FBEFB0E" w:rsidR="00964C2E" w:rsidRDefault="00964C2E" w:rsidP="00964C2E">
      <w:pPr>
        <w:ind w:left="705" w:hanging="705"/>
        <w:rPr>
          <w:b/>
        </w:rPr>
      </w:pPr>
      <w:r>
        <w:rPr>
          <w:b/>
        </w:rPr>
        <w:t>I.</w:t>
      </w:r>
      <w:r w:rsidR="003769CD" w:rsidRPr="003769CD">
        <w:rPr>
          <w:b/>
        </w:rPr>
        <w:t xml:space="preserve"> </w:t>
      </w:r>
      <w:r w:rsidR="003769CD" w:rsidRPr="003769CD">
        <w:rPr>
          <w:b/>
        </w:rPr>
        <w:tab/>
        <w:t xml:space="preserve">Prostudujte si úryvek z knihy Ch. </w:t>
      </w:r>
      <w:proofErr w:type="spellStart"/>
      <w:r w:rsidR="003769CD" w:rsidRPr="003769CD">
        <w:rPr>
          <w:b/>
        </w:rPr>
        <w:t>Perelmana</w:t>
      </w:r>
      <w:proofErr w:type="spellEnd"/>
      <w:r w:rsidR="003769CD" w:rsidRPr="003769CD">
        <w:rPr>
          <w:b/>
        </w:rPr>
        <w:t xml:space="preserve"> Právní logika</w:t>
      </w:r>
      <w:r w:rsidR="00FE78A9">
        <w:rPr>
          <w:b/>
        </w:rPr>
        <w:t xml:space="preserve"> </w:t>
      </w:r>
      <w:r w:rsidR="00FE78A9" w:rsidRPr="00FE78A9">
        <w:rPr>
          <w:bCs/>
        </w:rPr>
        <w:t>(přístupný v </w:t>
      </w:r>
      <w:proofErr w:type="spellStart"/>
      <w:r w:rsidR="00FE78A9" w:rsidRPr="00FE78A9">
        <w:rPr>
          <w:bCs/>
        </w:rPr>
        <w:t>ISu</w:t>
      </w:r>
      <w:proofErr w:type="spellEnd"/>
      <w:r w:rsidR="00FE78A9" w:rsidRPr="00FE78A9">
        <w:rPr>
          <w:bCs/>
        </w:rPr>
        <w:t xml:space="preserve"> ve složce Učební materiály\Seminární četba)</w:t>
      </w:r>
      <w:r>
        <w:rPr>
          <w:b/>
        </w:rPr>
        <w:t xml:space="preserve"> a odpovězte na následující otázky:</w:t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</w:p>
    <w:p w14:paraId="6F13FD56" w14:textId="77777777"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1) V čem se změnilo pojímání právní argumentace mezi pojetím pojmové jurisprudence a tzv. sociologických škol?</w:t>
      </w:r>
    </w:p>
    <w:p w14:paraId="6CEAAE9F" w14:textId="77777777"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2) Které argumenty svědčí pro rozšíření dosahu pravidla o zákazu vstupu psů na stanici?</w:t>
      </w:r>
    </w:p>
    <w:p w14:paraId="0239F6A3" w14:textId="77777777"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 xml:space="preserve">3) Z přehledu argumentů uvedených v bodě 33 </w:t>
      </w:r>
      <w:r w:rsidR="00723E87">
        <w:rPr>
          <w:color w:val="000000"/>
        </w:rPr>
        <w:t xml:space="preserve">tohoto úryvku </w:t>
      </w:r>
      <w:r w:rsidRPr="002D4EB6">
        <w:rPr>
          <w:color w:val="000000"/>
        </w:rPr>
        <w:t>jsou založeny na eliminaci a které na analogii?</w:t>
      </w:r>
    </w:p>
    <w:p w14:paraId="04B77BD9" w14:textId="77777777"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4) Pokuste se charakterizovat společné rysy obou skupin argumentů.</w:t>
      </w:r>
    </w:p>
    <w:p w14:paraId="0E16E2E5" w14:textId="77777777" w:rsidR="00964C2E" w:rsidRDefault="002D4EB6" w:rsidP="002D4EB6">
      <w:pPr>
        <w:ind w:left="705"/>
        <w:rPr>
          <w:rFonts w:ascii="Arial" w:hAnsi="Arial" w:cs="Arial"/>
          <w:color w:val="000000"/>
        </w:rPr>
      </w:pPr>
      <w:r w:rsidRPr="002D4EB6">
        <w:rPr>
          <w:color w:val="000000"/>
        </w:rPr>
        <w:t>5) Které právnické argumenty jsou založeny na ideji práva jako systému?</w:t>
      </w:r>
    </w:p>
    <w:p w14:paraId="1F0B11FF" w14:textId="77777777" w:rsidR="002D4EB6" w:rsidRDefault="002D4EB6" w:rsidP="002D4EB6">
      <w:pPr>
        <w:rPr>
          <w:rFonts w:ascii="Arial" w:hAnsi="Arial" w:cs="Arial"/>
          <w:color w:val="000000"/>
        </w:rPr>
      </w:pPr>
    </w:p>
    <w:p w14:paraId="06BE31AE" w14:textId="31736CAC" w:rsidR="002D4EB6" w:rsidRDefault="002D4EB6" w:rsidP="002D4EB6">
      <w:pPr>
        <w:ind w:left="705" w:hanging="705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 xml:space="preserve">Přiřaďte k jednotlivým výkladům použité právní argumenty a určete, ze </w:t>
      </w:r>
      <w:proofErr w:type="gramStart"/>
      <w:r>
        <w:rPr>
          <w:b/>
        </w:rPr>
        <w:t>kter</w:t>
      </w:r>
      <w:r w:rsidR="00FE78A9">
        <w:rPr>
          <w:b/>
        </w:rPr>
        <w:t xml:space="preserve">ých </w:t>
      </w:r>
      <w:r>
        <w:rPr>
          <w:b/>
        </w:rPr>
        <w:t xml:space="preserve"> výkladov</w:t>
      </w:r>
      <w:r w:rsidR="00FE78A9">
        <w:rPr>
          <w:b/>
        </w:rPr>
        <w:t>ých</w:t>
      </w:r>
      <w:proofErr w:type="gramEnd"/>
      <w:r>
        <w:rPr>
          <w:b/>
        </w:rPr>
        <w:t xml:space="preserve"> metod jsou dovozeny. Dále zdůvodněte, zda jsou uvedená řešení </w:t>
      </w:r>
      <w:r w:rsidR="00FE78A9">
        <w:rPr>
          <w:b/>
        </w:rPr>
        <w:t xml:space="preserve">podle Vašeho názoru </w:t>
      </w:r>
      <w:r>
        <w:rPr>
          <w:b/>
        </w:rPr>
        <w:t>správná</w:t>
      </w:r>
      <w:r w:rsidR="00FE78A9">
        <w:rPr>
          <w:b/>
        </w:rPr>
        <w:t xml:space="preserve"> a plausibilní</w:t>
      </w:r>
      <w:r>
        <w:rPr>
          <w:b/>
        </w:rPr>
        <w:t>:</w:t>
      </w:r>
    </w:p>
    <w:p w14:paraId="4984875C" w14:textId="77777777" w:rsidR="002D4EB6" w:rsidRDefault="002D4EB6" w:rsidP="002D4EB6">
      <w:pPr>
        <w:ind w:left="705" w:hanging="705"/>
        <w:jc w:val="both"/>
        <w:rPr>
          <w:b/>
        </w:rPr>
      </w:pPr>
    </w:p>
    <w:p w14:paraId="7C49BDE1" w14:textId="77777777" w:rsidR="002D4EB6" w:rsidRPr="00873B22" w:rsidRDefault="002D4EB6" w:rsidP="002D4EB6">
      <w:pPr>
        <w:ind w:left="705" w:hanging="705"/>
        <w:jc w:val="both"/>
        <w:rPr>
          <w:i/>
          <w:iCs/>
        </w:rPr>
      </w:pPr>
      <w:r w:rsidRPr="000D0D08">
        <w:t>a)</w:t>
      </w:r>
      <w:r>
        <w:rPr>
          <w:b/>
        </w:rPr>
        <w:tab/>
      </w:r>
      <w:r w:rsidRPr="00873B22">
        <w:rPr>
          <w:i/>
          <w:iCs/>
        </w:rPr>
        <w:t>Věci jsou podle § 498 nového občanského zákoníku movité nebo nemovité, třetí možnost není.</w:t>
      </w:r>
      <w:r w:rsidR="00FA240A" w:rsidRPr="00873B22">
        <w:rPr>
          <w:i/>
          <w:iCs/>
        </w:rPr>
        <w:t xml:space="preserve"> Zvíře není věc nemovitá, neboť se nejedná ani o pozemek, ani o stavbu, ani o právo nemovité povahy. Z toho vyplývá, že zvíře je věc movitá. </w:t>
      </w:r>
    </w:p>
    <w:p w14:paraId="34066703" w14:textId="77777777" w:rsidR="002D4EB6" w:rsidRPr="00873B22" w:rsidRDefault="002D4EB6" w:rsidP="002D4EB6">
      <w:pPr>
        <w:ind w:left="705" w:hanging="705"/>
        <w:jc w:val="both"/>
        <w:rPr>
          <w:i/>
          <w:iCs/>
        </w:rPr>
      </w:pPr>
    </w:p>
    <w:p w14:paraId="74AAA4BF" w14:textId="77777777" w:rsidR="00EB58DE" w:rsidRPr="00964C2E" w:rsidRDefault="005D77EB" w:rsidP="00EB58DE">
      <w:pPr>
        <w:ind w:left="705" w:hanging="705"/>
        <w:jc w:val="both"/>
      </w:pPr>
      <w:r>
        <w:t>b</w:t>
      </w:r>
      <w:r w:rsidR="002D4EB6">
        <w:t>)</w:t>
      </w:r>
      <w:r w:rsidR="002D4EB6">
        <w:tab/>
      </w:r>
      <w:r w:rsidR="002D4EB6" w:rsidRPr="00873B22">
        <w:rPr>
          <w:i/>
          <w:iCs/>
        </w:rPr>
        <w:t xml:space="preserve">Rozhodnutí, kterým se dodatečně stavba nebo její změna povoluje, musí mít obsahově stejné náležitosti </w:t>
      </w:r>
      <w:r w:rsidR="00EB58DE" w:rsidRPr="00873B22">
        <w:rPr>
          <w:i/>
          <w:iCs/>
        </w:rPr>
        <w:t>jako stavební povolení. Nelze připustit výklad zákona, který by stanovil mírnější kritéria pro dodatečné povolení stavby, resp. její změny, než jaká jsou kladena na řádné stavební povolení. Má-li totiž norma určité požadavky na řádné rozhodnutí v situaci, kdy žadatel o stavební povolení postupoval podle zákona, tím spíše je musí mít na rozhodnutí svou povahou mimořádné, kdy žadatel od počátku zákon nerespektoval</w:t>
      </w:r>
      <w:r w:rsidR="00EB58DE" w:rsidRPr="00964C2E">
        <w:t>.</w:t>
      </w:r>
      <w:r w:rsidR="00EB58DE" w:rsidRPr="00964C2E">
        <w:rPr>
          <w:rStyle w:val="Znakapoznpodarou"/>
        </w:rPr>
        <w:footnoteReference w:id="1"/>
      </w:r>
      <w:r w:rsidR="00EB58DE" w:rsidRPr="00964C2E">
        <w:t xml:space="preserve"> </w:t>
      </w:r>
    </w:p>
    <w:p w14:paraId="517F183D" w14:textId="77777777" w:rsidR="00EB58DE" w:rsidRPr="00EB58DE" w:rsidRDefault="00EB58DE" w:rsidP="00EB58DE">
      <w:pPr>
        <w:ind w:left="705" w:hanging="705"/>
        <w:jc w:val="both"/>
      </w:pPr>
    </w:p>
    <w:p w14:paraId="13D1C8E2" w14:textId="629B0B2F" w:rsidR="00EB58DE" w:rsidRDefault="005D77EB" w:rsidP="00EB58DE">
      <w:pPr>
        <w:ind w:left="705" w:hanging="705"/>
        <w:jc w:val="both"/>
      </w:pPr>
      <w:r>
        <w:t>c</w:t>
      </w:r>
      <w:r w:rsidR="00EB58DE" w:rsidRPr="00964C2E">
        <w:t xml:space="preserve">) </w:t>
      </w:r>
      <w:r w:rsidR="00EB58DE" w:rsidRPr="00964C2E">
        <w:tab/>
      </w:r>
      <w:r w:rsidR="00EB58DE" w:rsidRPr="00873B22">
        <w:rPr>
          <w:i/>
          <w:iCs/>
        </w:rPr>
        <w:t>Je-li pro řízení o kasační stížnosti (z. č. 150/2002 Sb., soudní řád správní) před Nejvyšším správním soudem třeba povinného zastoupení advokátem, nelze trvat na této procesní povinnosti tehdy, pokud se jedná o kasační stížnost proti usnesení krajského soudu o neustanovení advokáta pro řízení o žalobě před krajským soudem</w:t>
      </w:r>
      <w:r w:rsidR="00EB58DE" w:rsidRPr="00964C2E">
        <w:t xml:space="preserve">. </w:t>
      </w:r>
    </w:p>
    <w:p w14:paraId="7108FC56" w14:textId="00C56F86" w:rsidR="00873B22" w:rsidRDefault="00873B22" w:rsidP="00EB58DE">
      <w:pPr>
        <w:ind w:left="705" w:hanging="705"/>
        <w:jc w:val="both"/>
      </w:pPr>
    </w:p>
    <w:p w14:paraId="315419F5" w14:textId="242FB2B2" w:rsidR="00873B22" w:rsidRPr="00873B22" w:rsidRDefault="00873B22" w:rsidP="00EB58DE">
      <w:pPr>
        <w:ind w:left="705" w:hanging="705"/>
        <w:jc w:val="both"/>
        <w:rPr>
          <w:i/>
          <w:iCs/>
        </w:rPr>
      </w:pPr>
      <w:r>
        <w:t>d)</w:t>
      </w:r>
      <w:r>
        <w:tab/>
      </w:r>
      <w:r w:rsidRPr="00873B22">
        <w:rPr>
          <w:i/>
          <w:iCs/>
        </w:rPr>
        <w:t xml:space="preserve">Pokud však omezení daná územním plánem (jeho změnou) zasáhnou – samozřejmě opět jen za předpokladu, že i další shora uvedené podmínky tohoto zásahu budou splněny – vlastníka ve větší než spravedlivé míře, je na místě uvažovat o mechanismu poskytnutí náhrady za takové omezení. Zákonodárce v některých případech takový mechanismus výslovně do stavebního zákona inkorporoval, konkrétně v jeho § 102, který zakotvuje náhrady za změnu v území. Taková náhrada přísluší podle odst. 1 zmíněného ustanovení „vlastníkovi pozemku nebo stavby, jehož práva byla při užívání pozemku nebo stavby na základě územního opatření o stavební uzávěře omezena“; náhrada dále přísluší (avšak teprve s účinností od 1. 1. 2012, viz § 198 stavebního zákona) podle odst. 2 zmíněného ustanovení „vlastníkovi pozemku, jehož určení k zastavění bylo zrušeno na základě změny územního plánu nebo regulačního plánu, anebo vydáním nového územního plánu nebo regulačního plánu nebo zrušením </w:t>
      </w:r>
      <w:r w:rsidRPr="00873B22">
        <w:rPr>
          <w:i/>
          <w:iCs/>
        </w:rPr>
        <w:lastRenderedPageBreak/>
        <w:t>územního rozhodnutí podle § 94 odst. 3“ stavebního zákona. Výše uvedené skutkové podstaty náhrad nepokrývají celou škálu možných případů, kdy zásah (též v podobě omezení vyplývajícího z územního plánu) do vlastnického práva má takovou intenzitu, že je nezbytné jej kompenzovat náhradou. Vzniká tedy otázka, jak takovouto mezeru v právní úpravě řešit. Že se o mezeru v právní úpravě jedná, je zjevné – z čl. 11 LZPS, zejména z jeho odstavce 4, vyplývá, že každý jinak přípustný zásah do vlastnického práva vyjma zásahu „de minimis“ (viz implicitní omezení vlastnického práva vyplývající z odst. 3 zmíněného článku LZPS) musí být kompenzován. Pojem „nuceného zásahu do vlastnického práva“ je autonomním pojmem Listiny základních práv a svobod a je neodmyslitelně spojen s vlastnickým právem jako s jedním ze základních ústavně zaručených práv vytvářejících podmínky pro reálnou svobodu jednotlivce a pro jeho nezávislost na jiných jednotlivcích i na státu; jeho významové zužování je tedy vyloučeno z diskrece zákonodárce. Pokud tedy zákonodárce výslovně upravuje náhrady jen pro některé myslitelné případy, zatímco o jiných mlčí, nelze než – má-li být naplněn požadavek ústavně konformního výkladu „jednoduchého“ práva – dospět k závěru, že uvedenou náhradu by bylo možno přiznat na základě přímé aplikace čl. 11 odst. 4 LZPS za přiměřeného užití ustanovení § 102 stavebního zákona, čítaje v to i ustanovení o subjektech povinných k výplatě náhrad, o lhůtách a procedurách k jejich poskytnutí a o soudní ochraně.</w:t>
      </w:r>
      <w:r>
        <w:rPr>
          <w:rStyle w:val="Znakapoznpodarou"/>
          <w:i/>
          <w:iCs/>
        </w:rPr>
        <w:footnoteReference w:id="2"/>
      </w:r>
    </w:p>
    <w:p w14:paraId="72144F14" w14:textId="77777777" w:rsidR="00EB58DE" w:rsidRPr="00873B22" w:rsidRDefault="00EB58DE" w:rsidP="00EB58DE">
      <w:pPr>
        <w:ind w:left="705" w:hanging="705"/>
        <w:jc w:val="both"/>
        <w:rPr>
          <w:i/>
          <w:iCs/>
        </w:rPr>
      </w:pPr>
    </w:p>
    <w:p w14:paraId="1E1E7F06" w14:textId="5EE4A0B5" w:rsidR="00503D68" w:rsidRPr="00503D68" w:rsidRDefault="00503D68" w:rsidP="0075013C">
      <w:pPr>
        <w:ind w:left="705" w:hanging="705"/>
        <w:jc w:val="both"/>
      </w:pPr>
    </w:p>
    <w:p w14:paraId="620F26CF" w14:textId="57F6184F" w:rsidR="00EB58DE" w:rsidRPr="009540AF" w:rsidRDefault="00873B22" w:rsidP="00EB58DE">
      <w:pPr>
        <w:ind w:left="705" w:hanging="705"/>
        <w:jc w:val="both"/>
        <w:rPr>
          <w:b/>
        </w:rPr>
      </w:pPr>
      <w:r>
        <w:rPr>
          <w:b/>
        </w:rPr>
        <w:t>III</w:t>
      </w:r>
      <w:r w:rsidR="00964C2E">
        <w:rPr>
          <w:b/>
        </w:rPr>
        <w:t>.</w:t>
      </w:r>
      <w:r w:rsidR="00964C2E">
        <w:rPr>
          <w:b/>
        </w:rPr>
        <w:tab/>
      </w:r>
      <w:r w:rsidR="00EB58DE" w:rsidRPr="009540AF">
        <w:rPr>
          <w:b/>
        </w:rPr>
        <w:t xml:space="preserve">Přečtěte si </w:t>
      </w:r>
      <w:r w:rsidR="0085301E">
        <w:rPr>
          <w:b/>
        </w:rPr>
        <w:t xml:space="preserve">usnesení zvláštního „konfliktního“ senátu pro řešení některých kompetenčních sporů ze dne 14. 12. 2017, č.j. </w:t>
      </w:r>
      <w:proofErr w:type="spellStart"/>
      <w:r w:rsidR="0085301E" w:rsidRPr="0085301E">
        <w:rPr>
          <w:b/>
        </w:rPr>
        <w:t>Konf</w:t>
      </w:r>
      <w:proofErr w:type="spellEnd"/>
      <w:r w:rsidR="0085301E" w:rsidRPr="0085301E">
        <w:rPr>
          <w:b/>
        </w:rPr>
        <w:t xml:space="preserve"> 44/2017-7</w:t>
      </w:r>
      <w:r w:rsidR="00FE78A9">
        <w:rPr>
          <w:b/>
        </w:rPr>
        <w:t xml:space="preserve"> </w:t>
      </w:r>
      <w:r w:rsidR="00FE78A9" w:rsidRPr="00FE78A9">
        <w:rPr>
          <w:bCs/>
        </w:rPr>
        <w:t>(uloženo v </w:t>
      </w:r>
      <w:proofErr w:type="spellStart"/>
      <w:r w:rsidR="00FE78A9" w:rsidRPr="00FE78A9">
        <w:rPr>
          <w:bCs/>
        </w:rPr>
        <w:t>ISu</w:t>
      </w:r>
      <w:proofErr w:type="spellEnd"/>
      <w:r w:rsidR="00FE78A9" w:rsidRPr="00FE78A9">
        <w:rPr>
          <w:bCs/>
        </w:rPr>
        <w:t xml:space="preserve"> ve složce Učební materiály\Judikatura)</w:t>
      </w:r>
      <w:r w:rsidR="0085301E">
        <w:rPr>
          <w:b/>
        </w:rPr>
        <w:t xml:space="preserve"> a přemýšlejte nad následujícími otázkami:</w:t>
      </w:r>
    </w:p>
    <w:p w14:paraId="7A50CE87" w14:textId="77777777" w:rsidR="00EB58DE" w:rsidRDefault="00EB58DE" w:rsidP="00EB58DE">
      <w:pPr>
        <w:ind w:left="705" w:hanging="705"/>
        <w:jc w:val="both"/>
        <w:rPr>
          <w:b/>
        </w:rPr>
      </w:pPr>
    </w:p>
    <w:p w14:paraId="09101080" w14:textId="77777777" w:rsidR="0085301E" w:rsidRPr="00DB1386" w:rsidRDefault="0085301E" w:rsidP="00EB58DE">
      <w:pPr>
        <w:ind w:left="705" w:hanging="705"/>
        <w:jc w:val="both"/>
      </w:pPr>
      <w:r>
        <w:rPr>
          <w:b/>
        </w:rPr>
        <w:tab/>
      </w:r>
      <w:r w:rsidRPr="00DB1386">
        <w:t>1) Do jaké větve soudnictví řadila předmětný právní vztah praxe před sjednocujícím rozhodnutím konfliktního senátu?</w:t>
      </w:r>
    </w:p>
    <w:p w14:paraId="4855B0ED" w14:textId="77777777" w:rsidR="0085301E" w:rsidRPr="00DB1386" w:rsidRDefault="0085301E" w:rsidP="00EB58DE">
      <w:pPr>
        <w:ind w:left="705" w:hanging="705"/>
        <w:jc w:val="both"/>
      </w:pPr>
      <w:r w:rsidRPr="00DB1386">
        <w:tab/>
        <w:t>2)  K jaké výkladové metodě náleží výklad podle „povahy věci“?</w:t>
      </w:r>
    </w:p>
    <w:p w14:paraId="1A71574E" w14:textId="77777777" w:rsidR="0085301E" w:rsidRPr="00DB1386" w:rsidRDefault="0085301E" w:rsidP="00EB58DE">
      <w:pPr>
        <w:ind w:left="705" w:hanging="705"/>
        <w:jc w:val="both"/>
      </w:pPr>
      <w:r w:rsidRPr="00DB1386">
        <w:tab/>
        <w:t>3)  Jaké argumenty a prameny užil konfliktní senát při hledání povahy vztahu mezi zaměstnancem a Úřadem práce týkající se ochrany z</w:t>
      </w:r>
      <w:r w:rsidR="00DB1386" w:rsidRPr="00DB1386">
        <w:t>aměstnance při platební neschopnosti zaměstnavatele?</w:t>
      </w:r>
    </w:p>
    <w:p w14:paraId="092F11B3" w14:textId="77777777" w:rsidR="00DB1386" w:rsidRPr="00DB1386" w:rsidRDefault="00DB1386" w:rsidP="00EB58DE">
      <w:pPr>
        <w:ind w:left="705" w:hanging="705"/>
        <w:jc w:val="both"/>
      </w:pPr>
      <w:r w:rsidRPr="00DB1386">
        <w:tab/>
        <w:t>4) Vymezte cíle, účely a hodnoty sledované zákonem 118/2000 Sb., o ochraně zaměstnanců při platební neschopnosti zaměstnavatele.</w:t>
      </w:r>
    </w:p>
    <w:p w14:paraId="6DC6A2A4" w14:textId="77777777" w:rsidR="00DB1386" w:rsidRPr="00DB1386" w:rsidRDefault="00DB1386" w:rsidP="00EB58DE">
      <w:pPr>
        <w:ind w:left="705" w:hanging="705"/>
        <w:jc w:val="both"/>
      </w:pPr>
      <w:r w:rsidRPr="00DB1386">
        <w:tab/>
        <w:t xml:space="preserve">5) Najděte momenty systematického výkladu v odůvodnění a blíže určete, jaké části systematiky právního řádu hrají v použité argumentaci hlavní roli. </w:t>
      </w:r>
    </w:p>
    <w:p w14:paraId="785A6AA1" w14:textId="77777777" w:rsidR="00DB1386" w:rsidRPr="00DB1386" w:rsidRDefault="00DB1386" w:rsidP="00534E2A">
      <w:pPr>
        <w:autoSpaceDE w:val="0"/>
        <w:autoSpaceDN w:val="0"/>
        <w:adjustRightInd w:val="0"/>
        <w:ind w:left="708"/>
        <w:jc w:val="both"/>
      </w:pPr>
      <w:r w:rsidRPr="00DB1386">
        <w:t>8) Mohou různé teorie rozlišení soukromého a veřejného práva generovat různé závěry o povaze téhož právního vztahu? A jak tomu bylo v řešeném případu?</w:t>
      </w:r>
    </w:p>
    <w:p w14:paraId="3FB9A8D6" w14:textId="77777777" w:rsidR="00DB1386" w:rsidRPr="00DB1386" w:rsidRDefault="00DB1386" w:rsidP="00DB1386">
      <w:pPr>
        <w:autoSpaceDE w:val="0"/>
        <w:autoSpaceDN w:val="0"/>
        <w:adjustRightInd w:val="0"/>
        <w:ind w:left="708"/>
      </w:pPr>
      <w:r w:rsidRPr="00DB1386">
        <w:t>9) Najděte v odůvodnění ekonomický argument. Svědčí pro zaujatý právní závěr, či nikoliv a proč?</w:t>
      </w:r>
    </w:p>
    <w:p w14:paraId="508EE771" w14:textId="77777777" w:rsidR="00DB1386" w:rsidRPr="00DB1386" w:rsidRDefault="00DB1386" w:rsidP="00DB1386">
      <w:pPr>
        <w:autoSpaceDE w:val="0"/>
        <w:autoSpaceDN w:val="0"/>
        <w:adjustRightInd w:val="0"/>
        <w:ind w:left="705"/>
      </w:pPr>
      <w:r w:rsidRPr="00DB1386">
        <w:t>10) Posuďte význam argumentace fikcí racionálního zákonodárce pro řešení věci a posuďte přesvědčivost tohoto argumentu.</w:t>
      </w:r>
    </w:p>
    <w:p w14:paraId="1551C1C1" w14:textId="77777777" w:rsidR="00DB1386" w:rsidRPr="00DB1386" w:rsidRDefault="00DB1386" w:rsidP="00DB1386">
      <w:pPr>
        <w:autoSpaceDE w:val="0"/>
        <w:autoSpaceDN w:val="0"/>
        <w:adjustRightInd w:val="0"/>
        <w:ind w:left="708"/>
      </w:pPr>
    </w:p>
    <w:p w14:paraId="7C82CB92" w14:textId="77777777" w:rsidR="00DB1386" w:rsidRPr="009540AF" w:rsidRDefault="00DB1386" w:rsidP="00EB58DE">
      <w:pPr>
        <w:ind w:left="705" w:hanging="705"/>
        <w:jc w:val="both"/>
        <w:rPr>
          <w:b/>
        </w:rPr>
      </w:pPr>
    </w:p>
    <w:p w14:paraId="40C8A4AA" w14:textId="77777777" w:rsidR="00B77CC1" w:rsidRDefault="00B77CC1" w:rsidP="00B77CC1">
      <w:pPr>
        <w:pStyle w:val="Odstavecseseznamem"/>
        <w:ind w:left="1065"/>
        <w:jc w:val="both"/>
      </w:pPr>
    </w:p>
    <w:p w14:paraId="7063549D" w14:textId="6310AFAB" w:rsidR="005D77EB" w:rsidRDefault="005D77EB" w:rsidP="0075013C">
      <w:pPr>
        <w:ind w:left="705" w:hanging="705"/>
      </w:pPr>
    </w:p>
    <w:p w14:paraId="2DB1EFF7" w14:textId="77777777" w:rsidR="00B77CC1" w:rsidRDefault="00B77CC1" w:rsidP="00B77CC1"/>
    <w:sectPr w:rsidR="00B7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43FF0" w14:textId="77777777" w:rsidR="00485C2C" w:rsidRDefault="00485C2C" w:rsidP="00EB58DE">
      <w:r>
        <w:separator/>
      </w:r>
    </w:p>
  </w:endnote>
  <w:endnote w:type="continuationSeparator" w:id="0">
    <w:p w14:paraId="24C21AE7" w14:textId="77777777" w:rsidR="00485C2C" w:rsidRDefault="00485C2C" w:rsidP="00EB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024B8" w14:textId="77777777" w:rsidR="00485C2C" w:rsidRDefault="00485C2C" w:rsidP="00EB58DE">
      <w:r>
        <w:separator/>
      </w:r>
    </w:p>
  </w:footnote>
  <w:footnote w:type="continuationSeparator" w:id="0">
    <w:p w14:paraId="246D058F" w14:textId="77777777" w:rsidR="00485C2C" w:rsidRDefault="00485C2C" w:rsidP="00EB58DE">
      <w:r>
        <w:continuationSeparator/>
      </w:r>
    </w:p>
  </w:footnote>
  <w:footnote w:id="1">
    <w:p w14:paraId="2107A009" w14:textId="77777777" w:rsidR="00EB58DE" w:rsidRPr="004E647F" w:rsidRDefault="00EB58DE" w:rsidP="00EB58DE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4E647F">
        <w:rPr>
          <w:sz w:val="20"/>
          <w:szCs w:val="20"/>
        </w:rPr>
        <w:t>Podle rozsudku Nejvyššího správního soudu ze dne 8. 2. 2007, čj. 1 As 46/2006-75</w:t>
      </w:r>
    </w:p>
    <w:p w14:paraId="3C933104" w14:textId="77777777" w:rsidR="00EB58DE" w:rsidRDefault="00EB58DE" w:rsidP="00EB58DE">
      <w:pPr>
        <w:pStyle w:val="Textpoznpodarou"/>
      </w:pPr>
    </w:p>
  </w:footnote>
  <w:footnote w:id="2">
    <w:p w14:paraId="54E71CB9" w14:textId="02927958" w:rsidR="00873B22" w:rsidRDefault="00873B22" w:rsidP="00873B2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usnesení rozšířeného senátu NSS ze dne 21. 7. 2009, č.j. </w:t>
      </w:r>
      <w:r w:rsidRPr="00873B22">
        <w:t xml:space="preserve">1 </w:t>
      </w:r>
      <w:proofErr w:type="spellStart"/>
      <w:r w:rsidRPr="00873B22">
        <w:t>Ao</w:t>
      </w:r>
      <w:proofErr w:type="spellEnd"/>
      <w:r w:rsidRPr="00873B22">
        <w:t xml:space="preserve"> 1/</w:t>
      </w:r>
      <w:proofErr w:type="gramStart"/>
      <w:r w:rsidRPr="00873B22">
        <w:t xml:space="preserve">2009 </w:t>
      </w:r>
      <w:r>
        <w:t>–</w:t>
      </w:r>
      <w:r w:rsidRPr="00873B22">
        <w:t xml:space="preserve"> 120</w:t>
      </w:r>
      <w:proofErr w:type="gramEnd"/>
      <w:r>
        <w:t>, přístupné na www.nssoud.cz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6436"/>
    <w:multiLevelType w:val="hybridMultilevel"/>
    <w:tmpl w:val="92427E46"/>
    <w:lvl w:ilvl="0" w:tplc="2F0EA0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8D0"/>
    <w:multiLevelType w:val="hybridMultilevel"/>
    <w:tmpl w:val="2C4A764E"/>
    <w:lvl w:ilvl="0" w:tplc="BF8C10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CE5660"/>
    <w:multiLevelType w:val="hybridMultilevel"/>
    <w:tmpl w:val="79260E6A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8DE"/>
    <w:rsid w:val="002D4EB6"/>
    <w:rsid w:val="003769CD"/>
    <w:rsid w:val="00392DF8"/>
    <w:rsid w:val="00485C2C"/>
    <w:rsid w:val="00503D68"/>
    <w:rsid w:val="00534E2A"/>
    <w:rsid w:val="005D77EB"/>
    <w:rsid w:val="00723E87"/>
    <w:rsid w:val="0075013C"/>
    <w:rsid w:val="00825F25"/>
    <w:rsid w:val="008439F5"/>
    <w:rsid w:val="0085301E"/>
    <w:rsid w:val="00873B22"/>
    <w:rsid w:val="009540AF"/>
    <w:rsid w:val="00964C2E"/>
    <w:rsid w:val="009F7CA1"/>
    <w:rsid w:val="00B6114B"/>
    <w:rsid w:val="00B77CC1"/>
    <w:rsid w:val="00CA23CD"/>
    <w:rsid w:val="00DB1386"/>
    <w:rsid w:val="00E861ED"/>
    <w:rsid w:val="00EB58DE"/>
    <w:rsid w:val="00F17572"/>
    <w:rsid w:val="00F4186F"/>
    <w:rsid w:val="00F95CAC"/>
    <w:rsid w:val="00FA240A"/>
    <w:rsid w:val="00FE3316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2F0B"/>
  <w15:docId w15:val="{2E6145EA-53E8-4525-82A7-98A865EC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58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B58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8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3B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B2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DC6B2-8C0A-4CAD-BA3F-95B09034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dc:description/>
  <cp:lastModifiedBy>Hlousik</cp:lastModifiedBy>
  <cp:revision>4</cp:revision>
  <dcterms:created xsi:type="dcterms:W3CDTF">2020-11-07T22:04:00Z</dcterms:created>
  <dcterms:modified xsi:type="dcterms:W3CDTF">2020-11-07T23:01:00Z</dcterms:modified>
</cp:coreProperties>
</file>