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8A037" w14:textId="3635BCB0" w:rsidR="00D15223" w:rsidRDefault="00CB7642" w:rsidP="00CB7642">
      <w:pPr>
        <w:pStyle w:val="Nzevdokumentu"/>
        <w:rPr>
          <w:sz w:val="40"/>
          <w:szCs w:val="40"/>
        </w:rPr>
      </w:pPr>
      <w:r w:rsidRPr="00CB7642">
        <w:rPr>
          <w:sz w:val="40"/>
          <w:szCs w:val="40"/>
        </w:rPr>
        <w:t>Malá násobilka (nejen) z předchozího semestru</w:t>
      </w:r>
    </w:p>
    <w:p w14:paraId="46948E05" w14:textId="033EEE56" w:rsidR="00CB7642" w:rsidRPr="00E64465" w:rsidRDefault="00CB7642" w:rsidP="00520F66">
      <w:pPr>
        <w:spacing w:after="8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Milí studující,</w:t>
      </w:r>
    </w:p>
    <w:p w14:paraId="4FD057FA" w14:textId="77777777" w:rsidR="00520F66" w:rsidRPr="00E64465" w:rsidRDefault="00CB7642" w:rsidP="00520F66">
      <w:pPr>
        <w:spacing w:after="8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 xml:space="preserve">zde nabízím </w:t>
      </w:r>
      <w:r w:rsidRPr="00E64465">
        <w:rPr>
          <w:rStyle w:val="Nadpis4Char"/>
          <w:rFonts w:cstheme="majorHAnsi"/>
        </w:rPr>
        <w:t>seznam pojmů</w:t>
      </w:r>
      <w:r w:rsidRPr="00E64465">
        <w:rPr>
          <w:rFonts w:asciiTheme="majorHAnsi" w:hAnsiTheme="majorHAnsi" w:cstheme="majorHAnsi"/>
        </w:rPr>
        <w:t xml:space="preserve"> (institutů), o nichž mám za to, že je nezbytné je mít tzv</w:t>
      </w:r>
      <w:r w:rsidR="00DC0A78" w:rsidRPr="00E64465">
        <w:rPr>
          <w:rFonts w:asciiTheme="majorHAnsi" w:hAnsiTheme="majorHAnsi" w:cstheme="majorHAnsi"/>
        </w:rPr>
        <w:t>.</w:t>
      </w:r>
      <w:r w:rsidRPr="00E64465">
        <w:rPr>
          <w:rFonts w:asciiTheme="majorHAnsi" w:hAnsiTheme="majorHAnsi" w:cstheme="majorHAnsi"/>
        </w:rPr>
        <w:t xml:space="preserve"> pod palcem, než se pustíte do dalšího studia</w:t>
      </w:r>
      <w:r w:rsidR="00DC0A78" w:rsidRPr="00E64465">
        <w:rPr>
          <w:rFonts w:asciiTheme="majorHAnsi" w:hAnsiTheme="majorHAnsi" w:cstheme="majorHAnsi"/>
        </w:rPr>
        <w:t>, než započne první minuta našeho společného semináře</w:t>
      </w:r>
      <w:r w:rsidRPr="00E64465">
        <w:rPr>
          <w:rFonts w:asciiTheme="majorHAnsi" w:hAnsiTheme="majorHAnsi" w:cstheme="majorHAnsi"/>
        </w:rPr>
        <w:t>. Jako ideální způsob vypracování se mi jeví, abyste si seznam prošli každ</w:t>
      </w:r>
      <w:r w:rsidR="00DC0A78" w:rsidRPr="00E64465">
        <w:rPr>
          <w:rFonts w:asciiTheme="majorHAnsi" w:hAnsiTheme="majorHAnsi" w:cstheme="majorHAnsi"/>
        </w:rPr>
        <w:t>ý</w:t>
      </w:r>
      <w:r w:rsidRPr="00E64465">
        <w:rPr>
          <w:rFonts w:asciiTheme="majorHAnsi" w:hAnsiTheme="majorHAnsi" w:cstheme="majorHAnsi"/>
        </w:rPr>
        <w:t xml:space="preserve"> individuálně a nebudete</w:t>
      </w:r>
      <w:r w:rsidR="00DC0A78" w:rsidRPr="00E64465">
        <w:rPr>
          <w:rFonts w:asciiTheme="majorHAnsi" w:hAnsiTheme="majorHAnsi" w:cstheme="majorHAnsi"/>
        </w:rPr>
        <w:t>-li</w:t>
      </w:r>
      <w:r w:rsidRPr="00E64465">
        <w:rPr>
          <w:rFonts w:asciiTheme="majorHAnsi" w:hAnsiTheme="majorHAnsi" w:cstheme="majorHAnsi"/>
        </w:rPr>
        <w:t xml:space="preserve"> si vědět s něčím rady, </w:t>
      </w:r>
      <w:r w:rsidR="00DC0A78" w:rsidRPr="00E64465">
        <w:rPr>
          <w:rFonts w:asciiTheme="majorHAnsi" w:hAnsiTheme="majorHAnsi" w:cstheme="majorHAnsi"/>
        </w:rPr>
        <w:t xml:space="preserve">abyste se </w:t>
      </w:r>
      <w:r w:rsidRPr="00E64465">
        <w:rPr>
          <w:rFonts w:asciiTheme="majorHAnsi" w:hAnsiTheme="majorHAnsi" w:cstheme="majorHAnsi"/>
        </w:rPr>
        <w:t xml:space="preserve">sešli </w:t>
      </w:r>
      <w:r w:rsidR="00DC0A78" w:rsidRPr="00E64465">
        <w:rPr>
          <w:rFonts w:asciiTheme="majorHAnsi" w:hAnsiTheme="majorHAnsi" w:cstheme="majorHAnsi"/>
        </w:rPr>
        <w:t>(bude-li chtít)</w:t>
      </w:r>
      <w:r w:rsidRPr="00E64465">
        <w:rPr>
          <w:rFonts w:asciiTheme="majorHAnsi" w:hAnsiTheme="majorHAnsi" w:cstheme="majorHAnsi"/>
        </w:rPr>
        <w:t xml:space="preserve"> v malých skupinkách a</w:t>
      </w:r>
      <w:r w:rsidR="00DC0A78" w:rsidRPr="00E64465">
        <w:rPr>
          <w:rFonts w:asciiTheme="majorHAnsi" w:hAnsiTheme="majorHAnsi" w:cstheme="majorHAnsi"/>
        </w:rPr>
        <w:t> </w:t>
      </w:r>
      <w:r w:rsidRPr="00E64465">
        <w:rPr>
          <w:rFonts w:asciiTheme="majorHAnsi" w:hAnsiTheme="majorHAnsi" w:cstheme="majorHAnsi"/>
        </w:rPr>
        <w:t>společně se o termínech bavili se spolužáky.</w:t>
      </w:r>
      <w:r w:rsidR="00DC0A78" w:rsidRPr="00E64465">
        <w:rPr>
          <w:rFonts w:asciiTheme="majorHAnsi" w:hAnsiTheme="majorHAnsi" w:cstheme="majorHAnsi"/>
        </w:rPr>
        <w:t xml:space="preserve"> </w:t>
      </w:r>
    </w:p>
    <w:p w14:paraId="204A19E8" w14:textId="03C5A179" w:rsidR="00CB7642" w:rsidRPr="00E64465" w:rsidRDefault="00DC0A78" w:rsidP="00520F66">
      <w:pPr>
        <w:spacing w:after="8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 xml:space="preserve">Práce na dokumentu je </w:t>
      </w:r>
      <w:r w:rsidR="00AD09E1" w:rsidRPr="00E64465">
        <w:rPr>
          <w:rFonts w:asciiTheme="majorHAnsi" w:hAnsiTheme="majorHAnsi" w:cstheme="majorHAnsi"/>
        </w:rPr>
        <w:t xml:space="preserve">nicméně </w:t>
      </w:r>
      <w:r w:rsidRPr="00E64465">
        <w:rPr>
          <w:rStyle w:val="Nadpis4Char"/>
          <w:rFonts w:cstheme="majorHAnsi"/>
        </w:rPr>
        <w:t>maximálně dobrovolná</w:t>
      </w:r>
      <w:r w:rsidRPr="00E64465">
        <w:rPr>
          <w:rFonts w:asciiTheme="majorHAnsi" w:hAnsiTheme="majorHAnsi" w:cstheme="majorHAnsi"/>
        </w:rPr>
        <w:t>.</w:t>
      </w:r>
    </w:p>
    <w:p w14:paraId="41DF3706" w14:textId="07C44A78" w:rsidR="00DC0A78" w:rsidRPr="00E64465" w:rsidRDefault="00CB7642" w:rsidP="00520F66">
      <w:pPr>
        <w:spacing w:after="8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 xml:space="preserve">Zkuste nad pojmem přemýšlet tak, že k němu nebudete uvádět pouze nějakou definici, ale zkuste si daný institut představit v nějaké </w:t>
      </w:r>
      <w:r w:rsidRPr="00E64465">
        <w:rPr>
          <w:rStyle w:val="Nadpis4Char"/>
          <w:rFonts w:cstheme="majorHAnsi"/>
        </w:rPr>
        <w:t>praktické situaci</w:t>
      </w:r>
      <w:r w:rsidRPr="00E64465">
        <w:rPr>
          <w:rFonts w:asciiTheme="majorHAnsi" w:hAnsiTheme="majorHAnsi" w:cstheme="majorHAnsi"/>
        </w:rPr>
        <w:t xml:space="preserve">. Ideálně si tak zaznamenejte příklad, </w:t>
      </w:r>
      <w:r w:rsidR="00DC0A78" w:rsidRPr="00E64465">
        <w:rPr>
          <w:rFonts w:asciiTheme="majorHAnsi" w:hAnsiTheme="majorHAnsi" w:cstheme="majorHAnsi"/>
        </w:rPr>
        <w:t>ve kterém</w:t>
      </w:r>
      <w:r w:rsidRPr="00E64465">
        <w:rPr>
          <w:rFonts w:asciiTheme="majorHAnsi" w:hAnsiTheme="majorHAnsi" w:cstheme="majorHAnsi"/>
        </w:rPr>
        <w:t xml:space="preserve"> se institut objeví.</w:t>
      </w:r>
      <w:r w:rsidR="00DC0A78" w:rsidRPr="00E64465">
        <w:rPr>
          <w:rFonts w:asciiTheme="majorHAnsi" w:hAnsiTheme="majorHAnsi" w:cstheme="majorHAnsi"/>
        </w:rPr>
        <w:t xml:space="preserve"> Zkuste na něj nahlížet ze všech různých pohledů. </w:t>
      </w:r>
      <w:r w:rsidR="00F320EC" w:rsidRPr="00E64465">
        <w:rPr>
          <w:rFonts w:asciiTheme="majorHAnsi" w:hAnsiTheme="majorHAnsi" w:cstheme="majorHAnsi"/>
        </w:rPr>
        <w:t xml:space="preserve">Někdy pro vás bude třeba institut natolik samozřejmý, že vám zcela postačí, když si ho připomenete jen krátce </w:t>
      </w:r>
      <w:r w:rsidR="00B64016" w:rsidRPr="00E64465">
        <w:rPr>
          <w:rFonts w:asciiTheme="majorHAnsi" w:hAnsiTheme="majorHAnsi" w:cstheme="majorHAnsi"/>
        </w:rPr>
        <w:t>ve svých myšlenkách a uvedete k němu třeba relevantní ustanovení z o. z.</w:t>
      </w:r>
    </w:p>
    <w:p w14:paraId="1466F674" w14:textId="1F3D9239" w:rsidR="00CB7642" w:rsidRPr="00E64465" w:rsidRDefault="00DC0A78" w:rsidP="00520F66">
      <w:pPr>
        <w:spacing w:after="8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 xml:space="preserve">Díky „malé násobilce“ tak máte příležitost </w:t>
      </w:r>
      <w:r w:rsidRPr="00E64465">
        <w:rPr>
          <w:rStyle w:val="Nadpis4Char"/>
          <w:rFonts w:cstheme="majorHAnsi"/>
        </w:rPr>
        <w:t>strukturovaně si utřídit myšlenky</w:t>
      </w:r>
      <w:r w:rsidRPr="00E64465">
        <w:rPr>
          <w:rFonts w:asciiTheme="majorHAnsi" w:hAnsiTheme="majorHAnsi" w:cstheme="majorHAnsi"/>
        </w:rPr>
        <w:t xml:space="preserve"> z minulého semestru a vytvořit si kvalitní přehled, jenž budete moci v budoucnu využít např. při přípravě na zkoušku.</w:t>
      </w:r>
    </w:p>
    <w:p w14:paraId="1A438437" w14:textId="27E7F26E" w:rsidR="00DC0A78" w:rsidRPr="00E64465" w:rsidRDefault="00DC0A78" w:rsidP="00CB7642">
      <w:pPr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Dokument nechť slouží i jako</w:t>
      </w:r>
      <w:r w:rsidR="00F320EC" w:rsidRPr="00E64465">
        <w:rPr>
          <w:rFonts w:asciiTheme="majorHAnsi" w:hAnsiTheme="majorHAnsi" w:cstheme="majorHAnsi"/>
        </w:rPr>
        <w:t xml:space="preserve"> systematizovaná </w:t>
      </w:r>
      <w:r w:rsidR="00B64016" w:rsidRPr="00E64465">
        <w:rPr>
          <w:rFonts w:asciiTheme="majorHAnsi" w:hAnsiTheme="majorHAnsi" w:cstheme="majorHAnsi"/>
        </w:rPr>
        <w:t>podpora</w:t>
      </w:r>
      <w:r w:rsidR="00F320EC" w:rsidRPr="00E64465">
        <w:rPr>
          <w:rFonts w:asciiTheme="majorHAnsi" w:hAnsiTheme="majorHAnsi" w:cstheme="majorHAnsi"/>
        </w:rPr>
        <w:t xml:space="preserve"> těm, jímž z důvodu </w:t>
      </w:r>
      <w:r w:rsidR="00F320EC" w:rsidRPr="00E64465">
        <w:rPr>
          <w:rStyle w:val="Nadpis4Char"/>
          <w:rFonts w:cstheme="majorHAnsi"/>
        </w:rPr>
        <w:t>státního svátku</w:t>
      </w:r>
      <w:r w:rsidR="00F320EC" w:rsidRPr="00E64465">
        <w:rPr>
          <w:rFonts w:asciiTheme="majorHAnsi" w:hAnsiTheme="majorHAnsi" w:cstheme="majorHAnsi"/>
        </w:rPr>
        <w:t xml:space="preserve"> první seminář odpadne.</w:t>
      </w:r>
    </w:p>
    <w:p w14:paraId="012662E7" w14:textId="4F96D2DA" w:rsidR="00F320EC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závazek</w:t>
      </w:r>
    </w:p>
    <w:p w14:paraId="5C6CC550" w14:textId="2FB88B84" w:rsidR="00F320EC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dluh</w:t>
      </w:r>
    </w:p>
    <w:p w14:paraId="0A09D4AE" w14:textId="291CC2C7" w:rsidR="00F320EC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pohledávka</w:t>
      </w:r>
    </w:p>
    <w:p w14:paraId="5484D45B" w14:textId="0EE9D5BB" w:rsidR="00F320EC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majetkový zájem věřitele</w:t>
      </w:r>
    </w:p>
    <w:p w14:paraId="218AAFAB" w14:textId="662CB7D8" w:rsidR="00F320EC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vznik závazku</w:t>
      </w:r>
    </w:p>
    <w:p w14:paraId="63175778" w14:textId="25BE24D9" w:rsidR="00F320EC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smlouva</w:t>
      </w:r>
    </w:p>
    <w:p w14:paraId="2774127E" w14:textId="03CF0964" w:rsidR="00F320EC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okamžik uzavření smlouvy</w:t>
      </w:r>
    </w:p>
    <w:p w14:paraId="55FBA698" w14:textId="74F17C63" w:rsidR="00F320EC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podstatné náležitosti smlouvy</w:t>
      </w:r>
    </w:p>
    <w:p w14:paraId="34A02B96" w14:textId="232B74EE" w:rsidR="00F320EC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nabídka</w:t>
      </w:r>
    </w:p>
    <w:p w14:paraId="4F742F10" w14:textId="4FCCEE0E" w:rsidR="00F320EC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akceptace</w:t>
      </w:r>
    </w:p>
    <w:p w14:paraId="0208B799" w14:textId="7454DEE4" w:rsidR="00B64016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faktická akceptace návrhu smlouvy</w:t>
      </w:r>
    </w:p>
    <w:p w14:paraId="4AB724A8" w14:textId="595558B7" w:rsidR="00F320EC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inominátní smlouva</w:t>
      </w:r>
    </w:p>
    <w:p w14:paraId="6525E1DF" w14:textId="701626D2" w:rsidR="00F320EC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účinnost smlouvy</w:t>
      </w:r>
    </w:p>
    <w:p w14:paraId="5FFEACD8" w14:textId="67AB54DF" w:rsidR="00F320EC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obchodní podmínky</w:t>
      </w:r>
    </w:p>
    <w:p w14:paraId="137EAF99" w14:textId="6C06A256" w:rsidR="00F320EC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 xml:space="preserve">překvapivé obchodní podmínky </w:t>
      </w:r>
    </w:p>
    <w:p w14:paraId="691750C1" w14:textId="13CD34AF" w:rsidR="00F320EC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smlouvy uzavírané adhezním způsobem</w:t>
      </w:r>
    </w:p>
    <w:p w14:paraId="61F7DC9F" w14:textId="6678E48C" w:rsidR="00F320EC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forma smlouvy</w:t>
      </w:r>
    </w:p>
    <w:p w14:paraId="04CA4409" w14:textId="03E6565A" w:rsidR="00B64016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podstatná změna okolností</w:t>
      </w:r>
    </w:p>
    <w:p w14:paraId="5991E02D" w14:textId="4A0D1815" w:rsidR="00B64016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smlouva ve prospěch třetího</w:t>
      </w:r>
    </w:p>
    <w:p w14:paraId="3FA665A6" w14:textId="171AA391" w:rsidR="00B64016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smlouva o plnění třetí osoby</w:t>
      </w:r>
    </w:p>
    <w:p w14:paraId="48B0EC31" w14:textId="145AC954" w:rsidR="00B64016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zásada bezformálnosti a výjimky z ní</w:t>
      </w:r>
    </w:p>
    <w:p w14:paraId="04D99749" w14:textId="7CF8E1C4" w:rsidR="00B64016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příklep</w:t>
      </w:r>
    </w:p>
    <w:p w14:paraId="28672C3D" w14:textId="26B69CA7" w:rsidR="00B64016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slabší smluvní strana a její identifikace</w:t>
      </w:r>
    </w:p>
    <w:p w14:paraId="4FE5C6D9" w14:textId="501A4713" w:rsidR="00B64016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lastRenderedPageBreak/>
        <w:t>neúměrné zkrácení</w:t>
      </w:r>
    </w:p>
    <w:p w14:paraId="592B5097" w14:textId="705D33C6" w:rsidR="00B64016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lichva</w:t>
      </w:r>
    </w:p>
    <w:p w14:paraId="47E6B365" w14:textId="2ECD0F76" w:rsidR="00B64016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spotřebitel</w:t>
      </w:r>
    </w:p>
    <w:p w14:paraId="1C73A69A" w14:textId="3C2D035D" w:rsidR="00B64016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zajištění dluhu</w:t>
      </w:r>
    </w:p>
    <w:p w14:paraId="4B798CAA" w14:textId="0717D931" w:rsidR="00B64016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utvrzení dluhu</w:t>
      </w:r>
    </w:p>
    <w:p w14:paraId="6C52568E" w14:textId="5F837373" w:rsidR="00B64016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postoupení pohledávky</w:t>
      </w:r>
    </w:p>
    <w:p w14:paraId="4502277A" w14:textId="06CFAA21" w:rsidR="00B64016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globální cese</w:t>
      </w:r>
    </w:p>
    <w:p w14:paraId="10D68745" w14:textId="4E0C5BC9" w:rsidR="00B64016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převzetí majetku</w:t>
      </w:r>
    </w:p>
    <w:p w14:paraId="148BABEE" w14:textId="2848518A" w:rsidR="00AD09E1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postoupení smlouvy</w:t>
      </w:r>
    </w:p>
    <w:p w14:paraId="34F8E422" w14:textId="480C2BB0" w:rsidR="00AD09E1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novace</w:t>
      </w:r>
    </w:p>
    <w:p w14:paraId="77F09ACD" w14:textId="4CA01B52" w:rsidR="00AD09E1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narovnání</w:t>
      </w:r>
    </w:p>
    <w:p w14:paraId="20091F8E" w14:textId="03E5B3D9" w:rsidR="00AD09E1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započtení</w:t>
      </w:r>
    </w:p>
    <w:p w14:paraId="6A6949A8" w14:textId="7C65FC3B" w:rsidR="00AD09E1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ručení</w:t>
      </w:r>
    </w:p>
    <w:p w14:paraId="48011E77" w14:textId="2286D41E" w:rsidR="00AD09E1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zajišťovací převod práva</w:t>
      </w:r>
    </w:p>
    <w:p w14:paraId="7D0EB8CA" w14:textId="6CE5E1F6" w:rsidR="00AD09E1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smluvní pokuta</w:t>
      </w:r>
    </w:p>
    <w:p w14:paraId="05B8BA74" w14:textId="2558F4BC" w:rsidR="00AD09E1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 xml:space="preserve">uznání dluhu </w:t>
      </w:r>
    </w:p>
    <w:p w14:paraId="201234FA" w14:textId="5FA70BDB" w:rsidR="00F320EC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zástavní právo</w:t>
      </w:r>
    </w:p>
    <w:p w14:paraId="267EAF0C" w14:textId="58EF0AB6" w:rsidR="00AD09E1" w:rsidRPr="00E64465" w:rsidRDefault="00AD09E1" w:rsidP="00520F66">
      <w:pPr>
        <w:pStyle w:val="slovanodrka"/>
        <w:numPr>
          <w:ilvl w:val="0"/>
          <w:numId w:val="0"/>
        </w:numPr>
        <w:spacing w:before="280" w:after="140"/>
        <w:ind w:left="454" w:hanging="454"/>
        <w:contextualSpacing w:val="0"/>
        <w:rPr>
          <w:rFonts w:asciiTheme="majorHAnsi" w:hAnsiTheme="majorHAnsi" w:cstheme="majorHAnsi"/>
          <w:b/>
          <w:bCs/>
        </w:rPr>
      </w:pPr>
      <w:r w:rsidRPr="00E64465">
        <w:rPr>
          <w:rFonts w:asciiTheme="majorHAnsi" w:hAnsiTheme="majorHAnsi" w:cstheme="majorHAnsi"/>
          <w:b/>
          <w:bCs/>
        </w:rPr>
        <w:t>A nabízí se samozřejmě i celá řada dalších pojmů</w:t>
      </w:r>
      <w:r w:rsidR="00520F66" w:rsidRPr="00E64465">
        <w:rPr>
          <w:rFonts w:asciiTheme="majorHAnsi" w:hAnsiTheme="majorHAnsi" w:cstheme="majorHAnsi"/>
          <w:b/>
          <w:bCs/>
        </w:rPr>
        <w:t>, např.</w:t>
      </w:r>
    </w:p>
    <w:p w14:paraId="1E360AC8" w14:textId="55AE1443" w:rsidR="00F320EC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právní skutečnost</w:t>
      </w:r>
    </w:p>
    <w:p w14:paraId="5ECDBC46" w14:textId="16F6A51A" w:rsidR="00F320EC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právní jednání</w:t>
      </w:r>
    </w:p>
    <w:p w14:paraId="22048904" w14:textId="2E9B5F45" w:rsidR="00F320EC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neplatnost právního jednání</w:t>
      </w:r>
    </w:p>
    <w:p w14:paraId="21BF533C" w14:textId="5A416C10" w:rsidR="00F320EC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nicotnost právního jednání</w:t>
      </w:r>
    </w:p>
    <w:p w14:paraId="75EBC141" w14:textId="346B8D82" w:rsidR="00F320EC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právní osobnost</w:t>
      </w:r>
    </w:p>
    <w:p w14:paraId="4831B475" w14:textId="0982CF8F" w:rsidR="00F320EC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svéprávnost</w:t>
      </w:r>
    </w:p>
    <w:p w14:paraId="5D47AF4B" w14:textId="62B229C2" w:rsidR="00B64016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nemovitá věc</w:t>
      </w:r>
    </w:p>
    <w:p w14:paraId="221CA717" w14:textId="13465BE0" w:rsidR="00B64016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příslušenství věci</w:t>
      </w:r>
    </w:p>
    <w:p w14:paraId="4042E4D6" w14:textId="1B9F969C" w:rsidR="00B64016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součást věci</w:t>
      </w:r>
    </w:p>
    <w:p w14:paraId="6151CA85" w14:textId="512DFBD6" w:rsidR="00B64016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věcné břemeno</w:t>
      </w:r>
    </w:p>
    <w:p w14:paraId="19D335EC" w14:textId="03ADEBA1" w:rsidR="00B64016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služebnost</w:t>
      </w:r>
    </w:p>
    <w:p w14:paraId="56C85DE6" w14:textId="40310806" w:rsidR="00B64016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právo stavby</w:t>
      </w:r>
    </w:p>
    <w:p w14:paraId="75017E36" w14:textId="2843282C" w:rsidR="00B64016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dispozitivní právní norma</w:t>
      </w:r>
    </w:p>
    <w:p w14:paraId="06347E68" w14:textId="48764F69" w:rsidR="00B64016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poctivost</w:t>
      </w:r>
    </w:p>
    <w:p w14:paraId="652DD193" w14:textId="124C3153" w:rsidR="00F320EC" w:rsidRPr="00E64465" w:rsidRDefault="00AD09E1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dobré mravy</w:t>
      </w:r>
    </w:p>
    <w:p w14:paraId="100CEE9C" w14:textId="150E13CD" w:rsidR="00520F66" w:rsidRPr="00E64465" w:rsidRDefault="00520F66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držba</w:t>
      </w:r>
    </w:p>
    <w:p w14:paraId="581A5CB0" w14:textId="0FB00044" w:rsidR="00520F66" w:rsidRPr="00E64465" w:rsidRDefault="00520F66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vlastnictví</w:t>
      </w:r>
    </w:p>
    <w:p w14:paraId="6E06DF02" w14:textId="63508B30" w:rsidR="00520F66" w:rsidRPr="00E64465" w:rsidRDefault="00520F66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pořízení pro případ smrti</w:t>
      </w:r>
    </w:p>
    <w:p w14:paraId="23F8ABC6" w14:textId="1E7FBA1C" w:rsidR="00520F66" w:rsidRPr="00E64465" w:rsidRDefault="00520F66" w:rsidP="00520F66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odkaz</w:t>
      </w:r>
    </w:p>
    <w:p w14:paraId="0AA493A6" w14:textId="5AFEBF9C" w:rsidR="00DC0A78" w:rsidRPr="00E64465" w:rsidRDefault="00520F66" w:rsidP="00CB7642">
      <w:pPr>
        <w:pStyle w:val="slovanodrka"/>
        <w:spacing w:after="140"/>
        <w:contextualSpacing w:val="0"/>
        <w:rPr>
          <w:rFonts w:asciiTheme="majorHAnsi" w:hAnsiTheme="majorHAnsi" w:cstheme="majorHAnsi"/>
        </w:rPr>
      </w:pPr>
      <w:r w:rsidRPr="00E64465">
        <w:rPr>
          <w:rFonts w:asciiTheme="majorHAnsi" w:hAnsiTheme="majorHAnsi" w:cstheme="majorHAnsi"/>
        </w:rPr>
        <w:t>dědický podíl</w:t>
      </w:r>
    </w:p>
    <w:p w14:paraId="0AC0E78F" w14:textId="6C6D829E" w:rsidR="00520F66" w:rsidRPr="00E64465" w:rsidRDefault="00520F66" w:rsidP="00520F66">
      <w:pPr>
        <w:pStyle w:val="slovanodrka"/>
        <w:numPr>
          <w:ilvl w:val="0"/>
          <w:numId w:val="0"/>
        </w:numPr>
        <w:spacing w:after="140"/>
        <w:ind w:left="454" w:hanging="454"/>
        <w:contextualSpacing w:val="0"/>
        <w:rPr>
          <w:rFonts w:asciiTheme="majorHAnsi" w:hAnsiTheme="majorHAnsi" w:cstheme="majorHAnsi"/>
          <w:b/>
          <w:bCs/>
        </w:rPr>
      </w:pPr>
      <w:r w:rsidRPr="00E64465">
        <w:rPr>
          <w:rFonts w:asciiTheme="majorHAnsi" w:hAnsiTheme="majorHAnsi" w:cstheme="majorHAnsi"/>
          <w:b/>
          <w:bCs/>
        </w:rPr>
        <w:t xml:space="preserve">Nyní se sebou můžete být spokojení a </w:t>
      </w:r>
      <w:r w:rsidR="00E64465" w:rsidRPr="00E64465">
        <w:rPr>
          <w:rFonts w:asciiTheme="majorHAnsi" w:hAnsiTheme="majorHAnsi" w:cstheme="majorHAnsi"/>
          <w:b/>
          <w:bCs/>
        </w:rPr>
        <w:t xml:space="preserve">můžete se </w:t>
      </w:r>
      <w:r w:rsidRPr="00E64465">
        <w:rPr>
          <w:rFonts w:asciiTheme="majorHAnsi" w:hAnsiTheme="majorHAnsi" w:cstheme="majorHAnsi"/>
          <w:b/>
          <w:bCs/>
        </w:rPr>
        <w:t>bezpečně pustit do dalšího studia.</w:t>
      </w:r>
    </w:p>
    <w:p w14:paraId="015BE06B" w14:textId="424A5F18" w:rsidR="00520F66" w:rsidRPr="00E64465" w:rsidRDefault="00520F66" w:rsidP="00520F66">
      <w:pPr>
        <w:pStyle w:val="slovanodrka"/>
        <w:numPr>
          <w:ilvl w:val="0"/>
          <w:numId w:val="0"/>
        </w:numPr>
        <w:spacing w:after="140"/>
        <w:ind w:left="454" w:hanging="454"/>
        <w:contextualSpacing w:val="0"/>
        <w:rPr>
          <w:rFonts w:asciiTheme="majorHAnsi" w:hAnsiTheme="majorHAnsi" w:cstheme="majorHAnsi"/>
          <w:i/>
          <w:iCs/>
        </w:rPr>
      </w:pPr>
      <w:r w:rsidRPr="00E64465">
        <w:rPr>
          <w:rFonts w:asciiTheme="majorHAnsi" w:hAnsiTheme="majorHAnsi" w:cstheme="majorHAnsi"/>
          <w:i/>
          <w:iCs/>
        </w:rPr>
        <w:t>Michal</w:t>
      </w:r>
    </w:p>
    <w:sectPr w:rsidR="00520F66" w:rsidRPr="00E64465" w:rsidSect="00AD09E1">
      <w:headerReference w:type="first" r:id="rId11"/>
      <w:pgSz w:w="11906" w:h="16838"/>
      <w:pgMar w:top="720" w:right="720" w:bottom="720" w:left="720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F862" w14:textId="77777777" w:rsidR="00CB7642" w:rsidRDefault="00CB7642" w:rsidP="0036679C">
      <w:r>
        <w:separator/>
      </w:r>
    </w:p>
    <w:p w14:paraId="37868A5D" w14:textId="77777777" w:rsidR="00CB7642" w:rsidRDefault="00CB7642"/>
  </w:endnote>
  <w:endnote w:type="continuationSeparator" w:id="0">
    <w:p w14:paraId="4F515546" w14:textId="77777777" w:rsidR="00CB7642" w:rsidRDefault="00CB7642" w:rsidP="0036679C">
      <w:r>
        <w:continuationSeparator/>
      </w:r>
    </w:p>
    <w:p w14:paraId="7E412C5A" w14:textId="77777777" w:rsidR="00CB7642" w:rsidRDefault="00CB7642"/>
  </w:endnote>
  <w:endnote w:type="continuationNotice" w:id="1">
    <w:p w14:paraId="7453E782" w14:textId="77777777" w:rsidR="00CB7642" w:rsidRDefault="00CB7642" w:rsidP="0036679C"/>
    <w:p w14:paraId="51E54C94" w14:textId="77777777" w:rsidR="00CB7642" w:rsidRDefault="00CB76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7575E" w14:textId="77777777" w:rsidR="00CB7642" w:rsidRPr="00A510E1" w:rsidRDefault="00CB7642" w:rsidP="0036679C">
      <w:r w:rsidRPr="00A510E1">
        <w:separator/>
      </w:r>
    </w:p>
  </w:footnote>
  <w:footnote w:type="continuationSeparator" w:id="0">
    <w:p w14:paraId="3CEF8EBA" w14:textId="77777777" w:rsidR="00CB7642" w:rsidRDefault="00CB7642" w:rsidP="0036679C">
      <w:r>
        <w:continuationSeparator/>
      </w:r>
    </w:p>
    <w:p w14:paraId="4D434811" w14:textId="77777777" w:rsidR="00CB7642" w:rsidRDefault="00CB7642"/>
  </w:footnote>
  <w:footnote w:type="continuationNotice" w:id="1">
    <w:p w14:paraId="46B0E208" w14:textId="77777777" w:rsidR="00CB7642" w:rsidRDefault="00CB7642" w:rsidP="0036679C"/>
    <w:p w14:paraId="0ADC1CC9" w14:textId="77777777" w:rsidR="00CB7642" w:rsidRDefault="00CB76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92AE" w14:textId="0482F440" w:rsidR="00D03DE5" w:rsidRDefault="001B28E1" w:rsidP="00AD09E1">
    <w:pPr>
      <w:pStyle w:val="Zhlav"/>
      <w:tabs>
        <w:tab w:val="clear" w:pos="4536"/>
        <w:tab w:val="clear" w:pos="9072"/>
      </w:tabs>
      <w:ind w:left="8364" w:hanging="8364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3D1626E0" wp14:editId="15DE34F2">
          <wp:simplePos x="0" y="0"/>
          <wp:positionH relativeFrom="page">
            <wp:posOffset>438150</wp:posOffset>
          </wp:positionH>
          <wp:positionV relativeFrom="page">
            <wp:posOffset>438150</wp:posOffset>
          </wp:positionV>
          <wp:extent cx="927100" cy="640080"/>
          <wp:effectExtent l="0" t="0" r="6350" b="7620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10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7642">
      <w:tab/>
    </w:r>
    <w:r w:rsidR="00CB7642">
      <w:tab/>
    </w:r>
    <w:r w:rsidR="00AD09E1">
      <w:t xml:space="preserve">   </w:t>
    </w:r>
    <w:r w:rsidR="00CB7642">
      <w:t>Mgr. Michal Blažek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6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17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8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 w16cid:durableId="1763379482">
    <w:abstractNumId w:val="18"/>
  </w:num>
  <w:num w:numId="2" w16cid:durableId="966549488">
    <w:abstractNumId w:val="6"/>
  </w:num>
  <w:num w:numId="3" w16cid:durableId="1257668005">
    <w:abstractNumId w:val="3"/>
  </w:num>
  <w:num w:numId="4" w16cid:durableId="1286813636">
    <w:abstractNumId w:val="8"/>
  </w:num>
  <w:num w:numId="5" w16cid:durableId="2087484902">
    <w:abstractNumId w:val="15"/>
  </w:num>
  <w:num w:numId="6" w16cid:durableId="2041205325">
    <w:abstractNumId w:val="25"/>
  </w:num>
  <w:num w:numId="7" w16cid:durableId="876086414">
    <w:abstractNumId w:val="13"/>
  </w:num>
  <w:num w:numId="8" w16cid:durableId="1149907337">
    <w:abstractNumId w:val="23"/>
  </w:num>
  <w:num w:numId="9" w16cid:durableId="581258274">
    <w:abstractNumId w:val="11"/>
  </w:num>
  <w:num w:numId="10" w16cid:durableId="227233522">
    <w:abstractNumId w:val="22"/>
  </w:num>
  <w:num w:numId="11" w16cid:durableId="1220558624">
    <w:abstractNumId w:val="21"/>
  </w:num>
  <w:num w:numId="12" w16cid:durableId="448746168">
    <w:abstractNumId w:val="24"/>
  </w:num>
  <w:num w:numId="13" w16cid:durableId="651637409">
    <w:abstractNumId w:val="4"/>
  </w:num>
  <w:num w:numId="14" w16cid:durableId="233243531">
    <w:abstractNumId w:val="29"/>
  </w:num>
  <w:num w:numId="15" w16cid:durableId="2068608148">
    <w:abstractNumId w:val="32"/>
  </w:num>
  <w:num w:numId="16" w16cid:durableId="444352885">
    <w:abstractNumId w:val="20"/>
  </w:num>
  <w:num w:numId="17" w16cid:durableId="1311443459">
    <w:abstractNumId w:val="7"/>
  </w:num>
  <w:num w:numId="18" w16cid:durableId="1238519812">
    <w:abstractNumId w:val="28"/>
  </w:num>
  <w:num w:numId="19" w16cid:durableId="1265916427">
    <w:abstractNumId w:val="1"/>
  </w:num>
  <w:num w:numId="20" w16cid:durableId="422528565">
    <w:abstractNumId w:val="31"/>
  </w:num>
  <w:num w:numId="21" w16cid:durableId="1168904492">
    <w:abstractNumId w:val="27"/>
  </w:num>
  <w:num w:numId="22" w16cid:durableId="1304117864">
    <w:abstractNumId w:val="0"/>
  </w:num>
  <w:num w:numId="23" w16cid:durableId="154075655">
    <w:abstractNumId w:val="19"/>
  </w:num>
  <w:num w:numId="24" w16cid:durableId="1914125527">
    <w:abstractNumId w:val="12"/>
  </w:num>
  <w:num w:numId="25" w16cid:durableId="1841122321">
    <w:abstractNumId w:val="26"/>
  </w:num>
  <w:num w:numId="26" w16cid:durableId="1191993843">
    <w:abstractNumId w:val="9"/>
  </w:num>
  <w:num w:numId="27" w16cid:durableId="903176431">
    <w:abstractNumId w:val="14"/>
  </w:num>
  <w:num w:numId="28" w16cid:durableId="1295257642">
    <w:abstractNumId w:val="10"/>
  </w:num>
  <w:num w:numId="29" w16cid:durableId="195774293">
    <w:abstractNumId w:val="2"/>
  </w:num>
  <w:num w:numId="30" w16cid:durableId="1108038993">
    <w:abstractNumId w:val="30"/>
  </w:num>
  <w:num w:numId="31" w16cid:durableId="2018655912">
    <w:abstractNumId w:val="5"/>
  </w:num>
  <w:num w:numId="32" w16cid:durableId="1937402993">
    <w:abstractNumId w:val="5"/>
  </w:num>
  <w:num w:numId="33" w16cid:durableId="1101879887">
    <w:abstractNumId w:val="5"/>
  </w:num>
  <w:num w:numId="34" w16cid:durableId="257061322">
    <w:abstractNumId w:val="5"/>
  </w:num>
  <w:num w:numId="35" w16cid:durableId="247345032">
    <w:abstractNumId w:val="33"/>
  </w:num>
  <w:num w:numId="36" w16cid:durableId="908079165">
    <w:abstractNumId w:val="17"/>
  </w:num>
  <w:num w:numId="37" w16cid:durableId="2120685384">
    <w:abstractNumId w:val="16"/>
  </w:num>
  <w:num w:numId="38" w16cid:durableId="20546509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16398810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 w16cid:durableId="673536387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42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6BE5"/>
    <w:rsid w:val="001579B6"/>
    <w:rsid w:val="00161C22"/>
    <w:rsid w:val="0016251E"/>
    <w:rsid w:val="00162523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B0E90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6566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0F66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5081"/>
    <w:rsid w:val="008A5E9E"/>
    <w:rsid w:val="008A6432"/>
    <w:rsid w:val="008B08F5"/>
    <w:rsid w:val="008B105E"/>
    <w:rsid w:val="008B50D4"/>
    <w:rsid w:val="008C06F7"/>
    <w:rsid w:val="008C28ED"/>
    <w:rsid w:val="008C2C63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5ED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09E1"/>
    <w:rsid w:val="00AD391F"/>
    <w:rsid w:val="00AD7E7B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30B10"/>
    <w:rsid w:val="00B3270B"/>
    <w:rsid w:val="00B32740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4016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272BF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B7642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A78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465"/>
    <w:rsid w:val="00E64D97"/>
    <w:rsid w:val="00E70AF9"/>
    <w:rsid w:val="00E7272D"/>
    <w:rsid w:val="00E7319A"/>
    <w:rsid w:val="00E735D1"/>
    <w:rsid w:val="00E7461B"/>
    <w:rsid w:val="00E74D35"/>
    <w:rsid w:val="00E75431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F27"/>
    <w:rsid w:val="00F274C1"/>
    <w:rsid w:val="00F320EC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E8804A"/>
  <w15:docId w15:val="{AF6A627A-02C7-4A97-BD78-7E7FD309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ze\OneDrive\Dokumenty\Michal%2021-LAPTOP-0DKV28SQ\01%20FAKULTA\00%20V&#253;uka\00%20Z&#225;vazkov&#233;%20pr&#225;vo%20II\01\01%20Opakov&#225;n&#23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4D7AB3-025A-4470-80A4-B192996E1B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Opakování</Template>
  <TotalTime>31</TotalTime>
  <Pages>2</Pages>
  <Words>413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Blažek</dc:creator>
  <cp:lastModifiedBy>Michal Blažek</cp:lastModifiedBy>
  <cp:revision>1</cp:revision>
  <cp:lastPrinted>2020-01-04T17:54:00Z</cp:lastPrinted>
  <dcterms:created xsi:type="dcterms:W3CDTF">2022-09-18T11:48:00Z</dcterms:created>
  <dcterms:modified xsi:type="dcterms:W3CDTF">2022-09-18T12:20:00Z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