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688B" w:rsidRDefault="00031D68">
      <w:pPr>
        <w:spacing w:before="240" w:after="240"/>
        <w:jc w:val="center"/>
        <w:rPr>
          <w:b/>
          <w:sz w:val="20"/>
          <w:szCs w:val="20"/>
        </w:rPr>
      </w:pPr>
      <w:r>
        <w:rPr>
          <w:b/>
          <w:sz w:val="20"/>
          <w:szCs w:val="20"/>
        </w:rPr>
        <w:t>Michal Kovalčík, Martin Erlebach</w:t>
      </w:r>
    </w:p>
    <w:p w14:paraId="00000002" w14:textId="77777777" w:rsidR="0022688B" w:rsidRDefault="00031D68">
      <w:pPr>
        <w:spacing w:before="240" w:after="240"/>
        <w:jc w:val="both"/>
        <w:rPr>
          <w:sz w:val="20"/>
          <w:szCs w:val="20"/>
        </w:rPr>
      </w:pPr>
      <w:r>
        <w:rPr>
          <w:sz w:val="20"/>
          <w:szCs w:val="20"/>
        </w:rPr>
        <w:t>1.</w:t>
      </w:r>
    </w:p>
    <w:p w14:paraId="00000003" w14:textId="77777777" w:rsidR="0022688B" w:rsidRDefault="00031D68">
      <w:pPr>
        <w:spacing w:before="240" w:after="240"/>
        <w:jc w:val="both"/>
        <w:rPr>
          <w:sz w:val="20"/>
          <w:szCs w:val="20"/>
        </w:rPr>
      </w:pPr>
      <w:r>
        <w:rPr>
          <w:sz w:val="20"/>
          <w:szCs w:val="20"/>
        </w:rPr>
        <w:t>Vratné obaly</w:t>
      </w:r>
    </w:p>
    <w:p w14:paraId="00000004" w14:textId="77777777" w:rsidR="0022688B" w:rsidRDefault="00031D68">
      <w:pPr>
        <w:spacing w:before="240" w:after="240"/>
        <w:jc w:val="both"/>
        <w:rPr>
          <w:sz w:val="20"/>
          <w:szCs w:val="20"/>
        </w:rPr>
      </w:pPr>
      <w:r>
        <w:rPr>
          <w:sz w:val="20"/>
          <w:szCs w:val="20"/>
        </w:rPr>
        <w:t>Členský stát zavedl systém, dle kterého musí být nápoje uváděny na trh ve skleněných recyklovatelných obalech. Obaly musí schválit Národní úřad pro ochranu životního prostředí, který může schválení nových druhů obalů odepřít, zejména domnívá‑li se, že obal</w:t>
      </w:r>
      <w:r>
        <w:rPr>
          <w:sz w:val="20"/>
          <w:szCs w:val="20"/>
        </w:rPr>
        <w:t xml:space="preserve"> technicky nevyhovuje systému vracení obalů nebo že předpokládaný systém vracení nezajišťuje skutečné opětné použití dostatečné části obalů nebo byl‑li již schválen obal stejného objemu, který je k dispozici a hodí se k témuž užití. Ve výsledku je používán</w:t>
      </w:r>
      <w:r>
        <w:rPr>
          <w:sz w:val="20"/>
          <w:szCs w:val="20"/>
        </w:rPr>
        <w:t>o celkem 30 typů lahví.</w:t>
      </w:r>
    </w:p>
    <w:p w14:paraId="00000005" w14:textId="77777777" w:rsidR="0022688B" w:rsidRDefault="00031D68">
      <w:pPr>
        <w:spacing w:before="240" w:after="240"/>
        <w:jc w:val="both"/>
        <w:rPr>
          <w:sz w:val="20"/>
          <w:szCs w:val="20"/>
        </w:rPr>
      </w:pPr>
      <w:r>
        <w:rPr>
          <w:sz w:val="20"/>
          <w:szCs w:val="20"/>
        </w:rPr>
        <w:t xml:space="preserve"> Novelizace výše zmíněná pravidla upravila, a to tak, že neschválené lahve lze použít, s výjimkou jakýchkoli obalů kovových, jen pro množství nepřevyšující 3 000 hektolitrů na výrobce ročně a jen pro nápoje, které zahraniční výrobci</w:t>
      </w:r>
      <w:r>
        <w:rPr>
          <w:sz w:val="20"/>
          <w:szCs w:val="20"/>
        </w:rPr>
        <w:t xml:space="preserve"> prodávají za účelem průzkumu trhu.</w:t>
      </w:r>
    </w:p>
    <w:p w14:paraId="00000006" w14:textId="77777777" w:rsidR="0022688B" w:rsidRDefault="00031D68">
      <w:pPr>
        <w:spacing w:before="240" w:after="240"/>
        <w:jc w:val="both"/>
        <w:rPr>
          <w:b/>
          <w:sz w:val="20"/>
          <w:szCs w:val="20"/>
        </w:rPr>
      </w:pPr>
      <w:r>
        <w:rPr>
          <w:b/>
          <w:sz w:val="20"/>
          <w:szCs w:val="20"/>
        </w:rPr>
        <w:t>Stanovisko</w:t>
      </w:r>
    </w:p>
    <w:p w14:paraId="00000007" w14:textId="77777777" w:rsidR="0022688B" w:rsidRDefault="00031D68">
      <w:pPr>
        <w:spacing w:before="240" w:after="240"/>
        <w:jc w:val="both"/>
        <w:rPr>
          <w:sz w:val="20"/>
          <w:szCs w:val="20"/>
        </w:rPr>
      </w:pPr>
      <w:commentRangeStart w:id="0"/>
      <w:r>
        <w:rPr>
          <w:sz w:val="20"/>
          <w:szCs w:val="20"/>
        </w:rPr>
        <w:t>V dané věci jde o otázku, která se jeví jako omezení dovozu, resp. opatření s rovnocenným účinkem. Taková opatření jsou obecně dle čl. 34 SFEU zakázána, lze je ale odůvodnit některými výjimkami stanovenými SFE</w:t>
      </w:r>
      <w:r>
        <w:rPr>
          <w:sz w:val="20"/>
          <w:szCs w:val="20"/>
        </w:rPr>
        <w:t>U či judikaturou SDEU, budou-li současně splňovat kladené požadavky (viz dále). K vyřešení případu budeme proto postupovat následovně. Posoudíme zda: (1) dané opatření spadá pod pojem opatření s rovnocenným účinkem ve smyslu čl. 34 SFEU; (2) případné omeze</w:t>
      </w:r>
      <w:r>
        <w:rPr>
          <w:sz w:val="20"/>
          <w:szCs w:val="20"/>
        </w:rPr>
        <w:t>ní sleduje prima facie legitimní cíl; (3) takový legitimní cíl je jednou z výjimek podle čl. 36 SFEU; (4) takový legitimní cíl je jednou ze soudcovských výjimek vyvinutou judikaturou SDEU; (5) není dané opatření diskriminační.</w:t>
      </w:r>
      <w:commentRangeEnd w:id="0"/>
      <w:r>
        <w:rPr>
          <w:rStyle w:val="Odkaznakoment"/>
        </w:rPr>
        <w:commentReference w:id="0"/>
      </w:r>
    </w:p>
    <w:p w14:paraId="00000008" w14:textId="77777777" w:rsidR="0022688B" w:rsidRDefault="00031D68">
      <w:pPr>
        <w:spacing w:before="240" w:after="240"/>
        <w:jc w:val="both"/>
        <w:rPr>
          <w:b/>
          <w:sz w:val="20"/>
          <w:szCs w:val="20"/>
        </w:rPr>
      </w:pPr>
      <w:r>
        <w:rPr>
          <w:b/>
          <w:sz w:val="20"/>
          <w:szCs w:val="20"/>
        </w:rPr>
        <w:t>(1) Opatření s rovnocenným úč</w:t>
      </w:r>
      <w:r>
        <w:rPr>
          <w:b/>
          <w:sz w:val="20"/>
          <w:szCs w:val="20"/>
        </w:rPr>
        <w:t>inkem</w:t>
      </w:r>
    </w:p>
    <w:p w14:paraId="00000009" w14:textId="77777777" w:rsidR="0022688B" w:rsidRDefault="00031D68">
      <w:pPr>
        <w:spacing w:before="240" w:after="240"/>
        <w:jc w:val="both"/>
        <w:rPr>
          <w:sz w:val="20"/>
          <w:szCs w:val="20"/>
        </w:rPr>
      </w:pPr>
      <w:r>
        <w:rPr>
          <w:sz w:val="20"/>
          <w:szCs w:val="20"/>
        </w:rPr>
        <w:t>Uvedené opatření fakticky působí jako množstevní omezení dovozu dle čl. 34 SFEU, v tom smyslu, že omezuje možnost dovozu zboží schvalováním Národním úřadem pro ochranu životního prostředí a zároveň znemožňuje možnost prodeje zboží v daném státě, přes</w:t>
      </w:r>
      <w:r>
        <w:rPr>
          <w:sz w:val="20"/>
          <w:szCs w:val="20"/>
        </w:rPr>
        <w:t xml:space="preserve">tože v ostatních státech EU je shodné zboží v odlišném obalu již uvedeno na trh. Shodně k tomu např. rozhodnutí SDEU 8 - 74 ve věci </w:t>
      </w:r>
      <w:proofErr w:type="spellStart"/>
      <w:r>
        <w:rPr>
          <w:sz w:val="20"/>
          <w:szCs w:val="20"/>
        </w:rPr>
        <w:t>Dasonville</w:t>
      </w:r>
      <w:proofErr w:type="spellEnd"/>
      <w:r>
        <w:rPr>
          <w:sz w:val="20"/>
          <w:szCs w:val="20"/>
        </w:rPr>
        <w:t xml:space="preserve"> nebo rozhodnutí ve spojené věci </w:t>
      </w:r>
      <w:r>
        <w:rPr>
          <w:sz w:val="20"/>
          <w:szCs w:val="20"/>
          <w:highlight w:val="white"/>
        </w:rPr>
        <w:t xml:space="preserve">C-267/91 a C-268/91 </w:t>
      </w:r>
      <w:proofErr w:type="spellStart"/>
      <w:r>
        <w:rPr>
          <w:sz w:val="20"/>
          <w:szCs w:val="20"/>
          <w:highlight w:val="white"/>
        </w:rPr>
        <w:t>Keck</w:t>
      </w:r>
      <w:proofErr w:type="spellEnd"/>
      <w:r>
        <w:rPr>
          <w:sz w:val="20"/>
          <w:szCs w:val="20"/>
          <w:highlight w:val="white"/>
        </w:rPr>
        <w:t xml:space="preserve"> a </w:t>
      </w:r>
      <w:proofErr w:type="spellStart"/>
      <w:r>
        <w:rPr>
          <w:sz w:val="20"/>
          <w:szCs w:val="20"/>
          <w:highlight w:val="white"/>
        </w:rPr>
        <w:t>Mithouard</w:t>
      </w:r>
      <w:proofErr w:type="spellEnd"/>
      <w:r>
        <w:rPr>
          <w:sz w:val="20"/>
          <w:szCs w:val="20"/>
          <w:highlight w:val="white"/>
        </w:rPr>
        <w:t>, které přímo určuje, že opatřením s rovnocen</w:t>
      </w:r>
      <w:r>
        <w:rPr>
          <w:sz w:val="20"/>
          <w:szCs w:val="20"/>
          <w:highlight w:val="white"/>
        </w:rPr>
        <w:t xml:space="preserve">ným účinkem jsou i požadavky např. na velikost, váhu a </w:t>
      </w:r>
      <w:r>
        <w:rPr>
          <w:b/>
          <w:sz w:val="20"/>
          <w:szCs w:val="20"/>
          <w:highlight w:val="white"/>
        </w:rPr>
        <w:t>obal</w:t>
      </w:r>
      <w:r>
        <w:rPr>
          <w:sz w:val="20"/>
          <w:szCs w:val="20"/>
          <w:highlight w:val="white"/>
        </w:rPr>
        <w:t xml:space="preserve"> </w:t>
      </w:r>
      <w:proofErr w:type="gramStart"/>
      <w:r>
        <w:rPr>
          <w:sz w:val="20"/>
          <w:szCs w:val="20"/>
          <w:highlight w:val="white"/>
        </w:rPr>
        <w:t xml:space="preserve">zboží </w:t>
      </w:r>
      <w:r>
        <w:rPr>
          <w:sz w:val="20"/>
          <w:szCs w:val="20"/>
        </w:rPr>
        <w:t>.</w:t>
      </w:r>
      <w:proofErr w:type="gramEnd"/>
      <w:r>
        <w:rPr>
          <w:sz w:val="20"/>
          <w:szCs w:val="20"/>
        </w:rPr>
        <w:t xml:space="preserve"> Nejen, že tak vznikají překážky pro přeshraniční obchod mezi členskými státy, ale také zároveň dovozci dotčeného zboží vznikají nepřiměřené náklady pro vstup výrobce na trh daného státu.</w:t>
      </w:r>
    </w:p>
    <w:p w14:paraId="0000000A" w14:textId="77777777" w:rsidR="0022688B" w:rsidRDefault="00031D68">
      <w:pPr>
        <w:spacing w:before="240" w:after="240"/>
        <w:jc w:val="both"/>
        <w:rPr>
          <w:b/>
          <w:sz w:val="20"/>
          <w:szCs w:val="20"/>
        </w:rPr>
      </w:pPr>
      <w:r>
        <w:rPr>
          <w:b/>
          <w:sz w:val="20"/>
          <w:szCs w:val="20"/>
        </w:rPr>
        <w:t>(</w:t>
      </w:r>
      <w:r>
        <w:rPr>
          <w:b/>
          <w:sz w:val="20"/>
          <w:szCs w:val="20"/>
        </w:rPr>
        <w:t>2) Prima facie legitimní cíl</w:t>
      </w:r>
    </w:p>
    <w:p w14:paraId="0000000B" w14:textId="77777777" w:rsidR="0022688B" w:rsidRDefault="00031D68">
      <w:pPr>
        <w:spacing w:before="240" w:after="240"/>
        <w:jc w:val="both"/>
        <w:rPr>
          <w:sz w:val="20"/>
          <w:szCs w:val="20"/>
        </w:rPr>
      </w:pPr>
      <w:r>
        <w:rPr>
          <w:sz w:val="20"/>
          <w:szCs w:val="20"/>
        </w:rPr>
        <w:t>Z povahy daného opatření zjednodušující proces recyklace nápojových obalů, jejich standardizací a možnost jejich opětovného použití s minimálními náklady je zřejmá snaha členského státu chránit životní prostředí. Tento zájem se</w:t>
      </w:r>
      <w:r>
        <w:rPr>
          <w:sz w:val="20"/>
          <w:szCs w:val="20"/>
        </w:rPr>
        <w:t xml:space="preserve"> jeví jako legitimní, ovšem je třeba </w:t>
      </w:r>
      <w:proofErr w:type="gramStart"/>
      <w:r>
        <w:rPr>
          <w:sz w:val="20"/>
          <w:szCs w:val="20"/>
        </w:rPr>
        <w:t>zkoumat</w:t>
      </w:r>
      <w:proofErr w:type="gramEnd"/>
      <w:r>
        <w:rPr>
          <w:sz w:val="20"/>
          <w:szCs w:val="20"/>
        </w:rPr>
        <w:t xml:space="preserve"> zda ho lze podřadit pod znění čl. 36 SFEU, aby byl dán dostatečný důvod pro existenci takového omezení mezinárodního obchodu.</w:t>
      </w:r>
    </w:p>
    <w:p w14:paraId="0000000C" w14:textId="77777777" w:rsidR="0022688B" w:rsidRDefault="00031D68">
      <w:pPr>
        <w:spacing w:before="240" w:after="240"/>
        <w:jc w:val="both"/>
        <w:rPr>
          <w:b/>
          <w:sz w:val="20"/>
          <w:szCs w:val="20"/>
        </w:rPr>
      </w:pPr>
      <w:r>
        <w:rPr>
          <w:b/>
          <w:sz w:val="20"/>
          <w:szCs w:val="20"/>
        </w:rPr>
        <w:t>(3) Výjimka podle čl. 36 SFEU</w:t>
      </w:r>
    </w:p>
    <w:p w14:paraId="0000000D" w14:textId="77777777" w:rsidR="0022688B" w:rsidRDefault="00031D68">
      <w:pPr>
        <w:spacing w:before="240" w:after="240"/>
        <w:jc w:val="both"/>
        <w:rPr>
          <w:sz w:val="20"/>
          <w:szCs w:val="20"/>
        </w:rPr>
      </w:pPr>
      <w:r>
        <w:rPr>
          <w:sz w:val="20"/>
          <w:szCs w:val="20"/>
        </w:rPr>
        <w:t xml:space="preserve">Čl. 36 SFEU obecně definuje možné výjimky z ustanovení </w:t>
      </w:r>
      <w:r>
        <w:rPr>
          <w:sz w:val="20"/>
          <w:szCs w:val="20"/>
        </w:rPr>
        <w:t>čl. 34 SFEU. Tyto výjimky jsou definovány pomocí zájmů, které jsou chráněny případnými opatřeními členských států. Těmito zájmy jsou</w:t>
      </w:r>
      <w:commentRangeStart w:id="1"/>
      <w:r>
        <w:rPr>
          <w:sz w:val="20"/>
          <w:szCs w:val="20"/>
        </w:rPr>
        <w:t>: veřejná mravnost, veřejný pořádek, veřejná bezpečnost, ochrana zdraví a života lidí i zvířat, ochrana rostlin, ochrana kul</w:t>
      </w:r>
      <w:r>
        <w:rPr>
          <w:sz w:val="20"/>
          <w:szCs w:val="20"/>
        </w:rPr>
        <w:t xml:space="preserve">turního pokladu a ochrana obchodního vlastnictví. </w:t>
      </w:r>
      <w:commentRangeEnd w:id="1"/>
      <w:r>
        <w:rPr>
          <w:rStyle w:val="Odkaznakoment"/>
        </w:rPr>
        <w:commentReference w:id="1"/>
      </w:r>
      <w:r>
        <w:rPr>
          <w:sz w:val="20"/>
          <w:szCs w:val="20"/>
        </w:rPr>
        <w:t xml:space="preserve">Z uvedených možných zájmů, jak bylo </w:t>
      </w:r>
      <w:r>
        <w:rPr>
          <w:sz w:val="20"/>
          <w:szCs w:val="20"/>
        </w:rPr>
        <w:lastRenderedPageBreak/>
        <w:t xml:space="preserve">uvedeno výše, ani jeden nepředstavuje přímo ochranu životního prostředí. Takové opatření totiž jen nepřímo chrání, v dlouhodobém časovém horizontu, životy lidí, zvířat a </w:t>
      </w:r>
      <w:r>
        <w:rPr>
          <w:sz w:val="20"/>
          <w:szCs w:val="20"/>
        </w:rPr>
        <w:t>rostliny.</w:t>
      </w:r>
    </w:p>
    <w:p w14:paraId="0000000E" w14:textId="77777777" w:rsidR="0022688B" w:rsidRDefault="00031D68">
      <w:pPr>
        <w:spacing w:before="240" w:after="240"/>
        <w:jc w:val="both"/>
        <w:rPr>
          <w:b/>
          <w:sz w:val="20"/>
          <w:szCs w:val="20"/>
        </w:rPr>
      </w:pPr>
      <w:r>
        <w:rPr>
          <w:b/>
          <w:sz w:val="20"/>
          <w:szCs w:val="20"/>
        </w:rPr>
        <w:t>(4) Kategorické požadavky</w:t>
      </w:r>
    </w:p>
    <w:p w14:paraId="0000000F" w14:textId="77777777" w:rsidR="0022688B" w:rsidRDefault="00031D68">
      <w:pPr>
        <w:spacing w:before="240" w:after="240"/>
        <w:jc w:val="both"/>
        <w:rPr>
          <w:sz w:val="20"/>
          <w:szCs w:val="20"/>
        </w:rPr>
      </w:pPr>
      <w:r>
        <w:rPr>
          <w:sz w:val="20"/>
          <w:szCs w:val="20"/>
        </w:rPr>
        <w:t xml:space="preserve">Nepodřadíme-li dané opatření pod žádnou z výjimek v čl. 36 SFEU, budeme se ptát, zda dané opatření nevyhovuje kategorickým požadavkům vyvinutých judikaturou SDEU (tzv.  soudcovské výjimky). Z případů </w:t>
      </w:r>
      <w:proofErr w:type="spellStart"/>
      <w:r>
        <w:rPr>
          <w:sz w:val="20"/>
          <w:szCs w:val="20"/>
        </w:rPr>
        <w:t>Cassis</w:t>
      </w:r>
      <w:proofErr w:type="spellEnd"/>
      <w:r>
        <w:rPr>
          <w:sz w:val="20"/>
          <w:szCs w:val="20"/>
        </w:rPr>
        <w:t xml:space="preserve"> de Dijon, </w:t>
      </w:r>
      <w:proofErr w:type="spellStart"/>
      <w:r>
        <w:rPr>
          <w:sz w:val="20"/>
          <w:szCs w:val="20"/>
        </w:rPr>
        <w:t>Kec</w:t>
      </w:r>
      <w:r>
        <w:rPr>
          <w:sz w:val="20"/>
          <w:szCs w:val="20"/>
        </w:rPr>
        <w:t>k-Mithouard</w:t>
      </w:r>
      <w:proofErr w:type="spellEnd"/>
      <w:r>
        <w:rPr>
          <w:sz w:val="20"/>
          <w:szCs w:val="20"/>
        </w:rPr>
        <w:t xml:space="preserve"> a další vyplývá, že opatření s rovnocenným účinkem lze legitimizovat, sleduje-li naléhavý veřejný zájem. Takovým naléhavým veřejným zájmem může přitom podle SDEU být i ochrana životního prostředí (Komise vs. Dánsko, 302/86). Lze proto uzavřít, </w:t>
      </w:r>
      <w:r>
        <w:rPr>
          <w:sz w:val="20"/>
          <w:szCs w:val="20"/>
        </w:rPr>
        <w:t>že námi identifikovaný cíl omezení představuje legitimní cíl ve smyslu kategorických požadavků vyplývajících z judikatury SDEU.</w:t>
      </w:r>
    </w:p>
    <w:p w14:paraId="00000010" w14:textId="77777777" w:rsidR="0022688B" w:rsidRDefault="00031D68">
      <w:pPr>
        <w:spacing w:before="240" w:after="240"/>
        <w:jc w:val="both"/>
        <w:rPr>
          <w:sz w:val="20"/>
          <w:szCs w:val="20"/>
        </w:rPr>
      </w:pPr>
      <w:commentRangeStart w:id="2"/>
      <w:r>
        <w:rPr>
          <w:sz w:val="20"/>
          <w:szCs w:val="20"/>
        </w:rPr>
        <w:t xml:space="preserve">Z případu </w:t>
      </w:r>
      <w:proofErr w:type="spellStart"/>
      <w:r>
        <w:rPr>
          <w:sz w:val="20"/>
          <w:szCs w:val="20"/>
        </w:rPr>
        <w:t>Keck-Mithouard</w:t>
      </w:r>
      <w:proofErr w:type="spellEnd"/>
      <w:r>
        <w:rPr>
          <w:sz w:val="20"/>
          <w:szCs w:val="20"/>
        </w:rPr>
        <w:t xml:space="preserve"> však rovněž vyplývá, že takové omezení naléhavým veřejným zájmem lze ospravedlnit jen za “</w:t>
      </w:r>
      <w:r>
        <w:rPr>
          <w:i/>
          <w:sz w:val="20"/>
          <w:szCs w:val="20"/>
        </w:rPr>
        <w:t xml:space="preserve">předpokladu, </w:t>
      </w:r>
      <w:r>
        <w:rPr>
          <w:i/>
          <w:sz w:val="20"/>
          <w:szCs w:val="20"/>
        </w:rPr>
        <w:t xml:space="preserve">že jsou tyto právní předpisy použitelné na všechny dotčené subjekty provozující svou činnost na vnitrostátním území, a pokud postihují stejným způsobem, právně i fakticky, uvádění tuzemských i zahraničních výrobků pocházejících z jiných členských států na </w:t>
      </w:r>
      <w:r>
        <w:rPr>
          <w:i/>
          <w:sz w:val="20"/>
          <w:szCs w:val="20"/>
        </w:rPr>
        <w:t xml:space="preserve">trh” </w:t>
      </w:r>
      <w:r>
        <w:rPr>
          <w:sz w:val="20"/>
          <w:szCs w:val="20"/>
        </w:rPr>
        <w:t>(</w:t>
      </w:r>
      <w:proofErr w:type="spellStart"/>
      <w:r>
        <w:rPr>
          <w:sz w:val="20"/>
          <w:szCs w:val="20"/>
        </w:rPr>
        <w:t>Keck-Mithouard</w:t>
      </w:r>
      <w:proofErr w:type="spellEnd"/>
      <w:r>
        <w:rPr>
          <w:sz w:val="20"/>
          <w:szCs w:val="20"/>
        </w:rPr>
        <w:t xml:space="preserve">, bod 16). </w:t>
      </w:r>
      <w:commentRangeEnd w:id="2"/>
      <w:r>
        <w:rPr>
          <w:rStyle w:val="Odkaznakoment"/>
        </w:rPr>
        <w:commentReference w:id="2"/>
      </w:r>
    </w:p>
    <w:p w14:paraId="00000011" w14:textId="77777777" w:rsidR="0022688B" w:rsidRDefault="00031D68">
      <w:pPr>
        <w:spacing w:before="240" w:after="240"/>
        <w:jc w:val="both"/>
        <w:rPr>
          <w:b/>
          <w:sz w:val="20"/>
          <w:szCs w:val="20"/>
        </w:rPr>
      </w:pPr>
      <w:r>
        <w:rPr>
          <w:b/>
          <w:sz w:val="20"/>
          <w:szCs w:val="20"/>
        </w:rPr>
        <w:t>(5) Diskriminace</w:t>
      </w:r>
    </w:p>
    <w:p w14:paraId="00000012" w14:textId="77777777" w:rsidR="0022688B" w:rsidRDefault="00031D68">
      <w:pPr>
        <w:spacing w:before="240" w:after="240"/>
        <w:jc w:val="both"/>
        <w:rPr>
          <w:sz w:val="20"/>
          <w:szCs w:val="20"/>
        </w:rPr>
      </w:pPr>
      <w:r>
        <w:rPr>
          <w:sz w:val="20"/>
          <w:szCs w:val="20"/>
        </w:rPr>
        <w:t>V posledním kroku bude tedy třeba posoudit, zda dané opatření postihuje stejným způsobem uvádění výrobků na trh bez ohledu na to, zda jsou tuzemské či zahraničí. Jinými slovy, zda dané opatření není diskrimi</w:t>
      </w:r>
      <w:r>
        <w:rPr>
          <w:sz w:val="20"/>
          <w:szCs w:val="20"/>
        </w:rPr>
        <w:t>nační. V našem případě členský stát zavedl omezení, které jsou diskriminační ze dvou důvodů.</w:t>
      </w:r>
    </w:p>
    <w:p w14:paraId="00000013" w14:textId="77777777" w:rsidR="0022688B" w:rsidRDefault="00031D68">
      <w:pPr>
        <w:spacing w:before="240" w:after="240"/>
        <w:jc w:val="both"/>
        <w:rPr>
          <w:sz w:val="20"/>
          <w:szCs w:val="20"/>
        </w:rPr>
      </w:pPr>
      <w:r>
        <w:rPr>
          <w:sz w:val="20"/>
          <w:szCs w:val="20"/>
        </w:rPr>
        <w:t xml:space="preserve">Za prvé, schválení obalů zajišťuje Národní úřad, k němuž mají zahraniční subjekty z podstaty </w:t>
      </w:r>
      <w:proofErr w:type="spellStart"/>
      <w:r>
        <w:rPr>
          <w:sz w:val="20"/>
          <w:szCs w:val="20"/>
        </w:rPr>
        <w:t>stížený</w:t>
      </w:r>
      <w:proofErr w:type="spellEnd"/>
      <w:r>
        <w:rPr>
          <w:sz w:val="20"/>
          <w:szCs w:val="20"/>
        </w:rPr>
        <w:t xml:space="preserve"> přístup oproti domácím subjektům působícím na trhu, ať už z dů</w:t>
      </w:r>
      <w:r>
        <w:rPr>
          <w:sz w:val="20"/>
          <w:szCs w:val="20"/>
        </w:rPr>
        <w:t xml:space="preserve">vodu jazykové bariéry, neznalosti prostředí </w:t>
      </w:r>
      <w:proofErr w:type="spellStart"/>
      <w:r>
        <w:rPr>
          <w:sz w:val="20"/>
          <w:szCs w:val="20"/>
        </w:rPr>
        <w:t>apod</w:t>
      </w:r>
      <w:proofErr w:type="spellEnd"/>
      <w:r>
        <w:rPr>
          <w:sz w:val="20"/>
          <w:szCs w:val="20"/>
        </w:rPr>
        <w:t xml:space="preserve"> (srov. rozhodnutí SDEU ve věci </w:t>
      </w:r>
      <w:proofErr w:type="spellStart"/>
      <w:r>
        <w:rPr>
          <w:sz w:val="20"/>
          <w:szCs w:val="20"/>
        </w:rPr>
        <w:t>Dasonville</w:t>
      </w:r>
      <w:proofErr w:type="spellEnd"/>
      <w:r>
        <w:rPr>
          <w:sz w:val="20"/>
          <w:szCs w:val="20"/>
        </w:rPr>
        <w:t>). Schválení Národním úřadem proto nepřímo diskriminuje zahraniční dovozce.</w:t>
      </w:r>
    </w:p>
    <w:p w14:paraId="00000014" w14:textId="77777777" w:rsidR="0022688B" w:rsidRDefault="00031D68">
      <w:pPr>
        <w:spacing w:before="240" w:after="240"/>
        <w:jc w:val="both"/>
        <w:rPr>
          <w:sz w:val="20"/>
          <w:szCs w:val="20"/>
        </w:rPr>
      </w:pPr>
      <w:r>
        <w:rPr>
          <w:sz w:val="20"/>
          <w:szCs w:val="20"/>
        </w:rPr>
        <w:t>Takové omezení nemůže přitom vyvážit částečné zvýhodnění pro zahraniční dovozce, kteří můž</w:t>
      </w:r>
      <w:r>
        <w:rPr>
          <w:sz w:val="20"/>
          <w:szCs w:val="20"/>
        </w:rPr>
        <w:t>ou v malém množství za účelem průzkumu trhu použít i neschválené lahve. Množstevní omezení dovozu a opatření s rovnocenným účinkem jsou zakázána (čl. 34 SFEU).</w:t>
      </w:r>
    </w:p>
    <w:p w14:paraId="00000015" w14:textId="77777777" w:rsidR="0022688B" w:rsidRDefault="00031D68">
      <w:pPr>
        <w:spacing w:before="240" w:after="240"/>
        <w:jc w:val="both"/>
        <w:rPr>
          <w:b/>
          <w:sz w:val="20"/>
          <w:szCs w:val="20"/>
        </w:rPr>
      </w:pPr>
      <w:r>
        <w:rPr>
          <w:b/>
          <w:sz w:val="20"/>
          <w:szCs w:val="20"/>
        </w:rPr>
        <w:t>Závěr</w:t>
      </w:r>
    </w:p>
    <w:p w14:paraId="00000016" w14:textId="77777777" w:rsidR="0022688B" w:rsidRDefault="00031D68">
      <w:pPr>
        <w:spacing w:before="240" w:after="240"/>
        <w:jc w:val="both"/>
        <w:rPr>
          <w:sz w:val="20"/>
          <w:szCs w:val="20"/>
        </w:rPr>
      </w:pPr>
      <w:r>
        <w:rPr>
          <w:sz w:val="20"/>
          <w:szCs w:val="20"/>
        </w:rPr>
        <w:t>Dané opatření sleduje legitimní cíl ochrany životního prostředí, takové opatření je však d</w:t>
      </w:r>
      <w:r>
        <w:rPr>
          <w:sz w:val="20"/>
          <w:szCs w:val="20"/>
        </w:rPr>
        <w:t>iskriminační a není proto v unijním právu přípustné.</w:t>
      </w:r>
    </w:p>
    <w:p w14:paraId="00000017" w14:textId="77777777" w:rsidR="0022688B" w:rsidRDefault="00031D68">
      <w:pPr>
        <w:spacing w:before="240" w:after="240"/>
        <w:jc w:val="both"/>
        <w:rPr>
          <w:sz w:val="20"/>
          <w:szCs w:val="20"/>
        </w:rPr>
      </w:pPr>
      <w:r>
        <w:rPr>
          <w:sz w:val="20"/>
          <w:szCs w:val="20"/>
        </w:rPr>
        <w:t>_______________________</w:t>
      </w:r>
    </w:p>
    <w:p w14:paraId="00000018" w14:textId="77777777" w:rsidR="0022688B" w:rsidRDefault="00031D68">
      <w:pPr>
        <w:spacing w:before="240" w:after="240"/>
        <w:jc w:val="both"/>
        <w:rPr>
          <w:sz w:val="20"/>
          <w:szCs w:val="20"/>
        </w:rPr>
      </w:pPr>
      <w:r>
        <w:rPr>
          <w:sz w:val="20"/>
          <w:szCs w:val="20"/>
        </w:rPr>
        <w:t>2.</w:t>
      </w:r>
    </w:p>
    <w:p w14:paraId="00000019" w14:textId="77777777" w:rsidR="0022688B" w:rsidRDefault="00031D68">
      <w:pPr>
        <w:spacing w:before="240" w:after="240"/>
        <w:jc w:val="both"/>
        <w:rPr>
          <w:sz w:val="20"/>
          <w:szCs w:val="20"/>
        </w:rPr>
      </w:pPr>
      <w:r>
        <w:rPr>
          <w:sz w:val="20"/>
          <w:szCs w:val="20"/>
        </w:rPr>
        <w:t>Slepičí klece.</w:t>
      </w:r>
    </w:p>
    <w:p w14:paraId="0000001A" w14:textId="77777777" w:rsidR="0022688B" w:rsidRDefault="00031D68">
      <w:pPr>
        <w:spacing w:before="240" w:after="240"/>
        <w:jc w:val="both"/>
        <w:rPr>
          <w:sz w:val="20"/>
          <w:szCs w:val="20"/>
        </w:rPr>
      </w:pPr>
      <w:r>
        <w:rPr>
          <w:sz w:val="20"/>
          <w:szCs w:val="20"/>
        </w:rPr>
        <w:t>Směrnice EU zavádí pravidla pro klecový chov. Část členských států (Polsko a Maďarsko) nezajistila jejich plné provedení. Slepice tak jsou chovány ve standardníc</w:t>
      </w:r>
      <w:r>
        <w:rPr>
          <w:sz w:val="20"/>
          <w:szCs w:val="20"/>
        </w:rPr>
        <w:t xml:space="preserve">h neobohacených klecích. Prakticky to znamená, že příslušní chovatelé nemuseli nést náklady na nový standard. Česká republika zakazuje dovoz vajec z těchto zemí. </w:t>
      </w:r>
    </w:p>
    <w:p w14:paraId="0000001B" w14:textId="77777777" w:rsidR="0022688B" w:rsidRDefault="0022688B">
      <w:pPr>
        <w:spacing w:before="240" w:after="240"/>
        <w:jc w:val="both"/>
        <w:rPr>
          <w:sz w:val="20"/>
          <w:szCs w:val="20"/>
        </w:rPr>
      </w:pPr>
    </w:p>
    <w:p w14:paraId="0000001C" w14:textId="77777777" w:rsidR="0022688B" w:rsidRDefault="0022688B">
      <w:pPr>
        <w:spacing w:before="240" w:after="240"/>
        <w:jc w:val="both"/>
        <w:rPr>
          <w:sz w:val="20"/>
          <w:szCs w:val="20"/>
        </w:rPr>
      </w:pPr>
    </w:p>
    <w:p w14:paraId="0000001D" w14:textId="77777777" w:rsidR="0022688B" w:rsidRDefault="00031D68">
      <w:pPr>
        <w:spacing w:before="240" w:after="240"/>
        <w:jc w:val="both"/>
        <w:rPr>
          <w:b/>
          <w:sz w:val="20"/>
          <w:szCs w:val="20"/>
        </w:rPr>
      </w:pPr>
      <w:r>
        <w:rPr>
          <w:b/>
          <w:sz w:val="20"/>
          <w:szCs w:val="20"/>
        </w:rPr>
        <w:lastRenderedPageBreak/>
        <w:t>Stanovisko</w:t>
      </w:r>
    </w:p>
    <w:p w14:paraId="0000001E" w14:textId="77777777" w:rsidR="0022688B" w:rsidRDefault="00031D68">
      <w:pPr>
        <w:spacing w:before="240" w:after="240"/>
        <w:jc w:val="both"/>
        <w:rPr>
          <w:b/>
          <w:sz w:val="20"/>
          <w:szCs w:val="20"/>
        </w:rPr>
      </w:pPr>
      <w:commentRangeStart w:id="3"/>
      <w:r>
        <w:rPr>
          <w:sz w:val="20"/>
          <w:szCs w:val="20"/>
        </w:rPr>
        <w:t xml:space="preserve">V dané věci jde na první pohled o </w:t>
      </w:r>
      <w:commentRangeEnd w:id="3"/>
      <w:r>
        <w:rPr>
          <w:rStyle w:val="Odkaznakoment"/>
        </w:rPr>
        <w:commentReference w:id="3"/>
      </w:r>
      <w:r>
        <w:rPr>
          <w:sz w:val="20"/>
          <w:szCs w:val="20"/>
        </w:rPr>
        <w:t>množstevní omezení dovozu či opatření s rovnocenným účinkem dle Taková opatření jsou obecně dle čl. 34 SFEU zakázána, lze je ale odůvodnit některými výjimkami stanovenými SFEU či judikaturou SDEU, budou-li současně splňova</w:t>
      </w:r>
      <w:r>
        <w:rPr>
          <w:sz w:val="20"/>
          <w:szCs w:val="20"/>
        </w:rPr>
        <w:t>t kladené požadavky (viz dále). K vyřešení případu budeme proto postupovat následovně. Posoudíme zda: (1) dané opatření spadá pod čl. 34 SFEU; (2) případné omezení sleduje prima facie legitimní cíl; (3) takový legitimní cíl je jednou z výjimek podle čl. 36</w:t>
      </w:r>
      <w:r>
        <w:rPr>
          <w:sz w:val="20"/>
          <w:szCs w:val="20"/>
        </w:rPr>
        <w:t xml:space="preserve"> SFEU; (4) takový legitimní cíl je jednou ze soudcovských výjimek vyvinutou judikaturou SDEU; (5) není dané opatření diskriminační.</w:t>
      </w:r>
    </w:p>
    <w:p w14:paraId="0000001F" w14:textId="77777777" w:rsidR="0022688B" w:rsidRDefault="00031D68">
      <w:pPr>
        <w:rPr>
          <w:b/>
          <w:sz w:val="20"/>
          <w:szCs w:val="20"/>
        </w:rPr>
      </w:pPr>
      <w:r>
        <w:rPr>
          <w:b/>
          <w:sz w:val="20"/>
          <w:szCs w:val="20"/>
        </w:rPr>
        <w:t>(1) Množstevní omezení</w:t>
      </w:r>
    </w:p>
    <w:p w14:paraId="00000020" w14:textId="77777777" w:rsidR="0022688B" w:rsidRDefault="0022688B">
      <w:pPr>
        <w:rPr>
          <w:b/>
          <w:sz w:val="20"/>
          <w:szCs w:val="20"/>
        </w:rPr>
      </w:pPr>
    </w:p>
    <w:p w14:paraId="00000021" w14:textId="77777777" w:rsidR="0022688B" w:rsidRDefault="00031D68">
      <w:pPr>
        <w:rPr>
          <w:sz w:val="20"/>
          <w:szCs w:val="20"/>
        </w:rPr>
      </w:pPr>
      <w:r>
        <w:rPr>
          <w:sz w:val="20"/>
          <w:szCs w:val="20"/>
        </w:rPr>
        <w:t>Zřejmě je dané opatření ČR množstevním omezením dovozu z předmětných zemí ve smyslu čl. 34 SFEU, jel</w:t>
      </w:r>
      <w:r>
        <w:rPr>
          <w:sz w:val="20"/>
          <w:szCs w:val="20"/>
        </w:rPr>
        <w:t>ikož je omezen dovoz zboží, a to na nulu, z Polska a Maďarska. Odůvodněním tohoto opatření má být neprovedení harmonizace v oblasti klecového chovu slepic.</w:t>
      </w:r>
    </w:p>
    <w:p w14:paraId="00000022" w14:textId="77777777" w:rsidR="0022688B" w:rsidRDefault="0022688B">
      <w:pPr>
        <w:rPr>
          <w:sz w:val="20"/>
          <w:szCs w:val="20"/>
        </w:rPr>
      </w:pPr>
    </w:p>
    <w:p w14:paraId="00000023" w14:textId="77777777" w:rsidR="0022688B" w:rsidRDefault="00031D68">
      <w:pPr>
        <w:rPr>
          <w:b/>
          <w:sz w:val="20"/>
          <w:szCs w:val="20"/>
        </w:rPr>
      </w:pPr>
      <w:r>
        <w:rPr>
          <w:b/>
          <w:sz w:val="20"/>
          <w:szCs w:val="20"/>
        </w:rPr>
        <w:t>(2) Prima facie legitimní cíl</w:t>
      </w:r>
    </w:p>
    <w:p w14:paraId="00000024" w14:textId="77777777" w:rsidR="0022688B" w:rsidRDefault="0022688B">
      <w:pPr>
        <w:rPr>
          <w:b/>
          <w:sz w:val="20"/>
          <w:szCs w:val="20"/>
        </w:rPr>
      </w:pPr>
    </w:p>
    <w:p w14:paraId="00000025" w14:textId="77777777" w:rsidR="0022688B" w:rsidRDefault="00031D68">
      <w:pPr>
        <w:rPr>
          <w:sz w:val="20"/>
          <w:szCs w:val="20"/>
        </w:rPr>
      </w:pPr>
      <w:r>
        <w:rPr>
          <w:sz w:val="20"/>
          <w:szCs w:val="20"/>
        </w:rPr>
        <w:t>Česká republika zakazuje dovoz vajec ze zemí, protože daná vejce byl</w:t>
      </w:r>
      <w:r>
        <w:rPr>
          <w:sz w:val="20"/>
          <w:szCs w:val="20"/>
        </w:rPr>
        <w:t>a pro účely uvedení na trh vyrobena postupem odporující unijnímu právu. Navíc odporující právu, které chrání zvířata.</w:t>
      </w:r>
    </w:p>
    <w:p w14:paraId="00000026" w14:textId="77777777" w:rsidR="0022688B" w:rsidRDefault="0022688B">
      <w:pPr>
        <w:rPr>
          <w:sz w:val="20"/>
          <w:szCs w:val="20"/>
        </w:rPr>
      </w:pPr>
    </w:p>
    <w:p w14:paraId="00000027" w14:textId="77777777" w:rsidR="0022688B" w:rsidRDefault="00031D68">
      <w:pPr>
        <w:rPr>
          <w:b/>
          <w:sz w:val="20"/>
          <w:szCs w:val="20"/>
        </w:rPr>
      </w:pPr>
      <w:r>
        <w:rPr>
          <w:b/>
          <w:sz w:val="20"/>
          <w:szCs w:val="20"/>
        </w:rPr>
        <w:t>(3) Výjimky podle čl. 36 SFEU</w:t>
      </w:r>
    </w:p>
    <w:p w14:paraId="00000028" w14:textId="77777777" w:rsidR="0022688B" w:rsidRDefault="0022688B">
      <w:pPr>
        <w:rPr>
          <w:b/>
          <w:sz w:val="20"/>
          <w:szCs w:val="20"/>
        </w:rPr>
      </w:pPr>
    </w:p>
    <w:p w14:paraId="00000029" w14:textId="77777777" w:rsidR="0022688B" w:rsidRDefault="00031D68">
      <w:pPr>
        <w:rPr>
          <w:sz w:val="20"/>
          <w:szCs w:val="20"/>
        </w:rPr>
      </w:pPr>
      <w:r>
        <w:rPr>
          <w:sz w:val="20"/>
          <w:szCs w:val="20"/>
        </w:rPr>
        <w:t xml:space="preserve">Je tak nutné </w:t>
      </w:r>
      <w:proofErr w:type="gramStart"/>
      <w:r>
        <w:rPr>
          <w:sz w:val="20"/>
          <w:szCs w:val="20"/>
        </w:rPr>
        <w:t>zkoumat</w:t>
      </w:r>
      <w:proofErr w:type="gramEnd"/>
      <w:r>
        <w:rPr>
          <w:sz w:val="20"/>
          <w:szCs w:val="20"/>
        </w:rPr>
        <w:t xml:space="preserve"> zda dané opatření naplní jednu z výjimek obsažených v čl. 36 SFEU. Mezi těmito výjimkami je mimo jiné ochrana života zvířat, kterýžto cíl byl jistě sledován právě přijetím dané směrnice. </w:t>
      </w:r>
      <w:bookmarkStart w:id="4" w:name="_GoBack"/>
      <w:bookmarkEnd w:id="4"/>
    </w:p>
    <w:p w14:paraId="0000002A" w14:textId="77777777" w:rsidR="0022688B" w:rsidRDefault="0022688B">
      <w:pPr>
        <w:rPr>
          <w:sz w:val="20"/>
          <w:szCs w:val="20"/>
        </w:rPr>
      </w:pPr>
    </w:p>
    <w:p w14:paraId="0000002B" w14:textId="77777777" w:rsidR="0022688B" w:rsidRDefault="00031D68">
      <w:pPr>
        <w:rPr>
          <w:sz w:val="20"/>
          <w:szCs w:val="20"/>
        </w:rPr>
      </w:pPr>
      <w:commentRangeStart w:id="5"/>
      <w:r>
        <w:rPr>
          <w:sz w:val="20"/>
          <w:szCs w:val="20"/>
        </w:rPr>
        <w:t>Nadto je zřejmá i potřeba chránit veřejný pořá</w:t>
      </w:r>
      <w:r>
        <w:rPr>
          <w:sz w:val="20"/>
          <w:szCs w:val="20"/>
        </w:rPr>
        <w:t>dek, který byl v tomto případě narušen faktickým zvýhodněním výrobců živočišných produktů z Polska a Maďarska tím, že nemuseli vynaložit náklady na změnu svých klecových chovů. Tolerování takového postupu by mělo za následek ztrátu konkurenceschopnosti mís</w:t>
      </w:r>
      <w:r>
        <w:rPr>
          <w:sz w:val="20"/>
          <w:szCs w:val="20"/>
        </w:rPr>
        <w:t>tních výrobců v členských státech, zejména těch sousedících s Polskem a Maďarskem, kterým ČR bezpochyby je. Takový postup by byl omezením volného pohybu zboží.</w:t>
      </w:r>
      <w:commentRangeEnd w:id="5"/>
      <w:r>
        <w:rPr>
          <w:rStyle w:val="Odkaznakoment"/>
        </w:rPr>
        <w:commentReference w:id="5"/>
      </w:r>
    </w:p>
    <w:p w14:paraId="0000002C" w14:textId="77777777" w:rsidR="0022688B" w:rsidRDefault="0022688B">
      <w:pPr>
        <w:rPr>
          <w:sz w:val="20"/>
          <w:szCs w:val="20"/>
        </w:rPr>
      </w:pPr>
    </w:p>
    <w:p w14:paraId="0000002D" w14:textId="77777777" w:rsidR="0022688B" w:rsidRDefault="00031D68">
      <w:pPr>
        <w:rPr>
          <w:sz w:val="20"/>
          <w:szCs w:val="20"/>
        </w:rPr>
      </w:pPr>
      <w:r>
        <w:rPr>
          <w:sz w:val="20"/>
          <w:szCs w:val="20"/>
        </w:rPr>
        <w:t>Vzhledem k tomu, že opatření byla odůvodněna výjimkami dle čl. 36, není třeba provádět další kr</w:t>
      </w:r>
      <w:r>
        <w:rPr>
          <w:sz w:val="20"/>
          <w:szCs w:val="20"/>
        </w:rPr>
        <w:t xml:space="preserve">oky. </w:t>
      </w:r>
    </w:p>
    <w:p w14:paraId="0000002E" w14:textId="77777777" w:rsidR="0022688B" w:rsidRDefault="0022688B">
      <w:pPr>
        <w:rPr>
          <w:sz w:val="20"/>
          <w:szCs w:val="20"/>
        </w:rPr>
      </w:pPr>
    </w:p>
    <w:p w14:paraId="0000002F" w14:textId="77777777" w:rsidR="0022688B" w:rsidRDefault="00031D68">
      <w:pPr>
        <w:rPr>
          <w:b/>
          <w:sz w:val="20"/>
          <w:szCs w:val="20"/>
        </w:rPr>
      </w:pPr>
      <w:r>
        <w:rPr>
          <w:b/>
          <w:sz w:val="20"/>
          <w:szCs w:val="20"/>
        </w:rPr>
        <w:t>Závěr</w:t>
      </w:r>
    </w:p>
    <w:p w14:paraId="00000030" w14:textId="77777777" w:rsidR="0022688B" w:rsidRDefault="00031D68">
      <w:pPr>
        <w:rPr>
          <w:sz w:val="20"/>
          <w:szCs w:val="20"/>
        </w:rPr>
      </w:pPr>
      <w:r>
        <w:rPr>
          <w:sz w:val="20"/>
          <w:szCs w:val="20"/>
        </w:rPr>
        <w:t>Opatření České republiky představuje množstevní omezení dovozu, které je však odůvodněno výjimkami dle čl. 36 SFEU. Takové opatření proto není v rozporu s unijním právem.</w:t>
      </w:r>
    </w:p>
    <w:sectPr w:rsidR="0022688B">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Sehnálek" w:date="2021-11-09T11:43:00Z" w:initials="DS">
    <w:p w14:paraId="38E19636" w14:textId="72587578" w:rsidR="00031D68" w:rsidRDefault="00031D68">
      <w:pPr>
        <w:pStyle w:val="Textkomente"/>
      </w:pPr>
      <w:r>
        <w:rPr>
          <w:rStyle w:val="Odkaznakoment"/>
        </w:rPr>
        <w:annotationRef/>
      </w:r>
      <w:r>
        <w:t>tohle je dobré! Osobně bych ještě dodal (u delšího stanoviska) i závěry, ke kterých chci dospět</w:t>
      </w:r>
    </w:p>
  </w:comment>
  <w:comment w:id="1" w:author="David Sehnálek" w:date="2021-11-09T11:44:00Z" w:initials="DS">
    <w:p w14:paraId="469F6797" w14:textId="0DAB79AC" w:rsidR="00031D68" w:rsidRDefault="00031D68">
      <w:pPr>
        <w:pStyle w:val="Textkomente"/>
      </w:pPr>
      <w:r>
        <w:rPr>
          <w:rStyle w:val="Odkaznakoment"/>
        </w:rPr>
        <w:annotationRef/>
      </w:r>
      <w:r>
        <w:t xml:space="preserve">nemá smysl do vyjádření tohoto typu přebírat vše, tedy i věci, které s řešeným případem nijak nesouvisí. Zbytečně natahujete vyjádření a odvádíte pozornost od toho, co potřebujete. </w:t>
      </w:r>
    </w:p>
  </w:comment>
  <w:comment w:id="2" w:author="David Sehnálek" w:date="2021-11-09T11:46:00Z" w:initials="DS">
    <w:p w14:paraId="06676779" w14:textId="281DACE9" w:rsidR="00031D68" w:rsidRDefault="00031D68">
      <w:pPr>
        <w:pStyle w:val="Textkomente"/>
      </w:pPr>
      <w:r>
        <w:rPr>
          <w:rStyle w:val="Odkaznakoment"/>
        </w:rPr>
        <w:annotationRef/>
      </w:r>
      <w:r>
        <w:t xml:space="preserve">Pozor, to máte vytržené z kontextu – jde totiž o „tyto právní předpisy“ ve smyslu těch, o kterých hovoří případ </w:t>
      </w:r>
      <w:proofErr w:type="gramStart"/>
      <w:r>
        <w:t>KECK  upravujících</w:t>
      </w:r>
      <w:proofErr w:type="gramEnd"/>
      <w:r>
        <w:t xml:space="preserve"> způsoby marketingu a prodeje zboží, nedá se to ale takto generalizovat, navíc tento bod systematicky spadá do toho dalšího - diskriminace</w:t>
      </w:r>
    </w:p>
  </w:comment>
  <w:comment w:id="3" w:author="David Sehnálek" w:date="2021-11-09T11:48:00Z" w:initials="DS">
    <w:p w14:paraId="740568AB" w14:textId="77777777" w:rsidR="00031D68" w:rsidRDefault="00031D68">
      <w:pPr>
        <w:pStyle w:val="Textkomente"/>
      </w:pPr>
      <w:r>
        <w:rPr>
          <w:rStyle w:val="Odkaznakoment"/>
        </w:rPr>
        <w:annotationRef/>
      </w:r>
      <w:r>
        <w:t xml:space="preserve">Máte to pěkně a systematicky napsané, ale stylisticky Vám „ulítlo“ třeba toto zahájení věty. V právních textech, žádné první pohledy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7F2789" w14:textId="558BECB9" w:rsidR="00031D68" w:rsidRDefault="00031D68">
      <w:pPr>
        <w:pStyle w:val="Textkomente"/>
      </w:pPr>
    </w:p>
  </w:comment>
  <w:comment w:id="5" w:author="David Sehnálek" w:date="2021-11-09T11:49:00Z" w:initials="DS">
    <w:p w14:paraId="0E8D7045" w14:textId="3E220182" w:rsidR="00031D68" w:rsidRDefault="00031D68">
      <w:pPr>
        <w:pStyle w:val="Textkomente"/>
      </w:pPr>
      <w:r>
        <w:rPr>
          <w:rStyle w:val="Odkaznakoment"/>
        </w:rPr>
        <w:annotationRef/>
      </w:r>
      <w:r>
        <w:t xml:space="preserve">Podle mne je tohle nepřiměřené, ale beru, logiku chápu. Chybí mi nicméně zdůraznění možné role </w:t>
      </w:r>
      <w:proofErr w:type="gramStart"/>
      <w:r>
        <w:t>Komise,  a</w:t>
      </w:r>
      <w:proofErr w:type="gramEnd"/>
      <w:r>
        <w:t xml:space="preserve"> také možnosti vynucování směrnice vůči jednotlivci, byť z jiného členského státu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19636" w15:done="0"/>
  <w15:commentEx w15:paraId="469F6797" w15:done="0"/>
  <w15:commentEx w15:paraId="06676779" w15:done="0"/>
  <w15:commentEx w15:paraId="157F2789" w15:done="0"/>
  <w15:commentEx w15:paraId="0E8D7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19636" w16cid:durableId="2534DD6F"/>
  <w16cid:commentId w16cid:paraId="469F6797" w16cid:durableId="2534DDB5"/>
  <w16cid:commentId w16cid:paraId="06676779" w16cid:durableId="2534DE1D"/>
  <w16cid:commentId w16cid:paraId="157F2789" w16cid:durableId="2534DE9E"/>
  <w16cid:commentId w16cid:paraId="0E8D7045" w16cid:durableId="2534DE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ehnálek">
    <w15:presenceInfo w15:providerId="None" w15:userId="David Sehnál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88B"/>
    <w:rsid w:val="00031D68"/>
    <w:rsid w:val="00226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784D"/>
  <w15:docId w15:val="{23D8C604-26FD-4E0E-BF91-8709E2B3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Odkaznakoment">
    <w:name w:val="annotation reference"/>
    <w:basedOn w:val="Standardnpsmoodstavce"/>
    <w:uiPriority w:val="99"/>
    <w:semiHidden/>
    <w:unhideWhenUsed/>
    <w:rsid w:val="00031D68"/>
    <w:rPr>
      <w:sz w:val="16"/>
      <w:szCs w:val="16"/>
    </w:rPr>
  </w:style>
  <w:style w:type="paragraph" w:styleId="Textkomente">
    <w:name w:val="annotation text"/>
    <w:basedOn w:val="Normln"/>
    <w:link w:val="TextkomenteChar"/>
    <w:uiPriority w:val="99"/>
    <w:semiHidden/>
    <w:unhideWhenUsed/>
    <w:rsid w:val="00031D68"/>
    <w:pPr>
      <w:spacing w:line="240" w:lineRule="auto"/>
    </w:pPr>
    <w:rPr>
      <w:sz w:val="20"/>
      <w:szCs w:val="20"/>
    </w:rPr>
  </w:style>
  <w:style w:type="character" w:customStyle="1" w:styleId="TextkomenteChar">
    <w:name w:val="Text komentáře Char"/>
    <w:basedOn w:val="Standardnpsmoodstavce"/>
    <w:link w:val="Textkomente"/>
    <w:uiPriority w:val="99"/>
    <w:semiHidden/>
    <w:rsid w:val="00031D68"/>
    <w:rPr>
      <w:sz w:val="20"/>
      <w:szCs w:val="20"/>
    </w:rPr>
  </w:style>
  <w:style w:type="paragraph" w:styleId="Pedmtkomente">
    <w:name w:val="annotation subject"/>
    <w:basedOn w:val="Textkomente"/>
    <w:next w:val="Textkomente"/>
    <w:link w:val="PedmtkomenteChar"/>
    <w:uiPriority w:val="99"/>
    <w:semiHidden/>
    <w:unhideWhenUsed/>
    <w:rsid w:val="00031D68"/>
    <w:rPr>
      <w:b/>
      <w:bCs/>
    </w:rPr>
  </w:style>
  <w:style w:type="character" w:customStyle="1" w:styleId="PedmtkomenteChar">
    <w:name w:val="Předmět komentáře Char"/>
    <w:basedOn w:val="TextkomenteChar"/>
    <w:link w:val="Pedmtkomente"/>
    <w:uiPriority w:val="99"/>
    <w:semiHidden/>
    <w:rsid w:val="00031D68"/>
    <w:rPr>
      <w:b/>
      <w:bCs/>
      <w:sz w:val="20"/>
      <w:szCs w:val="20"/>
    </w:rPr>
  </w:style>
  <w:style w:type="paragraph" w:styleId="Textbubliny">
    <w:name w:val="Balloon Text"/>
    <w:basedOn w:val="Normln"/>
    <w:link w:val="TextbublinyChar"/>
    <w:uiPriority w:val="99"/>
    <w:semiHidden/>
    <w:unhideWhenUsed/>
    <w:rsid w:val="00031D6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1D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6831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Sehnálek</dc:creator>
  <cp:lastModifiedBy>David Sehnálek</cp:lastModifiedBy>
  <cp:revision>2</cp:revision>
  <dcterms:created xsi:type="dcterms:W3CDTF">2021-11-09T10:51:00Z</dcterms:created>
  <dcterms:modified xsi:type="dcterms:W3CDTF">2021-11-09T10:51:00Z</dcterms:modified>
</cp:coreProperties>
</file>