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CB3" w:rsidRDefault="00AC7CB3" w:rsidP="00AC7CB3">
      <w:pPr>
        <w:rPr>
          <w:b/>
          <w:sz w:val="28"/>
          <w:szCs w:val="24"/>
          <w:lang w:val="en-US"/>
        </w:rPr>
      </w:pPr>
      <w:r w:rsidRPr="00190D2D">
        <w:rPr>
          <w:b/>
          <w:sz w:val="28"/>
          <w:szCs w:val="24"/>
          <w:lang w:val="en-US"/>
        </w:rPr>
        <w:t>C-28/09 Commission v Austria, judgment of 21 December 2011</w:t>
      </w:r>
    </w:p>
    <w:p w:rsidR="00190D2D" w:rsidRPr="00190D2D" w:rsidRDefault="00190D2D" w:rsidP="00AC7CB3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Summary</w:t>
      </w:r>
      <w:bookmarkStart w:id="0" w:name="_GoBack"/>
      <w:bookmarkEnd w:id="0"/>
    </w:p>
    <w:p w:rsidR="00BC7847" w:rsidRPr="00190D2D" w:rsidRDefault="00BC7847" w:rsidP="00AC7CB3">
      <w:pPr>
        <w:rPr>
          <w:sz w:val="28"/>
          <w:szCs w:val="24"/>
          <w:lang w:val="en-US"/>
        </w:rPr>
      </w:pP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The traffic prohibition for certain lorries from using the motorway in the Inn Valley, in the</w:t>
      </w:r>
      <w:r w:rsidR="00BC7847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Tyrol, when there were less restrictive alternatives to protect the ambient air quality, infringes</w:t>
      </w:r>
      <w:r w:rsidR="00BC7847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the principle of the free movement of goods.</w:t>
      </w: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The A12 motorway in the Inn Valley, in the Tyrol, is one of the principal land transport routes between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southern Germany and northern Italy. It is therefore in heavy use by lorries. In 2003, after having found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that the annual limit value for nitrogen dioxide established by Directives 96/62/EC and 1999/30/EC had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 xml:space="preserve">been exceeded on this motorway, and in particular at the </w:t>
      </w:r>
      <w:proofErr w:type="spellStart"/>
      <w:r w:rsidRPr="00190D2D">
        <w:rPr>
          <w:sz w:val="28"/>
          <w:szCs w:val="24"/>
          <w:lang w:val="en-US"/>
        </w:rPr>
        <w:t>Vomp</w:t>
      </w:r>
      <w:proofErr w:type="spellEnd"/>
      <w:r w:rsidRPr="00190D2D">
        <w:rPr>
          <w:sz w:val="28"/>
          <w:szCs w:val="24"/>
          <w:lang w:val="en-US"/>
        </w:rPr>
        <w:t>/</w:t>
      </w:r>
      <w:proofErr w:type="spellStart"/>
      <w:r w:rsidRPr="00190D2D">
        <w:rPr>
          <w:sz w:val="28"/>
          <w:szCs w:val="24"/>
          <w:lang w:val="en-US"/>
        </w:rPr>
        <w:t>Raststätte</w:t>
      </w:r>
      <w:proofErr w:type="spellEnd"/>
      <w:r w:rsidRPr="00190D2D">
        <w:rPr>
          <w:sz w:val="28"/>
          <w:szCs w:val="24"/>
          <w:lang w:val="en-US"/>
        </w:rPr>
        <w:t xml:space="preserve"> monitoring point, the Austrian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authorities decided to limit the road traffic density. To do so, they finally adopted a regulation prohibiting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 xml:space="preserve">lorries of over 7.5 </w:t>
      </w:r>
      <w:proofErr w:type="spellStart"/>
      <w:r w:rsidRPr="00190D2D">
        <w:rPr>
          <w:sz w:val="28"/>
          <w:szCs w:val="24"/>
          <w:lang w:val="en-US"/>
        </w:rPr>
        <w:t>tonnes</w:t>
      </w:r>
      <w:proofErr w:type="spellEnd"/>
      <w:r w:rsidRPr="00190D2D">
        <w:rPr>
          <w:sz w:val="28"/>
          <w:szCs w:val="24"/>
          <w:lang w:val="en-US"/>
        </w:rPr>
        <w:t xml:space="preserve"> carrying certain goods from using a 46 km section of the motorway.</w:t>
      </w: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In a first judgment delivered on 15 November 2005 (C-320/03 Commission v Austria), the Court of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Justice, in response to a referral by the Commission, ruled that this prohibition was incompatible with the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principle of the free movement of goods in that it was disproportionate in the light of the objective sought,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i.e. the protection of air quality. The Court stressed in particular that before adopting a measure so radical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as a sectoral traffic ban, the Austrian authorities were under a duty to examine carefully the possibility of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using less restrictive measures, and discount them only if their inadequacy, in relation to the objective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pursued, was clearly established.</w:t>
      </w: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Following this judgment, the Austrian authorities gradually introduced new measures, and in particular a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100 km/h speed limit on a section of motorway, replaced by a variable speed limit, and the traffic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prohibition of lorries according to their emissions (established by European emission standards known as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‘Euro standards’). After having found that the air quality had not improved sufficiently, they decided to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adopt a new sectoral restriction similar to that of 2003, this time on an even longer section (86 km).</w:t>
      </w: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Once again referred an action for failure to fulfil obligations by the Commission, the Court confirms the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 xml:space="preserve">existence of a restriction to the fundamental principle of </w:t>
      </w:r>
      <w:r w:rsidRPr="00190D2D">
        <w:rPr>
          <w:sz w:val="28"/>
          <w:szCs w:val="24"/>
          <w:lang w:val="en-US"/>
        </w:rPr>
        <w:lastRenderedPageBreak/>
        <w:t>the free movement of goods. The fact that the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contested regulation forms part of a plan to ensure compliance with the limit values for nitrogen dioxide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and therefore of Austria’s obligations regarding the Directives referred to above, on the one hand, and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that an alternative mode of transport for the goods concerned was provided for (by rail), on the other,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has no bearing on the existence of such a restriction.</w:t>
      </w: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The Court then holds that the sectoral traffic prohibition constitutes an appropriate measure to achieve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objectives of environmental protection and health. In this respect, it points out in particular that this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prohibition allows nitrogen dioxide emissions to be reduced by about 1.5% a year in the zone concerned.</w:t>
      </w: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It also stresses the consistency between the desire to develop the transport of appropriate goods by rail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and the fact that the prohibition measure is aimed precisely at these goods, even though it consequently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permits the use of lorries producing more pollution if they do not carry these goods.</w:t>
      </w:r>
    </w:p>
    <w:p w:rsidR="00AC7CB3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The Court considers, on the other hand, that the prohibition at issue goes beyond what is necessary to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attain the objective sought. It considers that the Commission presented two alternative, less restrictive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measures which the Austrian authorities have not proved to be inappropriate. The first of these measures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is to extend the traffic prohibition for lorries in certain Euro classes to lorries in other classes, which it has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not been shown would not have been able to contribute to the objective sought as effectively as the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sectoral traffic prohibition. The second consists of replacing the variable speed limit by a permanent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100 km/h speed limit. The fact that this limit would not be respected in practice by users cannot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reasonably be relied on by the Austrian authorities, which are responsible for adopting compulsory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measures with penalties if need be. This solution offers a potential for reducing nitrogen dioxide emissions</w:t>
      </w:r>
      <w:r w:rsidR="00C92CF0" w:rsidRPr="00190D2D">
        <w:rPr>
          <w:sz w:val="28"/>
          <w:szCs w:val="24"/>
          <w:lang w:val="en-US"/>
        </w:rPr>
        <w:t xml:space="preserve"> </w:t>
      </w:r>
      <w:r w:rsidRPr="00190D2D">
        <w:rPr>
          <w:sz w:val="28"/>
          <w:szCs w:val="24"/>
          <w:lang w:val="en-US"/>
        </w:rPr>
        <w:t>which, in the opinion of the Court, was not sufficiently taken into account by Austria.</w:t>
      </w:r>
    </w:p>
    <w:p w:rsidR="0073615E" w:rsidRPr="00190D2D" w:rsidRDefault="00AC7CB3" w:rsidP="00AC7CB3">
      <w:pPr>
        <w:rPr>
          <w:sz w:val="28"/>
          <w:szCs w:val="24"/>
          <w:lang w:val="en-US"/>
        </w:rPr>
      </w:pPr>
      <w:r w:rsidRPr="00190D2D">
        <w:rPr>
          <w:sz w:val="28"/>
          <w:szCs w:val="24"/>
          <w:lang w:val="en-US"/>
        </w:rPr>
        <w:t>The Court consequently allows the Commission’s action for failure to fulfil obligations.</w:t>
      </w:r>
    </w:p>
    <w:sectPr w:rsidR="0073615E" w:rsidRPr="0019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B3"/>
    <w:rsid w:val="00190D2D"/>
    <w:rsid w:val="0073615E"/>
    <w:rsid w:val="00AC7CB3"/>
    <w:rsid w:val="00BC7847"/>
    <w:rsid w:val="00C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937"/>
  <w15:chartTrackingRefBased/>
  <w15:docId w15:val="{823E3C21-2312-43FA-B0CE-D2D0EE2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1514</dc:creator>
  <cp:keywords/>
  <dc:description/>
  <cp:lastModifiedBy>Ilona Jančářová</cp:lastModifiedBy>
  <cp:revision>5</cp:revision>
  <dcterms:created xsi:type="dcterms:W3CDTF">2016-11-19T11:04:00Z</dcterms:created>
  <dcterms:modified xsi:type="dcterms:W3CDTF">2020-11-22T09:53:00Z</dcterms:modified>
</cp:coreProperties>
</file>