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2EAF6" w14:textId="1367EAD9" w:rsidR="00E05588" w:rsidRPr="00E05588" w:rsidRDefault="00DA7FAD" w:rsidP="00E05588">
      <w:pPr>
        <w:pStyle w:val="Nadpis5"/>
        <w:jc w:val="center"/>
        <w:rPr>
          <w:rFonts w:ascii="Garamond" w:hAnsi="Garamond"/>
          <w:color w:val="auto"/>
          <w:sz w:val="32"/>
          <w:szCs w:val="32"/>
        </w:rPr>
      </w:pPr>
      <w:r>
        <w:rPr>
          <w:rFonts w:ascii="Garamond" w:hAnsi="Garamond"/>
          <w:color w:val="auto"/>
          <w:sz w:val="32"/>
          <w:szCs w:val="32"/>
        </w:rPr>
        <w:t>Varianta</w:t>
      </w:r>
      <w:r w:rsidR="00E05588" w:rsidRPr="00E05588">
        <w:rPr>
          <w:rFonts w:ascii="Garamond" w:hAnsi="Garamond"/>
          <w:color w:val="auto"/>
          <w:sz w:val="32"/>
          <w:szCs w:val="32"/>
        </w:rPr>
        <w:t> </w:t>
      </w:r>
      <w:r w:rsidR="005669EF">
        <w:rPr>
          <w:rFonts w:ascii="Garamond" w:hAnsi="Garamond"/>
          <w:color w:val="auto"/>
          <w:sz w:val="32"/>
          <w:szCs w:val="32"/>
        </w:rPr>
        <w:t>Imperiali</w:t>
      </w:r>
    </w:p>
    <w:p w14:paraId="6CBCB070" w14:textId="77777777" w:rsidR="007E2759" w:rsidRDefault="007E2759" w:rsidP="007E2759">
      <w:pPr>
        <w:rPr>
          <w:rFonts w:ascii="Garamond" w:hAnsi="Garamond"/>
        </w:rPr>
      </w:pPr>
    </w:p>
    <w:p w14:paraId="1DC9A70F" w14:textId="77777777" w:rsidR="007E2759" w:rsidRDefault="007E2759" w:rsidP="007E2759">
      <w:pPr>
        <w:rPr>
          <w:rFonts w:ascii="Garamond" w:hAnsi="Garamond"/>
        </w:rPr>
      </w:pPr>
    </w:p>
    <w:p w14:paraId="5C1AB35A" w14:textId="6B200C1E" w:rsidR="007E2759" w:rsidRDefault="007E2759" w:rsidP="007304B6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Úkol: </w:t>
      </w:r>
      <w:r w:rsidRPr="00E05588">
        <w:rPr>
          <w:rFonts w:ascii="Garamond" w:hAnsi="Garamond"/>
          <w:b/>
        </w:rPr>
        <w:t>Postupem podle § 48 zákona o volbách do Parlamentu ČR určete republikové číslo a poté počet mandátů, které se rozdělovaly v</w:t>
      </w:r>
      <w:r w:rsidR="00DA7FAD">
        <w:rPr>
          <w:rFonts w:ascii="Garamond" w:hAnsi="Garamond"/>
          <w:b/>
        </w:rPr>
        <w:t> Kraji Vysočina</w:t>
      </w:r>
      <w:r w:rsidRPr="00E05588">
        <w:rPr>
          <w:rFonts w:ascii="Garamond" w:hAnsi="Garamond"/>
          <w:b/>
        </w:rPr>
        <w:t>. Poté tyto mandáty přidělte jednotlivým stranám podle § 50 téhož zákona.</w:t>
      </w:r>
      <w:r>
        <w:rPr>
          <w:rFonts w:ascii="Garamond" w:hAnsi="Garamond"/>
          <w:b/>
        </w:rPr>
        <w:t xml:space="preserve"> Nejde samozřejmě ani tak o výsledek (ten si lze zj</w:t>
      </w:r>
      <w:r w:rsidR="007304B6">
        <w:rPr>
          <w:rFonts w:ascii="Garamond" w:hAnsi="Garamond"/>
          <w:b/>
        </w:rPr>
        <w:t>istit i snáze), nýbrž o postup.</w:t>
      </w:r>
    </w:p>
    <w:p w14:paraId="075F79C9" w14:textId="77777777" w:rsidR="007304B6" w:rsidRDefault="007304B6" w:rsidP="007304B6">
      <w:pPr>
        <w:jc w:val="both"/>
        <w:rPr>
          <w:rFonts w:ascii="Garamond" w:hAnsi="Garamond"/>
          <w:b/>
        </w:rPr>
      </w:pPr>
    </w:p>
    <w:p w14:paraId="1FE58A15" w14:textId="77777777" w:rsidR="007E2759" w:rsidRPr="00E05588" w:rsidRDefault="007E2759" w:rsidP="007E2759">
      <w:pPr>
        <w:rPr>
          <w:rFonts w:ascii="Garamond" w:hAnsi="Garamond"/>
        </w:rPr>
      </w:pPr>
    </w:p>
    <w:p w14:paraId="43EF0F8F" w14:textId="56CBDB61" w:rsidR="00B178A7" w:rsidRPr="007E2759" w:rsidRDefault="00B178A7" w:rsidP="00B178A7">
      <w:pPr>
        <w:pStyle w:val="Nadpis5"/>
        <w:rPr>
          <w:rFonts w:ascii="Garamond" w:hAnsi="Garamond"/>
          <w:b/>
          <w:color w:val="auto"/>
        </w:rPr>
      </w:pPr>
      <w:r w:rsidRPr="007E2759">
        <w:rPr>
          <w:rFonts w:ascii="Garamond" w:hAnsi="Garamond"/>
          <w:b/>
          <w:color w:val="auto"/>
        </w:rPr>
        <w:t xml:space="preserve">Podklady pro výpočet výsledků voleb pro </w:t>
      </w:r>
      <w:r w:rsidR="00DA7FAD">
        <w:rPr>
          <w:rFonts w:ascii="Garamond" w:hAnsi="Garamond"/>
          <w:b/>
          <w:color w:val="auto"/>
        </w:rPr>
        <w:t>Kraj Vysočina</w:t>
      </w:r>
    </w:p>
    <w:p w14:paraId="4534C92D" w14:textId="44419B60" w:rsidR="00B178A7" w:rsidRPr="007E2759" w:rsidRDefault="00B178A7" w:rsidP="00B178A7">
      <w:pPr>
        <w:pStyle w:val="Nadpis5"/>
        <w:rPr>
          <w:rFonts w:ascii="Garamond" w:hAnsi="Garamond"/>
          <w:b/>
          <w:color w:val="auto"/>
        </w:rPr>
      </w:pPr>
      <w:r w:rsidRPr="007E2759">
        <w:rPr>
          <w:rFonts w:ascii="Garamond" w:hAnsi="Garamond"/>
          <w:b/>
          <w:color w:val="auto"/>
        </w:rPr>
        <w:t xml:space="preserve">Celkový počet platných hlasů v ČR: </w:t>
      </w:r>
      <w:r w:rsidR="00DA7FAD" w:rsidRPr="00DA7FAD">
        <w:rPr>
          <w:rFonts w:ascii="Garamond" w:hAnsi="Garamond"/>
          <w:b/>
          <w:color w:val="auto"/>
        </w:rPr>
        <w:t>5 375 090</w:t>
      </w:r>
    </w:p>
    <w:p w14:paraId="1516903A" w14:textId="77777777" w:rsidR="00B178A7" w:rsidRPr="007E2759" w:rsidRDefault="00B178A7" w:rsidP="00B178A7">
      <w:pPr>
        <w:rPr>
          <w:rFonts w:ascii="Garamond" w:hAnsi="Garamond"/>
          <w:b/>
        </w:rPr>
      </w:pPr>
    </w:p>
    <w:p w14:paraId="1DA7C27C" w14:textId="529B7F0F" w:rsidR="00B178A7" w:rsidRDefault="00B178A7" w:rsidP="00B178A7">
      <w:pPr>
        <w:rPr>
          <w:rFonts w:ascii="Garamond" w:hAnsi="Garamond"/>
          <w:b/>
        </w:rPr>
      </w:pPr>
      <w:r w:rsidRPr="007E2759">
        <w:rPr>
          <w:rFonts w:ascii="Garamond" w:hAnsi="Garamond"/>
          <w:b/>
        </w:rPr>
        <w:t>Platné hlasy odevzdané v</w:t>
      </w:r>
      <w:r w:rsidR="00DA7FAD">
        <w:rPr>
          <w:rFonts w:ascii="Garamond" w:hAnsi="Garamond"/>
          <w:b/>
        </w:rPr>
        <w:t> Kraji Vysočina</w:t>
      </w:r>
      <w:r w:rsidRPr="007E2759">
        <w:rPr>
          <w:rFonts w:ascii="Garamond" w:hAnsi="Garamond"/>
          <w:b/>
        </w:rPr>
        <w:t xml:space="preserve">: </w:t>
      </w:r>
      <w:r w:rsidR="00DA7FAD" w:rsidRPr="00DA7FAD">
        <w:rPr>
          <w:rFonts w:ascii="Garamond" w:hAnsi="Garamond"/>
          <w:b/>
        </w:rPr>
        <w:t>277</w:t>
      </w:r>
      <w:r w:rsidR="00DA7FAD">
        <w:rPr>
          <w:rFonts w:ascii="Garamond" w:hAnsi="Garamond"/>
          <w:b/>
        </w:rPr>
        <w:t> </w:t>
      </w:r>
      <w:r w:rsidR="00DA7FAD" w:rsidRPr="00DA7FAD">
        <w:rPr>
          <w:rFonts w:ascii="Garamond" w:hAnsi="Garamond"/>
          <w:b/>
        </w:rPr>
        <w:t>194</w:t>
      </w:r>
    </w:p>
    <w:p w14:paraId="7EE74E99" w14:textId="32665072" w:rsidR="00DA7FAD" w:rsidRDefault="00DA7FAD" w:rsidP="00B178A7">
      <w:pPr>
        <w:rPr>
          <w:rFonts w:ascii="Garamond" w:hAnsi="Garamond"/>
          <w:b/>
        </w:rPr>
      </w:pPr>
    </w:p>
    <w:p w14:paraId="1A28F1C5" w14:textId="79C930D0" w:rsidR="00DA7FAD" w:rsidRDefault="00DA7FAD" w:rsidP="00B178A7">
      <w:pPr>
        <w:rPr>
          <w:rFonts w:ascii="Garamond" w:hAnsi="Garamond"/>
          <w:b/>
        </w:rPr>
      </w:pPr>
      <w:r>
        <w:rPr>
          <w:rFonts w:ascii="Garamond" w:hAnsi="Garamond"/>
          <w:b/>
        </w:rPr>
        <w:t>Hlasy získané jednotlivými stranami v Kraji Vysočina</w:t>
      </w:r>
    </w:p>
    <w:tbl>
      <w:tblPr>
        <w:tblW w:w="5895" w:type="dxa"/>
        <w:tblBorders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3567"/>
        <w:gridCol w:w="900"/>
        <w:gridCol w:w="750"/>
      </w:tblGrid>
      <w:tr w:rsidR="00DA7FAD" w14:paraId="62324EF3" w14:textId="77777777" w:rsidTr="00DA7FAD">
        <w:tc>
          <w:tcPr>
            <w:tcW w:w="4245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0910979" w14:textId="77777777" w:rsidR="00DA7FAD" w:rsidRDefault="00DA7FAD">
            <w:pPr>
              <w:spacing w:line="255" w:lineRule="atLeast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Strana</w:t>
            </w:r>
          </w:p>
        </w:tc>
        <w:tc>
          <w:tcPr>
            <w:tcW w:w="1650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7252347" w14:textId="77777777" w:rsidR="00DA7FAD" w:rsidRDefault="00DA7FAD">
            <w:pPr>
              <w:spacing w:line="255" w:lineRule="atLeast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Platné hlasy</w:t>
            </w:r>
          </w:p>
        </w:tc>
      </w:tr>
      <w:tr w:rsidR="00DA7FAD" w14:paraId="27B7A14D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F0BAF52" w14:textId="77777777" w:rsidR="00DA7FAD" w:rsidRDefault="00DA7FAD">
            <w:pPr>
              <w:spacing w:line="255" w:lineRule="atLeast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číslo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E51BDF9" w14:textId="77777777" w:rsidR="00DA7FAD" w:rsidRDefault="00DA7FAD">
            <w:pPr>
              <w:spacing w:line="255" w:lineRule="atLeast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název</w:t>
            </w:r>
          </w:p>
        </w:tc>
        <w:tc>
          <w:tcPr>
            <w:tcW w:w="9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0F1C37C" w14:textId="77777777" w:rsidR="00DA7FAD" w:rsidRDefault="00DA7FAD">
            <w:pPr>
              <w:spacing w:line="255" w:lineRule="atLeast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5E55792" w14:textId="77777777" w:rsidR="00DA7FAD" w:rsidRDefault="00DA7FAD">
            <w:pPr>
              <w:spacing w:line="255" w:lineRule="atLeast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v %</w:t>
            </w:r>
          </w:p>
        </w:tc>
      </w:tr>
      <w:tr w:rsidR="00DA7FAD" w14:paraId="614EEC41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B3E0E3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C73D1A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Strana zelených</w:t>
            </w:r>
          </w:p>
        </w:tc>
        <w:tc>
          <w:tcPr>
            <w:tcW w:w="9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800A15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2 299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0F7003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0,82</w:t>
            </w:r>
          </w:p>
        </w:tc>
      </w:tr>
      <w:tr w:rsidR="00DA7FAD" w14:paraId="25541E54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CA5D1F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2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632A22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Švýcarská demokracie</w:t>
            </w:r>
          </w:p>
        </w:tc>
        <w:tc>
          <w:tcPr>
            <w:tcW w:w="9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5412D9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763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63E706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0,27</w:t>
            </w:r>
          </w:p>
        </w:tc>
      </w:tr>
      <w:tr w:rsidR="00DA7FAD" w14:paraId="40739554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1C4280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3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2FF502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VOLNÝ blok</w:t>
            </w:r>
          </w:p>
        </w:tc>
        <w:tc>
          <w:tcPr>
            <w:tcW w:w="9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D6EC4D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3 182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33FDA6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1,14</w:t>
            </w:r>
          </w:p>
        </w:tc>
      </w:tr>
      <w:tr w:rsidR="00DA7FAD" w14:paraId="43C39425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349973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4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EF93C3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Svoboda a př. demokracie (SPD)</w:t>
            </w:r>
          </w:p>
        </w:tc>
        <w:tc>
          <w:tcPr>
            <w:tcW w:w="9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048883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24 729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F60047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8,92</w:t>
            </w:r>
          </w:p>
        </w:tc>
      </w:tr>
      <w:tr w:rsidR="00DA7FAD" w14:paraId="268734C5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173AD0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5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382291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Česká str.sociálně demokrat.</w:t>
            </w:r>
          </w:p>
        </w:tc>
        <w:tc>
          <w:tcPr>
            <w:tcW w:w="9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92E8D3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18 168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FA9975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6,55</w:t>
            </w:r>
          </w:p>
        </w:tc>
      </w:tr>
      <w:tr w:rsidR="00DA7FAD" w14:paraId="73E676FF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00346C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7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E7D852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ALIANCE NÁRODNÍCH SIL</w:t>
            </w:r>
          </w:p>
        </w:tc>
        <w:tc>
          <w:tcPr>
            <w:tcW w:w="9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628766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232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F12414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0,08</w:t>
            </w:r>
          </w:p>
        </w:tc>
      </w:tr>
      <w:tr w:rsidR="00DA7FAD" w14:paraId="27726980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6FFE82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8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83B464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Trikolora Svobodní Soukromníci</w:t>
            </w:r>
          </w:p>
        </w:tc>
        <w:tc>
          <w:tcPr>
            <w:tcW w:w="9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AC4136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7 341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4E8923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2,64</w:t>
            </w:r>
          </w:p>
        </w:tc>
      </w:tr>
      <w:tr w:rsidR="00DA7FAD" w14:paraId="1DD4C241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462D7D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9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4BF404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Aliance pro budoucnost</w:t>
            </w:r>
          </w:p>
        </w:tc>
        <w:tc>
          <w:tcPr>
            <w:tcW w:w="9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DD34F7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633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45B6C8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0,22</w:t>
            </w:r>
          </w:p>
        </w:tc>
      </w:tr>
      <w:tr w:rsidR="00DA7FAD" w14:paraId="1E23B144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2CF655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10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F2CFA2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Hnutí Prameny</w:t>
            </w:r>
          </w:p>
        </w:tc>
        <w:tc>
          <w:tcPr>
            <w:tcW w:w="9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142888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350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63C977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0,12</w:t>
            </w:r>
          </w:p>
        </w:tc>
      </w:tr>
      <w:tr w:rsidR="00DA7FAD" w14:paraId="62D1AD9E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5444A9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12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DAE1C1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PŘÍSAHA Roberta Šlachty</w:t>
            </w:r>
          </w:p>
        </w:tc>
        <w:tc>
          <w:tcPr>
            <w:tcW w:w="9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13AB91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14 504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A9964A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5,23</w:t>
            </w:r>
          </w:p>
        </w:tc>
      </w:tr>
      <w:tr w:rsidR="00DA7FAD" w14:paraId="400A7AD1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30F05E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820311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SPOLU – ODS, KDU-ČSL, TOP 09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BC7081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77 631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34C9B8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28,00</w:t>
            </w:r>
          </w:p>
        </w:tc>
      </w:tr>
      <w:tr w:rsidR="00DA7FAD" w14:paraId="4277AC70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167C57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ACFC56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Urza.cz: Nechceme vaše hlasy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5923EC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416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C3BC73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0,15</w:t>
            </w:r>
          </w:p>
        </w:tc>
      </w:tr>
      <w:tr w:rsidR="00DA7FAD" w14:paraId="50E65020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1F24D3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D467DA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Koruna Česká (monarch.strana)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A0EEB0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370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F19D45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0,13</w:t>
            </w:r>
          </w:p>
        </w:tc>
      </w:tr>
      <w:tr w:rsidR="00DA7FAD" w14:paraId="02B40654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9CC08E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93D4C3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PIRÁTI a STAROSTOVÉ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561A21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37 451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351CEF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13,51</w:t>
            </w:r>
          </w:p>
        </w:tc>
      </w:tr>
      <w:tr w:rsidR="00DA7FAD" w14:paraId="4D9BA3C1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6387BA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5AC1CA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Komunistická str.Čech a Moravy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C93D59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12 959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434671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4,67</w:t>
            </w:r>
          </w:p>
        </w:tc>
      </w:tr>
      <w:tr w:rsidR="00DA7FAD" w14:paraId="3C9CD28C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E606D7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A15D3E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Moravské zemské hnutí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82E605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304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BF2722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0,10</w:t>
            </w:r>
          </w:p>
        </w:tc>
      </w:tr>
      <w:tr w:rsidR="00DA7FAD" w14:paraId="0C962C80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461076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20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F26346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ANO 2011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D73731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74 113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6D2692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26,73</w:t>
            </w:r>
          </w:p>
        </w:tc>
      </w:tr>
      <w:tr w:rsidR="00DA7FAD" w14:paraId="0396225A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35DA60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21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0797B3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Otevřeme ČR normálnímu životu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538D8F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1 052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6A977E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0,37</w:t>
            </w:r>
          </w:p>
        </w:tc>
      </w:tr>
      <w:tr w:rsidR="00DA7FAD" w14:paraId="52DE3034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B07CFC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22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B7A26B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Moravané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DEB8AA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697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5F2AC5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0,25</w:t>
            </w:r>
          </w:p>
        </w:tc>
      </w:tr>
    </w:tbl>
    <w:p w14:paraId="51747F97" w14:textId="77777777" w:rsidR="00DA7FAD" w:rsidRPr="007E2759" w:rsidRDefault="00DA7FAD" w:rsidP="00B178A7">
      <w:pPr>
        <w:rPr>
          <w:rFonts w:ascii="Garamond" w:hAnsi="Garamond"/>
          <w:b/>
        </w:rPr>
      </w:pPr>
    </w:p>
    <w:p w14:paraId="47DCD87A" w14:textId="77777777" w:rsidR="00B178A7" w:rsidRPr="007E2759" w:rsidRDefault="00B178A7" w:rsidP="00B178A7">
      <w:pPr>
        <w:rPr>
          <w:rFonts w:ascii="Garamond" w:hAnsi="Garamond"/>
          <w:b/>
        </w:rPr>
      </w:pPr>
    </w:p>
    <w:p w14:paraId="632087A9" w14:textId="77777777" w:rsidR="007E2759" w:rsidRPr="007E2759" w:rsidRDefault="007E2759" w:rsidP="00B178A7">
      <w:pPr>
        <w:rPr>
          <w:rFonts w:ascii="Garamond" w:hAnsi="Garamond"/>
          <w:b/>
        </w:rPr>
      </w:pPr>
      <w:r w:rsidRPr="007E2759">
        <w:rPr>
          <w:rFonts w:ascii="Garamond" w:hAnsi="Garamond"/>
          <w:b/>
        </w:rPr>
        <w:t>Hlasy získané jednotlivými stranami celostátně</w:t>
      </w:r>
    </w:p>
    <w:p w14:paraId="35B45200" w14:textId="77777777" w:rsidR="00355E71" w:rsidRDefault="00355E71" w:rsidP="00B178A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Garamond" w:hAnsi="Garamond"/>
        </w:rPr>
        <w:fldChar w:fldCharType="begin"/>
      </w:r>
      <w:r>
        <w:rPr>
          <w:rFonts w:ascii="Garamond" w:hAnsi="Garamond"/>
        </w:rPr>
        <w:instrText xml:space="preserve"> LINK Excel.Sheet.12 "Sešit1" "List1!R1C1:R33C4" \a \f 5 \h  \* MERGEFORMAT </w:instrText>
      </w:r>
      <w:r>
        <w:rPr>
          <w:rFonts w:ascii="Garamond" w:hAnsi="Garamond"/>
        </w:rPr>
        <w:fldChar w:fldCharType="separate"/>
      </w:r>
    </w:p>
    <w:p w14:paraId="01D33DE5" w14:textId="77777777" w:rsidR="00DA7FAD" w:rsidRDefault="00355E71" w:rsidP="00B178A7">
      <w:pPr>
        <w:rPr>
          <w:rFonts w:ascii="Garamond" w:hAnsi="Garamond"/>
        </w:rPr>
      </w:pPr>
      <w:r>
        <w:rPr>
          <w:rFonts w:ascii="Garamond" w:hAnsi="Garamond"/>
        </w:rPr>
        <w:fldChar w:fldCharType="end"/>
      </w:r>
    </w:p>
    <w:tbl>
      <w:tblPr>
        <w:tblW w:w="5961" w:type="dxa"/>
        <w:tblBorders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3567"/>
        <w:gridCol w:w="1100"/>
        <w:gridCol w:w="750"/>
      </w:tblGrid>
      <w:tr w:rsidR="00DA7FAD" w14:paraId="4F82302B" w14:textId="77777777" w:rsidTr="00DA7FAD">
        <w:tc>
          <w:tcPr>
            <w:tcW w:w="4245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FFA2F05" w14:textId="77777777" w:rsidR="00DA7FAD" w:rsidRDefault="00DA7FAD">
            <w:pPr>
              <w:spacing w:line="255" w:lineRule="atLeast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Strana</w:t>
            </w:r>
          </w:p>
        </w:tc>
        <w:tc>
          <w:tcPr>
            <w:tcW w:w="1716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BEA8877" w14:textId="77777777" w:rsidR="00DA7FAD" w:rsidRDefault="00DA7FAD">
            <w:pPr>
              <w:spacing w:line="255" w:lineRule="atLeast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Platné hlasy</w:t>
            </w:r>
          </w:p>
        </w:tc>
      </w:tr>
      <w:tr w:rsidR="00DA7FAD" w14:paraId="7FCA1653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07ED3E3" w14:textId="77777777" w:rsidR="00DA7FAD" w:rsidRDefault="00DA7FAD">
            <w:pPr>
              <w:spacing w:line="255" w:lineRule="atLeast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číslo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C938561" w14:textId="77777777" w:rsidR="00DA7FAD" w:rsidRDefault="00DA7FAD">
            <w:pPr>
              <w:spacing w:line="255" w:lineRule="atLeast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název</w:t>
            </w:r>
          </w:p>
        </w:tc>
        <w:tc>
          <w:tcPr>
            <w:tcW w:w="51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270B2E1" w14:textId="77777777" w:rsidR="00DA7FAD" w:rsidRDefault="00DA7FAD">
            <w:pPr>
              <w:spacing w:line="255" w:lineRule="atLeast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88B3702" w14:textId="77777777" w:rsidR="00DA7FAD" w:rsidRDefault="00DA7FAD">
            <w:pPr>
              <w:spacing w:line="255" w:lineRule="atLeast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v %</w:t>
            </w:r>
          </w:p>
        </w:tc>
      </w:tr>
      <w:tr w:rsidR="00DA7FAD" w14:paraId="51C65047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C75CC0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3DE920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Strana zelených</w:t>
            </w:r>
          </w:p>
        </w:tc>
        <w:tc>
          <w:tcPr>
            <w:tcW w:w="51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252D04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53 343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3CDBB9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0,99</w:t>
            </w:r>
          </w:p>
        </w:tc>
      </w:tr>
      <w:tr w:rsidR="00DA7FAD" w14:paraId="41698B63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02883D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2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315AD6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Švýcarská demokracie</w:t>
            </w:r>
          </w:p>
        </w:tc>
        <w:tc>
          <w:tcPr>
            <w:tcW w:w="51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7692F1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16 823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F00129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0,31</w:t>
            </w:r>
          </w:p>
        </w:tc>
      </w:tr>
      <w:tr w:rsidR="00DA7FAD" w14:paraId="45BB01EB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153ACC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3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7D51D2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VOLNÝ blok</w:t>
            </w:r>
          </w:p>
        </w:tc>
        <w:tc>
          <w:tcPr>
            <w:tcW w:w="51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B8911E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71 587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A43611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1,33</w:t>
            </w:r>
          </w:p>
        </w:tc>
      </w:tr>
      <w:tr w:rsidR="00DA7FAD" w14:paraId="15FA4B68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4562BF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4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EA1314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Svoboda a př. demokracie (SPD)</w:t>
            </w:r>
          </w:p>
        </w:tc>
        <w:tc>
          <w:tcPr>
            <w:tcW w:w="51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EAAA00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513 910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88A3A1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9,56</w:t>
            </w:r>
          </w:p>
        </w:tc>
      </w:tr>
      <w:tr w:rsidR="00DA7FAD" w14:paraId="3EF11A95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2B8842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5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171DA6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Česká str.sociálně demokrat.</w:t>
            </w:r>
          </w:p>
        </w:tc>
        <w:tc>
          <w:tcPr>
            <w:tcW w:w="51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D942B2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250 397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E074E3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4,65</w:t>
            </w:r>
          </w:p>
        </w:tc>
      </w:tr>
      <w:tr w:rsidR="00DA7FAD" w14:paraId="2740C425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95922E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6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15D68F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Volte Pr.Blok www.cibulka.net</w:t>
            </w:r>
          </w:p>
        </w:tc>
        <w:tc>
          <w:tcPr>
            <w:tcW w:w="51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D522B7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586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A17636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0,01</w:t>
            </w:r>
          </w:p>
        </w:tc>
      </w:tr>
      <w:tr w:rsidR="00DA7FAD" w14:paraId="2B774D3B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B180B3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7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A35B40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ALIANCE NÁRODNÍCH SIL</w:t>
            </w:r>
          </w:p>
        </w:tc>
        <w:tc>
          <w:tcPr>
            <w:tcW w:w="51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F0626B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5 167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FC773D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0,09</w:t>
            </w:r>
          </w:p>
        </w:tc>
      </w:tr>
      <w:tr w:rsidR="00DA7FAD" w14:paraId="4913221D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DAA3D5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8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CBDC39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Trikolora Svobodní Soukromníci</w:t>
            </w:r>
          </w:p>
        </w:tc>
        <w:tc>
          <w:tcPr>
            <w:tcW w:w="51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CC593D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148 463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884D88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2,76</w:t>
            </w:r>
          </w:p>
        </w:tc>
      </w:tr>
      <w:tr w:rsidR="00DA7FAD" w14:paraId="1DEEC1DD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1085DA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9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EBFBCC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Aliance pro budoucnost</w:t>
            </w:r>
          </w:p>
        </w:tc>
        <w:tc>
          <w:tcPr>
            <w:tcW w:w="51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27A7D6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11 531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5E97B4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0,21</w:t>
            </w:r>
          </w:p>
        </w:tc>
      </w:tr>
      <w:tr w:rsidR="00DA7FAD" w14:paraId="494F7901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8FFD38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10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F2478E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Hnutí Prameny</w:t>
            </w:r>
          </w:p>
        </w:tc>
        <w:tc>
          <w:tcPr>
            <w:tcW w:w="51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AFCFF4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8 599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C9946A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0,15</w:t>
            </w:r>
          </w:p>
        </w:tc>
      </w:tr>
      <w:tr w:rsidR="00DA7FAD" w14:paraId="3C8F8692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E1F4AE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11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747E77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Levice</w:t>
            </w:r>
          </w:p>
        </w:tc>
        <w:tc>
          <w:tcPr>
            <w:tcW w:w="51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249178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639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ED7431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0,01</w:t>
            </w:r>
          </w:p>
        </w:tc>
      </w:tr>
      <w:tr w:rsidR="00DA7FAD" w14:paraId="5265B2D0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66CC3B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B5C928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PŘÍSAHA Roberta Šlachty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F2AF38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251 562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38A6DA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4,68</w:t>
            </w:r>
          </w:p>
        </w:tc>
      </w:tr>
      <w:tr w:rsidR="00DA7FAD" w14:paraId="7E78BCD0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89C98E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061DF6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SPOLU – ODS, KDU-ČSL, TOP 09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B823E2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1 493 905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4573D0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27,79</w:t>
            </w:r>
          </w:p>
        </w:tc>
      </w:tr>
      <w:tr w:rsidR="00DA7FAD" w14:paraId="6017821D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F077FD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380BA3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SENIOŘI 21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234741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3 698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7156B0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0,06</w:t>
            </w:r>
          </w:p>
        </w:tc>
      </w:tr>
      <w:tr w:rsidR="00DA7FAD" w14:paraId="0825D98A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E78D1F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1D9808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Urza.cz: Nechceme vaše hlasy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5E4678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6 775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C24D8D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0,12</w:t>
            </w:r>
          </w:p>
        </w:tc>
      </w:tr>
      <w:tr w:rsidR="00DA7FAD" w14:paraId="1D322304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174944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629025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Koruna Česká (monarch.strana)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409821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8 635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192F22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0,16</w:t>
            </w:r>
          </w:p>
        </w:tc>
      </w:tr>
      <w:tr w:rsidR="00DA7FAD" w14:paraId="2E687B5F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760714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FA4DB3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PIRÁTI a STAROSTOVÉ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83B827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839 776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3C67D7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15,62</w:t>
            </w:r>
          </w:p>
        </w:tc>
      </w:tr>
      <w:tr w:rsidR="00DA7FAD" w14:paraId="7DF1DC28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51C44C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E4A12D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Komunistická str.Čech a Moravy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082811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193 817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F60385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3,60</w:t>
            </w:r>
          </w:p>
        </w:tc>
      </w:tr>
      <w:tr w:rsidR="00DA7FAD" w14:paraId="21F71930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97D860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54BFCD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Moravské zemské hnutí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4F0F04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1 648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FFC360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0,03</w:t>
            </w:r>
          </w:p>
        </w:tc>
      </w:tr>
      <w:tr w:rsidR="00DA7FAD" w14:paraId="441EAD98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8DFBB7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20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FE5494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ANO 2011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FF74FA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1 458 140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37720A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27,12</w:t>
            </w:r>
          </w:p>
        </w:tc>
      </w:tr>
      <w:tr w:rsidR="00DA7FAD" w14:paraId="05FD7759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F67064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21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4293CD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Otevřeme ČR normálnímu životu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2D19C2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21 804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41EBBD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0,40</w:t>
            </w:r>
          </w:p>
        </w:tc>
      </w:tr>
      <w:tr w:rsidR="00DA7FAD" w14:paraId="5916AC8B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D841F5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22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7F7F7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674FC8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Moravané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6CAE8F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14 285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716403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0,26</w:t>
            </w:r>
          </w:p>
        </w:tc>
      </w:tr>
    </w:tbl>
    <w:p w14:paraId="502689CF" w14:textId="38787FFF" w:rsidR="007E2759" w:rsidRDefault="007E2759" w:rsidP="00B178A7">
      <w:pPr>
        <w:rPr>
          <w:rFonts w:ascii="Garamond" w:hAnsi="Garamond"/>
        </w:rPr>
      </w:pPr>
    </w:p>
    <w:p w14:paraId="7181A1B6" w14:textId="77777777" w:rsidR="007E2759" w:rsidRDefault="007E2759" w:rsidP="00B178A7">
      <w:pPr>
        <w:rPr>
          <w:rFonts w:ascii="Garamond" w:hAnsi="Garamond"/>
        </w:rPr>
      </w:pPr>
    </w:p>
    <w:p w14:paraId="1525C951" w14:textId="77777777" w:rsidR="00267008" w:rsidRDefault="00267008" w:rsidP="00B178A7">
      <w:pPr>
        <w:rPr>
          <w:rFonts w:ascii="Garamond" w:hAnsi="Garamond"/>
          <w:b/>
        </w:rPr>
      </w:pPr>
    </w:p>
    <w:p w14:paraId="65A8E830" w14:textId="77777777" w:rsidR="00355E71" w:rsidRDefault="00355E71" w:rsidP="00B178A7">
      <w:pPr>
        <w:rPr>
          <w:rFonts w:ascii="Garamond" w:hAnsi="Garamond"/>
          <w:b/>
        </w:rPr>
      </w:pPr>
    </w:p>
    <w:p w14:paraId="1BE06962" w14:textId="77777777" w:rsidR="00355E71" w:rsidRDefault="00355E71" w:rsidP="00B178A7">
      <w:pPr>
        <w:rPr>
          <w:rFonts w:ascii="Garamond" w:hAnsi="Garamond"/>
          <w:b/>
        </w:rPr>
      </w:pPr>
    </w:p>
    <w:p w14:paraId="61EC3F90" w14:textId="77777777" w:rsidR="00267008" w:rsidRPr="00E05588" w:rsidRDefault="00267008" w:rsidP="00267008">
      <w:pPr>
        <w:rPr>
          <w:rFonts w:ascii="Garamond" w:hAnsi="Garamond"/>
        </w:rPr>
      </w:pPr>
      <w:r w:rsidRPr="00E05588">
        <w:rPr>
          <w:rFonts w:ascii="Garamond" w:hAnsi="Garamond"/>
        </w:rPr>
        <w:lastRenderedPageBreak/>
        <w:t>§ 48</w:t>
      </w:r>
    </w:p>
    <w:p w14:paraId="3F4F6575" w14:textId="77777777" w:rsidR="00267008" w:rsidRPr="00E05588" w:rsidRDefault="00267008" w:rsidP="00267008">
      <w:pPr>
        <w:rPr>
          <w:rFonts w:ascii="Garamond" w:hAnsi="Garamond"/>
        </w:rPr>
      </w:pPr>
      <w:r w:rsidRPr="00E05588">
        <w:rPr>
          <w:rFonts w:ascii="Garamond" w:hAnsi="Garamond"/>
        </w:rPr>
        <w:t>Určení počtu poslanců volených ve volebních krajích</w:t>
      </w:r>
    </w:p>
    <w:p w14:paraId="63F413CA" w14:textId="77777777" w:rsidR="00267008" w:rsidRPr="00E05588" w:rsidRDefault="00267008" w:rsidP="00267008">
      <w:pPr>
        <w:rPr>
          <w:rFonts w:ascii="Garamond" w:hAnsi="Garamond"/>
        </w:rPr>
      </w:pPr>
    </w:p>
    <w:p w14:paraId="25A827DE" w14:textId="77777777" w:rsidR="00267008" w:rsidRPr="00E05588" w:rsidRDefault="00267008" w:rsidP="00267008">
      <w:pPr>
        <w:rPr>
          <w:rFonts w:ascii="Garamond" w:hAnsi="Garamond"/>
        </w:rPr>
      </w:pPr>
      <w:r w:rsidRPr="00E05588">
        <w:rPr>
          <w:rFonts w:ascii="Garamond" w:hAnsi="Garamond"/>
        </w:rPr>
        <w:t>(1) Na základě výsledků hlasování převzatých z volebních okrsků a zvláštních volebních okrsků u pověřených obecních úřadů podle § 43 zjistí Český statistický úřad celkový počet platných hlasů, které byly ve všech volebních krajích odevzdány pro všechny politické strany, politická hnutí a koalice, a vydělí ho počtem poslanců. Číslo takto vypočtené a zaokrouhlené na jednotky je republikovým mandátovým číslem.</w:t>
      </w:r>
    </w:p>
    <w:p w14:paraId="3F0E3050" w14:textId="77777777" w:rsidR="00267008" w:rsidRPr="00E05588" w:rsidRDefault="00267008" w:rsidP="00267008">
      <w:pPr>
        <w:rPr>
          <w:rFonts w:ascii="Garamond" w:hAnsi="Garamond"/>
        </w:rPr>
      </w:pPr>
      <w:r w:rsidRPr="00E05588">
        <w:rPr>
          <w:rFonts w:ascii="Garamond" w:hAnsi="Garamond"/>
        </w:rPr>
        <w:t xml:space="preserve"> </w:t>
      </w:r>
    </w:p>
    <w:p w14:paraId="1E603D8A" w14:textId="77777777" w:rsidR="00267008" w:rsidRPr="00E05588" w:rsidRDefault="00267008" w:rsidP="00267008">
      <w:pPr>
        <w:rPr>
          <w:rFonts w:ascii="Garamond" w:hAnsi="Garamond"/>
        </w:rPr>
      </w:pPr>
      <w:r w:rsidRPr="00E05588">
        <w:rPr>
          <w:rFonts w:ascii="Garamond" w:hAnsi="Garamond"/>
        </w:rPr>
        <w:t>(2) Republikovým mandátovým číslem dělí celkový počet platných hlasů odevzdaných v každém volebním kraji. Celé číslo takto vypočtené je počtem mandátů, které připadají jednotlivým volebním krajům.</w:t>
      </w:r>
    </w:p>
    <w:p w14:paraId="6D258DC1" w14:textId="77777777" w:rsidR="00267008" w:rsidRPr="00E05588" w:rsidRDefault="00267008" w:rsidP="00267008">
      <w:pPr>
        <w:rPr>
          <w:rFonts w:ascii="Garamond" w:hAnsi="Garamond"/>
        </w:rPr>
      </w:pPr>
      <w:r w:rsidRPr="00E05588">
        <w:rPr>
          <w:rFonts w:ascii="Garamond" w:hAnsi="Garamond"/>
        </w:rPr>
        <w:t xml:space="preserve"> </w:t>
      </w:r>
    </w:p>
    <w:p w14:paraId="54BC0EE9" w14:textId="77777777" w:rsidR="00267008" w:rsidRPr="00E05588" w:rsidRDefault="00267008" w:rsidP="00267008">
      <w:pPr>
        <w:rPr>
          <w:rFonts w:ascii="Garamond" w:hAnsi="Garamond"/>
        </w:rPr>
      </w:pPr>
      <w:r w:rsidRPr="00E05588">
        <w:rPr>
          <w:rFonts w:ascii="Garamond" w:hAnsi="Garamond"/>
        </w:rPr>
        <w:t>(3) Nebyly-li takto rozděleny všechny mandáty, připadnou zbylé mandáty postupně volebním krajům, které vykazují největší zbytek dělení. Při rovnosti zbytků rozhoduje los.</w:t>
      </w:r>
    </w:p>
    <w:p w14:paraId="4D94ECC4" w14:textId="77777777" w:rsidR="00E05588" w:rsidRPr="00E05588" w:rsidRDefault="00E05588" w:rsidP="00267008">
      <w:pPr>
        <w:rPr>
          <w:rFonts w:ascii="Garamond" w:hAnsi="Garamond"/>
        </w:rPr>
      </w:pPr>
    </w:p>
    <w:p w14:paraId="654BF929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>§ 49</w:t>
      </w:r>
    </w:p>
    <w:p w14:paraId="2EA2918E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>Postup politických stran, politických hnutí a koalic do skrutinia</w:t>
      </w:r>
    </w:p>
    <w:p w14:paraId="2DB6D180" w14:textId="77777777" w:rsidR="00E05588" w:rsidRPr="00E05588" w:rsidRDefault="00E05588" w:rsidP="00E05588">
      <w:pPr>
        <w:rPr>
          <w:rFonts w:ascii="Garamond" w:hAnsi="Garamond"/>
        </w:rPr>
      </w:pPr>
    </w:p>
    <w:p w14:paraId="598FD7F7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>(1) Na podkladě zápisu o výsledku voleb v krajích Český statistický úřad zjistí, kolik platných hlasů celkem bylo odevzdáno pro každou politickou stranu, každé politické hnutí a každou koalici a dále,</w:t>
      </w:r>
    </w:p>
    <w:p w14:paraId="7E5D0EF8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>a) které politické strany nebo politická hnutí získaly méně než 5 procent,</w:t>
      </w:r>
    </w:p>
    <w:p w14:paraId="5314440B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 xml:space="preserve"> </w:t>
      </w:r>
    </w:p>
    <w:p w14:paraId="4B832EE4" w14:textId="44AB5218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 xml:space="preserve">b) které koalice, složené ze 2 politických stran, popřípadě politických hnutí získaly méně než </w:t>
      </w:r>
      <w:r w:rsidR="001C495A">
        <w:rPr>
          <w:rFonts w:ascii="Garamond" w:hAnsi="Garamond"/>
        </w:rPr>
        <w:t>8</w:t>
      </w:r>
      <w:r w:rsidRPr="00E05588">
        <w:rPr>
          <w:rFonts w:ascii="Garamond" w:hAnsi="Garamond"/>
        </w:rPr>
        <w:t xml:space="preserve"> procent,</w:t>
      </w:r>
    </w:p>
    <w:p w14:paraId="02AAB2F4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 xml:space="preserve"> </w:t>
      </w:r>
    </w:p>
    <w:p w14:paraId="699FF11C" w14:textId="77840FA0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 xml:space="preserve">c) které koalice, složené ze 3 politických stran, popřípadě politických hnutí získaly méně než </w:t>
      </w:r>
      <w:r w:rsidR="001C495A">
        <w:rPr>
          <w:rFonts w:ascii="Garamond" w:hAnsi="Garamond"/>
        </w:rPr>
        <w:t>11</w:t>
      </w:r>
      <w:r w:rsidRPr="00E05588">
        <w:rPr>
          <w:rFonts w:ascii="Garamond" w:hAnsi="Garamond"/>
        </w:rPr>
        <w:t xml:space="preserve"> procent,</w:t>
      </w:r>
    </w:p>
    <w:p w14:paraId="0A6D5299" w14:textId="3261C83F" w:rsidR="00E05588" w:rsidRPr="00E05588" w:rsidRDefault="00E05588" w:rsidP="00E05588">
      <w:pPr>
        <w:rPr>
          <w:rFonts w:ascii="Garamond" w:hAnsi="Garamond"/>
        </w:rPr>
      </w:pPr>
    </w:p>
    <w:p w14:paraId="1F066A63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>(2) Při dalším zjišťování volebních výsledků a přidělování mandátů se již k těmto politickým stranám, politickým hnutím a koalicím a hlasům pro ně odevzdaným nepřihlíží.</w:t>
      </w:r>
    </w:p>
    <w:p w14:paraId="542C1149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 xml:space="preserve"> </w:t>
      </w:r>
    </w:p>
    <w:p w14:paraId="018F995B" w14:textId="77777777" w:rsidR="00E05588" w:rsidRPr="00E05588" w:rsidRDefault="00E05588" w:rsidP="00E05588">
      <w:pPr>
        <w:rPr>
          <w:rFonts w:ascii="Garamond" w:hAnsi="Garamond"/>
        </w:rPr>
      </w:pPr>
    </w:p>
    <w:p w14:paraId="7CFADFFE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>§ 50</w:t>
      </w:r>
    </w:p>
    <w:p w14:paraId="27D6ED4B" w14:textId="77777777" w:rsidR="001C495A" w:rsidRPr="001C495A" w:rsidRDefault="001C495A" w:rsidP="00313B40">
      <w:pPr>
        <w:spacing w:after="120"/>
        <w:rPr>
          <w:rFonts w:ascii="Garamond" w:hAnsi="Garamond"/>
        </w:rPr>
      </w:pPr>
      <w:r w:rsidRPr="001C495A">
        <w:rPr>
          <w:rFonts w:ascii="Garamond" w:hAnsi="Garamond"/>
        </w:rPr>
        <w:t>První skrutinium</w:t>
      </w:r>
    </w:p>
    <w:p w14:paraId="7B5A127C" w14:textId="77777777" w:rsidR="001C495A" w:rsidRPr="001C495A" w:rsidRDefault="001C495A" w:rsidP="00313B40">
      <w:pPr>
        <w:spacing w:after="120"/>
        <w:rPr>
          <w:rFonts w:ascii="Garamond" w:hAnsi="Garamond"/>
        </w:rPr>
      </w:pPr>
      <w:r w:rsidRPr="001C495A">
        <w:rPr>
          <w:rFonts w:ascii="Garamond" w:hAnsi="Garamond"/>
        </w:rPr>
        <w:t>(1) V prvním skrutiniu se rozdělují mandáty v rámci volebních krajů.</w:t>
      </w:r>
    </w:p>
    <w:p w14:paraId="498420BF" w14:textId="53A9EA69" w:rsidR="001C495A" w:rsidRPr="001C495A" w:rsidRDefault="001C495A" w:rsidP="00313B40">
      <w:pPr>
        <w:spacing w:after="120"/>
        <w:rPr>
          <w:rFonts w:ascii="Garamond" w:hAnsi="Garamond"/>
        </w:rPr>
      </w:pPr>
      <w:r w:rsidRPr="001C495A">
        <w:rPr>
          <w:rFonts w:ascii="Garamond" w:hAnsi="Garamond"/>
        </w:rPr>
        <w:t xml:space="preserve">(2) Součet platných hlasů odevzdaných ve volebním kraji pro politické strany, politická hnutí a koalice, které postoupily do prvního skrutinia, se vydělí počtem mandátů, které byly tomuto volebnímu kraji přiděleny, zvětšeným o </w:t>
      </w:r>
      <w:r w:rsidR="005669EF">
        <w:rPr>
          <w:rFonts w:ascii="Garamond" w:hAnsi="Garamond"/>
        </w:rPr>
        <w:t>dvě</w:t>
      </w:r>
      <w:r w:rsidRPr="001C495A">
        <w:rPr>
          <w:rFonts w:ascii="Garamond" w:hAnsi="Garamond"/>
        </w:rPr>
        <w:t>; číslo takto vypočtené a zaokrouhlené na jednotky je krajským volebním číslem.</w:t>
      </w:r>
    </w:p>
    <w:p w14:paraId="6CE92968" w14:textId="77777777" w:rsidR="001C495A" w:rsidRPr="001C495A" w:rsidRDefault="001C495A" w:rsidP="00313B40">
      <w:pPr>
        <w:spacing w:after="120"/>
        <w:rPr>
          <w:rFonts w:ascii="Garamond" w:hAnsi="Garamond"/>
        </w:rPr>
      </w:pPr>
      <w:r w:rsidRPr="001C495A">
        <w:rPr>
          <w:rFonts w:ascii="Garamond" w:hAnsi="Garamond"/>
        </w:rPr>
        <w:t>(3) Celkový počet platných hlasů, který obdržela politická strana, politické hnutí nebo koalice v rámci volebního kraje, se dělí krajským volebním číslem a politické straně, politickému hnutí nebo koalici se přikáže tolik mandátů, kolikrát je krajské volební číslo obsaženo v celkovém počtu platných hlasů, které tato politická strana, politické hnutí nebo koalice získala.</w:t>
      </w:r>
    </w:p>
    <w:p w14:paraId="47E67BCF" w14:textId="1878A1B5" w:rsidR="001C495A" w:rsidRPr="001C495A" w:rsidRDefault="001C495A" w:rsidP="00313B40">
      <w:pPr>
        <w:spacing w:after="120"/>
        <w:rPr>
          <w:rFonts w:ascii="Garamond" w:hAnsi="Garamond"/>
        </w:rPr>
      </w:pPr>
      <w:r w:rsidRPr="001C495A">
        <w:rPr>
          <w:rFonts w:ascii="Garamond" w:hAnsi="Garamond"/>
        </w:rPr>
        <w:t xml:space="preserve">(4) Bylo-li takto rozděleno </w:t>
      </w:r>
      <w:r w:rsidR="005669EF">
        <w:rPr>
          <w:rFonts w:ascii="Garamond" w:hAnsi="Garamond"/>
        </w:rPr>
        <w:t>více</w:t>
      </w:r>
      <w:r w:rsidR="00313B40">
        <w:rPr>
          <w:rFonts w:ascii="Garamond" w:hAnsi="Garamond"/>
        </w:rPr>
        <w:t xml:space="preserve"> </w:t>
      </w:r>
      <w:r w:rsidR="00313B40" w:rsidRPr="001C495A">
        <w:rPr>
          <w:rFonts w:ascii="Garamond" w:hAnsi="Garamond"/>
        </w:rPr>
        <w:t>mandátů</w:t>
      </w:r>
      <w:r w:rsidRPr="001C495A">
        <w:rPr>
          <w:rFonts w:ascii="Garamond" w:hAnsi="Garamond"/>
        </w:rPr>
        <w:t xml:space="preserve">, než se mělo přidělit podle § 48 odst. 2, </w:t>
      </w:r>
      <w:r w:rsidR="005669EF">
        <w:rPr>
          <w:rFonts w:ascii="Garamond" w:hAnsi="Garamond"/>
        </w:rPr>
        <w:t>odečtou</w:t>
      </w:r>
      <w:r w:rsidRPr="001C495A">
        <w:rPr>
          <w:rFonts w:ascii="Garamond" w:hAnsi="Garamond"/>
        </w:rPr>
        <w:t xml:space="preserve"> se přebývající mandáty postupně těm politickým stranám, politickým hnutím nebo koalicím, které ve volebním kraji vykázaly </w:t>
      </w:r>
      <w:r w:rsidR="005669EF">
        <w:rPr>
          <w:rFonts w:ascii="Garamond" w:hAnsi="Garamond"/>
        </w:rPr>
        <w:t>nejmenší</w:t>
      </w:r>
      <w:r w:rsidRPr="001C495A">
        <w:rPr>
          <w:rFonts w:ascii="Garamond" w:hAnsi="Garamond"/>
        </w:rPr>
        <w:t xml:space="preserve"> zbytek dělení. Při stejném zbytku dělení se mandát </w:t>
      </w:r>
      <w:r w:rsidR="005669EF">
        <w:rPr>
          <w:rFonts w:ascii="Garamond" w:hAnsi="Garamond"/>
        </w:rPr>
        <w:t>odečte</w:t>
      </w:r>
      <w:r w:rsidRPr="001C495A">
        <w:rPr>
          <w:rFonts w:ascii="Garamond" w:hAnsi="Garamond"/>
        </w:rPr>
        <w:t xml:space="preserve"> politické straně, politickému hnutí nebo koalici, která získala ve volebním kraji menší počet hlasů; je-li i tak počet platných hlasů stejný, rozhodne los.</w:t>
      </w:r>
    </w:p>
    <w:p w14:paraId="702885F2" w14:textId="77777777" w:rsidR="001C495A" w:rsidRPr="001C495A" w:rsidRDefault="001C495A" w:rsidP="00313B40">
      <w:pPr>
        <w:spacing w:after="120"/>
        <w:rPr>
          <w:rFonts w:ascii="Garamond" w:hAnsi="Garamond"/>
        </w:rPr>
      </w:pPr>
      <w:r w:rsidRPr="001C495A">
        <w:rPr>
          <w:rFonts w:ascii="Garamond" w:hAnsi="Garamond"/>
        </w:rPr>
        <w:t>(5) V rámci jednotlivých politických stran, politických hnutí a koalic obdrží mandáty straně přikázané kandidáti podle pořadí, jak jsou uvedeni na hlasovacím lístku.</w:t>
      </w:r>
    </w:p>
    <w:p w14:paraId="5DA77545" w14:textId="77777777" w:rsidR="001C495A" w:rsidRPr="001C495A" w:rsidRDefault="001C495A" w:rsidP="00313B40">
      <w:pPr>
        <w:spacing w:after="120"/>
        <w:rPr>
          <w:rFonts w:ascii="Garamond" w:hAnsi="Garamond"/>
        </w:rPr>
      </w:pPr>
      <w:r w:rsidRPr="001C495A">
        <w:rPr>
          <w:rFonts w:ascii="Garamond" w:hAnsi="Garamond"/>
        </w:rPr>
        <w:t>(6) Jestliže však některý z kandidátů získal takový počet přednostních hlasů, který činí nejméně 5 procent z celkového počtu platných hlasů odevzdaných pro tuto politickou stranu, politické hnutí nebo koalici ve volebním kraji, připadne mandát přednostně tomuto kandidátovi.</w:t>
      </w:r>
    </w:p>
    <w:p w14:paraId="7C4AC8AE" w14:textId="77777777" w:rsidR="001C495A" w:rsidRPr="001C495A" w:rsidRDefault="001C495A" w:rsidP="00313B40">
      <w:pPr>
        <w:spacing w:after="120"/>
        <w:rPr>
          <w:rFonts w:ascii="Garamond" w:hAnsi="Garamond"/>
        </w:rPr>
      </w:pPr>
      <w:r w:rsidRPr="001C495A">
        <w:rPr>
          <w:rFonts w:ascii="Garamond" w:hAnsi="Garamond"/>
        </w:rPr>
        <w:t>(7) V případě, že více kandidátů splnilo podmínku podle odstavce 6 a politická strana, politické hnutí nebo koalice získala více mandátů, připadnou mandáty přednostně kandidátům, kteří splnili podmínku podle odstavce 6, a to postupně v pořadí podle nejvyššího počtu získaných přednostních hlasů; v případě rovnosti počtu přednostních hlasů je rozhodující pořadí kandidáta na hlasovacím lístku. Kandidátům, kteří nesplnili podmínku podle odstavce 6, připadnou mandáty v pořadí, jak jsou uvedeni na hlasovacím lístku.</w:t>
      </w:r>
    </w:p>
    <w:p w14:paraId="5C01BBA3" w14:textId="77777777" w:rsidR="001C495A" w:rsidRPr="001C495A" w:rsidRDefault="001C495A" w:rsidP="00313B40">
      <w:pPr>
        <w:spacing w:after="120"/>
        <w:rPr>
          <w:rFonts w:ascii="Garamond" w:hAnsi="Garamond"/>
        </w:rPr>
      </w:pPr>
      <w:r w:rsidRPr="001C495A">
        <w:rPr>
          <w:rFonts w:ascii="Garamond" w:hAnsi="Garamond"/>
        </w:rPr>
        <w:t>(8) Neměla-li některá politická strana, politické hnutí nebo koalice tolik kandidátů na hlasovacím lístku, kolik jí podle výsledků prvního skrutinia přísluší mandátů, obdrží jen tolik mandátů, kolik osob kandidovalo.</w:t>
      </w:r>
    </w:p>
    <w:p w14:paraId="50CD2AA5" w14:textId="1C489709" w:rsidR="00E05588" w:rsidRPr="00E05588" w:rsidRDefault="00E05588" w:rsidP="001C495A">
      <w:pPr>
        <w:rPr>
          <w:rFonts w:ascii="Garamond" w:hAnsi="Garamond"/>
        </w:rPr>
      </w:pPr>
    </w:p>
    <w:sectPr w:rsidR="00E05588" w:rsidRPr="00E05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8A7"/>
    <w:rsid w:val="001753B1"/>
    <w:rsid w:val="001C495A"/>
    <w:rsid w:val="00267008"/>
    <w:rsid w:val="00285A50"/>
    <w:rsid w:val="00313B40"/>
    <w:rsid w:val="00355E71"/>
    <w:rsid w:val="00553B09"/>
    <w:rsid w:val="005669EF"/>
    <w:rsid w:val="005969BD"/>
    <w:rsid w:val="006B4501"/>
    <w:rsid w:val="007304B6"/>
    <w:rsid w:val="007E2759"/>
    <w:rsid w:val="00B178A7"/>
    <w:rsid w:val="00B826EB"/>
    <w:rsid w:val="00BC775A"/>
    <w:rsid w:val="00D83BC5"/>
    <w:rsid w:val="00DA7FAD"/>
    <w:rsid w:val="00E05588"/>
    <w:rsid w:val="00E057EE"/>
    <w:rsid w:val="00E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E806"/>
  <w15:docId w15:val="{201CCDF4-73CE-4A73-85A4-45C3028C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7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F5FFC"/>
    <w:pPr>
      <w:keepNext/>
      <w:keepLines/>
      <w:spacing w:before="480" w:line="276" w:lineRule="auto"/>
      <w:jc w:val="center"/>
      <w:outlineLvl w:val="0"/>
    </w:pPr>
    <w:rPr>
      <w:rFonts w:ascii="Garamond" w:eastAsiaTheme="majorEastAsia" w:hAnsi="Garamond" w:cstheme="majorBidi"/>
      <w:bCs/>
      <w:sz w:val="32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78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7F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78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5FFC"/>
    <w:rPr>
      <w:rFonts w:ascii="Garamond" w:eastAsiaTheme="majorEastAsia" w:hAnsi="Garamond" w:cstheme="majorBidi"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78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78A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04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4B6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35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DA7F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A7FAD"/>
    <w:rPr>
      <w:color w:val="0000FF"/>
      <w:u w:val="single"/>
    </w:rPr>
  </w:style>
  <w:style w:type="paragraph" w:customStyle="1" w:styleId="l4">
    <w:name w:val="l4"/>
    <w:basedOn w:val="Normln"/>
    <w:rsid w:val="001C495A"/>
    <w:pPr>
      <w:spacing w:before="100" w:beforeAutospacing="1" w:after="100" w:afterAutospacing="1"/>
    </w:pPr>
    <w:rPr>
      <w:sz w:val="24"/>
      <w:szCs w:val="24"/>
      <w:lang w:bidi="he-IL"/>
    </w:rPr>
  </w:style>
  <w:style w:type="character" w:styleId="PromnnHTML">
    <w:name w:val="HTML Variable"/>
    <w:basedOn w:val="Standardnpsmoodstavce"/>
    <w:uiPriority w:val="99"/>
    <w:semiHidden/>
    <w:unhideWhenUsed/>
    <w:rsid w:val="001C495A"/>
    <w:rPr>
      <w:i/>
      <w:iCs/>
    </w:rPr>
  </w:style>
  <w:style w:type="paragraph" w:styleId="Odstavecseseznamem">
    <w:name w:val="List Paragraph"/>
    <w:basedOn w:val="Normln"/>
    <w:uiPriority w:val="34"/>
    <w:qFormat/>
    <w:rsid w:val="001C4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4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4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7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8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94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3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15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905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Jaroslav Benák</cp:lastModifiedBy>
  <cp:revision>3</cp:revision>
  <cp:lastPrinted>2017-11-22T11:57:00Z</cp:lastPrinted>
  <dcterms:created xsi:type="dcterms:W3CDTF">2021-11-09T22:25:00Z</dcterms:created>
  <dcterms:modified xsi:type="dcterms:W3CDTF">2021-11-09T22:26:00Z</dcterms:modified>
</cp:coreProperties>
</file>