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A27C" w14:textId="4BAE07F8" w:rsidR="000019D2" w:rsidRDefault="00154D7E" w:rsidP="00EF6017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MPS </w:t>
      </w:r>
      <w:r w:rsidR="000019D2">
        <w:rPr>
          <w:rFonts w:ascii="Arial" w:hAnsi="Arial" w:cs="Arial"/>
          <w:b/>
          <w:bCs/>
          <w:sz w:val="24"/>
        </w:rPr>
        <w:t>I 3</w:t>
      </w:r>
      <w:r w:rsidR="00410084">
        <w:rPr>
          <w:rFonts w:ascii="Arial" w:hAnsi="Arial" w:cs="Arial"/>
          <w:b/>
          <w:bCs/>
          <w:sz w:val="24"/>
        </w:rPr>
        <w:t xml:space="preserve">. </w:t>
      </w:r>
      <w:r w:rsidR="00FB67EC">
        <w:rPr>
          <w:rFonts w:ascii="Arial" w:hAnsi="Arial" w:cs="Arial"/>
          <w:b/>
          <w:bCs/>
          <w:sz w:val="24"/>
        </w:rPr>
        <w:t>seminář – příprava</w:t>
      </w:r>
    </w:p>
    <w:p w14:paraId="239A6BE8" w14:textId="466C9DA8" w:rsidR="00EF6017" w:rsidRDefault="00EF6017" w:rsidP="00EF6017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Kvalifikace v mezinárodním právu soukromém. Závazky ze smluv – základní pohled kolizní a procesní</w:t>
      </w:r>
    </w:p>
    <w:p w14:paraId="2F029B26" w14:textId="77777777" w:rsidR="00410084" w:rsidRDefault="00410084" w:rsidP="00410084">
      <w:pPr>
        <w:spacing w:after="220"/>
        <w:jc w:val="both"/>
        <w:rPr>
          <w:rFonts w:ascii="Arial" w:hAnsi="Arial" w:cs="Arial"/>
          <w:bCs/>
        </w:rPr>
      </w:pPr>
    </w:p>
    <w:p w14:paraId="7DB8335D" w14:textId="10C70CA0" w:rsidR="00B961E1" w:rsidRDefault="00EF6017" w:rsidP="00B961E1">
      <w:pPr>
        <w:spacing w:after="2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</w:t>
      </w:r>
      <w:r w:rsidR="008C00B7">
        <w:rPr>
          <w:rFonts w:ascii="Arial" w:hAnsi="Arial" w:cs="Arial"/>
          <w:b/>
          <w:bCs/>
          <w:u w:val="single"/>
        </w:rPr>
        <w:t>éma 1 – Kvalifikace v mezinárodním právu soukromém</w:t>
      </w:r>
    </w:p>
    <w:p w14:paraId="18B974F9" w14:textId="2E45615F" w:rsidR="008C00B7" w:rsidRPr="008C00B7" w:rsidRDefault="008C00B7" w:rsidP="00B961E1">
      <w:pPr>
        <w:spacing w:after="220"/>
        <w:jc w:val="both"/>
        <w:rPr>
          <w:rFonts w:ascii="Arial" w:hAnsi="Arial" w:cs="Arial"/>
          <w:b/>
          <w:bCs/>
        </w:rPr>
      </w:pPr>
      <w:r w:rsidRPr="008C00B7">
        <w:rPr>
          <w:rFonts w:ascii="Arial" w:hAnsi="Arial" w:cs="Arial"/>
          <w:b/>
          <w:bCs/>
        </w:rPr>
        <w:t>Teoretické otázky:</w:t>
      </w:r>
    </w:p>
    <w:p w14:paraId="228ABD3E" w14:textId="4D1181E9" w:rsidR="008C00B7" w:rsidRPr="003960B7" w:rsidRDefault="008C00B7" w:rsidP="008C00B7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Vysvětli, co je proces</w:t>
      </w:r>
      <w:r w:rsidRPr="00F8684B">
        <w:rPr>
          <w:rFonts w:ascii="Arial" w:hAnsi="Arial" w:cs="Arial"/>
        </w:rPr>
        <w:t xml:space="preserve"> kvalifikace</w:t>
      </w:r>
      <w:r>
        <w:rPr>
          <w:rFonts w:ascii="Arial" w:hAnsi="Arial" w:cs="Arial"/>
        </w:rPr>
        <w:t xml:space="preserve">? Jaké zvláštnosti tento proces vykazuje pohledem mezinárodního práva soukromého? </w:t>
      </w:r>
      <w:r w:rsidRPr="00F8684B">
        <w:rPr>
          <w:rFonts w:ascii="Arial" w:hAnsi="Arial" w:cs="Arial"/>
        </w:rPr>
        <w:t>Co je to kvalifikační statut?</w:t>
      </w:r>
    </w:p>
    <w:p w14:paraId="3F8AB4DC" w14:textId="77777777" w:rsidR="008C00B7" w:rsidRDefault="008C00B7" w:rsidP="008C00B7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 nějaký rozdíl mezi kvalifikací procesní a kvalifikací hmotně právní? K jakému účelu slouží?</w:t>
      </w:r>
    </w:p>
    <w:p w14:paraId="474944BF" w14:textId="77777777" w:rsidR="008C00B7" w:rsidRPr="00F8684B" w:rsidRDefault="008C00B7" w:rsidP="008C00B7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Jaká je v procesu aplikace práva pozice kvalifikace a pozice interpretace? Souvisí spolu tyto procesy nějak či jsou vzájemně nezávislé? </w:t>
      </w:r>
    </w:p>
    <w:p w14:paraId="6D80741C" w14:textId="364A2864" w:rsidR="008C00B7" w:rsidRPr="008C00B7" w:rsidRDefault="008C00B7" w:rsidP="002331CD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C00B7">
        <w:rPr>
          <w:rFonts w:ascii="Arial" w:hAnsi="Arial" w:cs="Arial"/>
        </w:rPr>
        <w:t>Jaké existují kvalifikační metody? Je pro výběr kvalifikační metody relevantní to, kde (v jakém státě) je proces kvalifikace realizován, respektive pro účely použití jakého právního předpisu je kvalifikace prováděna?</w:t>
      </w:r>
    </w:p>
    <w:p w14:paraId="5742E9B2" w14:textId="65F7FA42" w:rsidR="008C00B7" w:rsidRPr="008C00B7" w:rsidRDefault="008C00B7" w:rsidP="0066531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C00B7">
        <w:rPr>
          <w:rFonts w:ascii="Arial" w:hAnsi="Arial" w:cs="Arial"/>
        </w:rPr>
        <w:t xml:space="preserve">Jaké jsou typické národní (české) přístupy ke kvalifikaci? Jak byste charakterizovali kvalifikační metodu </w:t>
      </w:r>
      <w:r w:rsidRPr="008C00B7">
        <w:rPr>
          <w:rFonts w:ascii="Arial" w:hAnsi="Arial" w:cs="Arial"/>
          <w:i/>
          <w:iCs/>
        </w:rPr>
        <w:t>lex fori</w:t>
      </w:r>
      <w:r w:rsidRPr="008C00B7">
        <w:rPr>
          <w:rFonts w:ascii="Arial" w:hAnsi="Arial" w:cs="Arial"/>
        </w:rPr>
        <w:t>? Jaké jsou její výhody a nevýhody?</w:t>
      </w:r>
    </w:p>
    <w:p w14:paraId="3D0C33E5" w14:textId="77777777" w:rsidR="008C00B7" w:rsidRPr="00F8684B" w:rsidRDefault="008C00B7" w:rsidP="008C00B7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Proč jsou národní kvalifikační metody pouze omezeně použitelné/nepoužitelné v případě aplikace unijních norem mezinárodního práva soukromého?</w:t>
      </w:r>
    </w:p>
    <w:p w14:paraId="182FB70E" w14:textId="77777777" w:rsidR="008C00B7" w:rsidRDefault="008C00B7" w:rsidP="008C00B7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8684B">
        <w:rPr>
          <w:rFonts w:ascii="Arial" w:hAnsi="Arial" w:cs="Arial"/>
        </w:rPr>
        <w:t xml:space="preserve">Jak byste charakterizovali kvalifikační metodu autonomní? </w:t>
      </w:r>
    </w:p>
    <w:p w14:paraId="559B6353" w14:textId="6F7DFAD6" w:rsidR="003923DA" w:rsidRPr="00FB67EC" w:rsidRDefault="003923DA" w:rsidP="008C00B7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Nastudujte si rozsudek </w:t>
      </w:r>
      <w:r w:rsidRPr="00FB67EC">
        <w:rPr>
          <w:rFonts w:ascii="Arial" w:hAnsi="Arial" w:cs="Arial"/>
        </w:rPr>
        <w:t xml:space="preserve">Soudního dvora ze dne 14. října 1976 ve věci 29-76, </w:t>
      </w:r>
      <w:r w:rsidR="00FB67EC" w:rsidRPr="00FB67EC">
        <w:rPr>
          <w:rFonts w:ascii="Arial" w:hAnsi="Arial" w:cs="Arial"/>
        </w:rPr>
        <w:t>TU Lufttransportunternehmen GmbH &amp; Co. KG proti Eurocontrol.</w:t>
      </w:r>
      <w:r w:rsidR="00FB67EC">
        <w:rPr>
          <w:rFonts w:ascii="Arial" w:hAnsi="Arial" w:cs="Arial"/>
        </w:rPr>
        <w:t xml:space="preserve"> Uveďte, co bylo předmětem interpretace Soudního dvora EU a jakým způsobem tato interpretace musí být prováděna. Uveďte, jaké otázky jsou předmětem kvalifikace a jakým způsobem musí být kvalifikace prováděna.</w:t>
      </w:r>
      <w:r w:rsidR="00FB67EC">
        <w:rPr>
          <w:rStyle w:val="Znakapoznpodarou"/>
          <w:rFonts w:ascii="Arial" w:hAnsi="Arial" w:cs="Arial"/>
        </w:rPr>
        <w:footnoteReference w:id="1"/>
      </w:r>
    </w:p>
    <w:p w14:paraId="7876F0CA" w14:textId="77777777" w:rsidR="008C00B7" w:rsidRPr="00F8684B" w:rsidRDefault="008C00B7" w:rsidP="008C00B7">
      <w:pPr>
        <w:spacing w:after="0"/>
        <w:jc w:val="both"/>
        <w:rPr>
          <w:rFonts w:ascii="Arial" w:hAnsi="Arial" w:cs="Arial"/>
        </w:rPr>
      </w:pPr>
    </w:p>
    <w:p w14:paraId="47E95B55" w14:textId="18D46D63" w:rsidR="00EF6017" w:rsidRPr="008C00B7" w:rsidRDefault="00B961E1" w:rsidP="008C00B7">
      <w:pPr>
        <w:spacing w:after="0"/>
        <w:jc w:val="both"/>
        <w:rPr>
          <w:rFonts w:ascii="Arial" w:hAnsi="Arial" w:cs="Arial"/>
          <w:b/>
          <w:bCs/>
        </w:rPr>
      </w:pPr>
      <w:r w:rsidRPr="008C00B7">
        <w:rPr>
          <w:rFonts w:ascii="Arial" w:hAnsi="Arial" w:cs="Arial"/>
          <w:b/>
          <w:bCs/>
        </w:rPr>
        <w:t>Příklady</w:t>
      </w:r>
      <w:r w:rsidR="008C00B7">
        <w:rPr>
          <w:rFonts w:ascii="Arial" w:hAnsi="Arial" w:cs="Arial"/>
          <w:b/>
          <w:bCs/>
        </w:rPr>
        <w:t>:</w:t>
      </w:r>
    </w:p>
    <w:p w14:paraId="5BF95DD9" w14:textId="56E91C23" w:rsidR="00B961E1" w:rsidRPr="00B961E1" w:rsidRDefault="00374259" w:rsidP="00B961E1">
      <w:pPr>
        <w:spacing w:after="2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i/>
        </w:rPr>
        <w:t>(Pozn. V</w:t>
      </w:r>
      <w:r w:rsidRPr="002F6D52">
        <w:rPr>
          <w:rFonts w:ascii="Arial" w:hAnsi="Arial" w:cs="Arial"/>
          <w:i/>
        </w:rPr>
        <w:t>šechny otázky řešte z pohledu českých soudů.)</w:t>
      </w:r>
    </w:p>
    <w:p w14:paraId="1BDF336C" w14:textId="17D37826" w:rsidR="008C00B7" w:rsidRDefault="008C00B7" w:rsidP="0060093D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Posuďte následující situaci. </w:t>
      </w:r>
      <w:r w:rsidR="00FB67EC">
        <w:rPr>
          <w:rFonts w:ascii="Arial" w:hAnsi="Arial" w:cs="Arial"/>
        </w:rPr>
        <w:t xml:space="preserve">Pan Gruber s bydlištěm v Rakousku vlastní hospodářství (zemědělskou usedlost). V tomto hospodářství bydlí a </w:t>
      </w:r>
      <w:r w:rsidR="0033021D">
        <w:rPr>
          <w:rFonts w:ascii="Arial" w:hAnsi="Arial" w:cs="Arial"/>
        </w:rPr>
        <w:t xml:space="preserve">zároveň </w:t>
      </w:r>
      <w:r w:rsidR="00FB67EC">
        <w:rPr>
          <w:rFonts w:ascii="Arial" w:hAnsi="Arial" w:cs="Arial"/>
        </w:rPr>
        <w:t>cca 40 % užitné plochy využívá k</w:t>
      </w:r>
      <w:r w:rsidR="0033021D">
        <w:rPr>
          <w:rFonts w:ascii="Arial" w:hAnsi="Arial" w:cs="Arial"/>
        </w:rPr>
        <w:t xml:space="preserve"> podnikatelské </w:t>
      </w:r>
      <w:r w:rsidR="00FB67EC">
        <w:rPr>
          <w:rFonts w:ascii="Arial" w:hAnsi="Arial" w:cs="Arial"/>
        </w:rPr>
        <w:t xml:space="preserve">hospodářské činnosti. Pan Gruber si od společnosti se sídlem a místem podnikání v Německu zakoupil střešní tašky na opravu střechy nemovitosti. </w:t>
      </w:r>
      <w:r w:rsidR="0033021D">
        <w:rPr>
          <w:rFonts w:ascii="Arial" w:hAnsi="Arial" w:cs="Arial"/>
        </w:rPr>
        <w:t xml:space="preserve">Při nákupu neuvedl, zda střešní tašky mají sloužit pro opravdu střechy části nemovitosti užívané pro soukromé nebo podnikatelské účely. </w:t>
      </w:r>
      <w:r w:rsidR="00FB67EC">
        <w:rPr>
          <w:rFonts w:ascii="Arial" w:hAnsi="Arial" w:cs="Arial"/>
        </w:rPr>
        <w:t>Po dodání zboží pan Gruber zjistil, že dodávka neodpovídá tomu, co si objednal</w:t>
      </w:r>
      <w:r w:rsidR="0033021D">
        <w:rPr>
          <w:rFonts w:ascii="Arial" w:hAnsi="Arial" w:cs="Arial"/>
        </w:rPr>
        <w:t xml:space="preserve">. Prodávající jeho nároky vyplývající z porušení smlouvy neuznal, a proto pan Gruber podal žalobu k rakouským soudům místa svého </w:t>
      </w:r>
      <w:r w:rsidR="0033021D">
        <w:rPr>
          <w:rFonts w:ascii="Arial" w:hAnsi="Arial" w:cs="Arial"/>
        </w:rPr>
        <w:lastRenderedPageBreak/>
        <w:t>bydliště. Argumentoval, že je spotřebitelem a že se na něj vztahují speciální pravidla příslušnosti upravená v článku 17 a 18 Nařízení Brusel Ibis. Tento spor se prostřednictvím předběžné otázky dostal k Soudnímu dvoru EU.</w:t>
      </w:r>
      <w:r w:rsidR="0033021D">
        <w:rPr>
          <w:rStyle w:val="Znakapoznpodarou"/>
          <w:rFonts w:ascii="Arial" w:hAnsi="Arial" w:cs="Arial"/>
        </w:rPr>
        <w:footnoteReference w:id="2"/>
      </w:r>
    </w:p>
    <w:p w14:paraId="34AEE9CC" w14:textId="6DA7B093" w:rsidR="0033021D" w:rsidRDefault="0033021D" w:rsidP="0033021D">
      <w:pPr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Posuď, co bude předmětem interpretace. </w:t>
      </w:r>
      <w:r w:rsidR="00E33B17">
        <w:rPr>
          <w:rFonts w:ascii="Arial" w:hAnsi="Arial" w:cs="Arial"/>
        </w:rPr>
        <w:t>Kdo tuto interpretaci provádí?</w:t>
      </w:r>
    </w:p>
    <w:p w14:paraId="7F1DBABB" w14:textId="22032804" w:rsidR="00E33B17" w:rsidRPr="0033021D" w:rsidRDefault="00E33B17" w:rsidP="00E33B17">
      <w:pPr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soud členského státu neví, jakým způsobem má interpretovat pojem použitý v nařízení EU, </w:t>
      </w:r>
      <w:r w:rsidR="004775F3">
        <w:rPr>
          <w:rFonts w:ascii="Arial" w:hAnsi="Arial" w:cs="Arial"/>
        </w:rPr>
        <w:t>kdo o této otázce rozhoduje?</w:t>
      </w:r>
    </w:p>
    <w:p w14:paraId="164C8A58" w14:textId="328EB522" w:rsidR="0033021D" w:rsidRDefault="0033021D" w:rsidP="008C7565">
      <w:pPr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 w:rsidRPr="0033021D">
        <w:rPr>
          <w:rFonts w:ascii="Arial" w:hAnsi="Arial" w:cs="Arial"/>
        </w:rPr>
        <w:t>Posuď, co bude předmětem kvalifikace? Kdo tuto kvalifikaci provádí?</w:t>
      </w:r>
      <w:r>
        <w:rPr>
          <w:rFonts w:ascii="Arial" w:hAnsi="Arial" w:cs="Arial"/>
        </w:rPr>
        <w:t xml:space="preserve"> </w:t>
      </w:r>
    </w:p>
    <w:p w14:paraId="24EF7B12" w14:textId="77777777" w:rsidR="008C00B7" w:rsidRDefault="008C00B7" w:rsidP="008C00B7">
      <w:pPr>
        <w:spacing w:after="0"/>
        <w:ind w:left="360"/>
        <w:jc w:val="both"/>
        <w:rPr>
          <w:rFonts w:ascii="Arial" w:hAnsi="Arial" w:cs="Arial"/>
        </w:rPr>
      </w:pPr>
    </w:p>
    <w:p w14:paraId="5F5BA487" w14:textId="71879A82" w:rsidR="000019D2" w:rsidRDefault="00AC3264" w:rsidP="0060093D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B526E">
        <w:rPr>
          <w:rFonts w:ascii="Arial" w:hAnsi="Arial" w:cs="Arial"/>
        </w:rPr>
        <w:t>Český státní příslušník pan Horáček a nizozemský státní příslušník pan Krol, kteří mají obvyklý pobyt v Amsterdamu (Nizozemsko), uzavřeli v prosinci 20</w:t>
      </w:r>
      <w:r w:rsidR="0060093D">
        <w:rPr>
          <w:rFonts w:ascii="Arial" w:hAnsi="Arial" w:cs="Arial"/>
        </w:rPr>
        <w:t>10</w:t>
      </w:r>
      <w:r w:rsidRPr="004B526E">
        <w:rPr>
          <w:rFonts w:ascii="Arial" w:hAnsi="Arial" w:cs="Arial"/>
        </w:rPr>
        <w:t xml:space="preserve"> manželství podle nizozemského práva. </w:t>
      </w:r>
    </w:p>
    <w:p w14:paraId="5262265B" w14:textId="77777777" w:rsidR="0028685E" w:rsidRDefault="000019D2" w:rsidP="0060093D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dubnu 2020 si v Čeladné v Beskydech koupili od pana </w:t>
      </w:r>
      <w:r w:rsidR="00785C0E">
        <w:rPr>
          <w:rFonts w:ascii="Arial" w:hAnsi="Arial" w:cs="Arial"/>
        </w:rPr>
        <w:t xml:space="preserve">Koziola (polský státní příslušník) chatu. </w:t>
      </w:r>
    </w:p>
    <w:p w14:paraId="63F443C1" w14:textId="1F45C34D" w:rsidR="0028685E" w:rsidRDefault="00785C0E" w:rsidP="0060093D">
      <w:pPr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Kvalifikujte situaci</w:t>
      </w:r>
      <w:r w:rsidR="0028685E">
        <w:rPr>
          <w:rFonts w:ascii="Arial" w:hAnsi="Arial" w:cs="Arial"/>
        </w:rPr>
        <w:t xml:space="preserve">, kdy se </w:t>
      </w:r>
      <w:r>
        <w:rPr>
          <w:rFonts w:ascii="Arial" w:hAnsi="Arial" w:cs="Arial"/>
        </w:rPr>
        <w:t>objeví se problémy se zápisem vlastnického práva do katastru nemovitostí</w:t>
      </w:r>
      <w:r w:rsidR="0028685E">
        <w:rPr>
          <w:rFonts w:ascii="Arial" w:hAnsi="Arial" w:cs="Arial"/>
        </w:rPr>
        <w:t>.</w:t>
      </w:r>
    </w:p>
    <w:p w14:paraId="6560B6B1" w14:textId="7A323926" w:rsidR="0028685E" w:rsidRDefault="0028685E" w:rsidP="0060093D">
      <w:pPr>
        <w:numPr>
          <w:ilvl w:val="1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Kvalifikujte situaci, kdy se po třech měsících užívání začnou projevovat skryté vady nemovitosti (zatékání ze střechy, nedostatečná izolace proti vlhku).</w:t>
      </w:r>
    </w:p>
    <w:p w14:paraId="69EEE451" w14:textId="7D460494" w:rsidR="004B526E" w:rsidRDefault="00AC3264" w:rsidP="0060093D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019D2">
        <w:rPr>
          <w:rFonts w:ascii="Arial" w:hAnsi="Arial" w:cs="Arial"/>
        </w:rPr>
        <w:t xml:space="preserve">V </w:t>
      </w:r>
      <w:r w:rsidR="006F2371" w:rsidRPr="000019D2">
        <w:rPr>
          <w:rFonts w:ascii="Arial" w:hAnsi="Arial" w:cs="Arial"/>
        </w:rPr>
        <w:t>květnu 202</w:t>
      </w:r>
      <w:r w:rsidR="000019D2" w:rsidRPr="000019D2">
        <w:rPr>
          <w:rFonts w:ascii="Arial" w:hAnsi="Arial" w:cs="Arial"/>
        </w:rPr>
        <w:t>2</w:t>
      </w:r>
      <w:r w:rsidRPr="000019D2">
        <w:rPr>
          <w:rFonts w:ascii="Arial" w:hAnsi="Arial" w:cs="Arial"/>
        </w:rPr>
        <w:t xml:space="preserve"> podali </w:t>
      </w:r>
      <w:r w:rsidR="0028685E">
        <w:rPr>
          <w:rFonts w:ascii="Arial" w:hAnsi="Arial" w:cs="Arial"/>
        </w:rPr>
        <w:t xml:space="preserve">pánové Krol a Horáček </w:t>
      </w:r>
      <w:r w:rsidRPr="000019D2">
        <w:rPr>
          <w:rFonts w:ascii="Arial" w:hAnsi="Arial" w:cs="Arial"/>
        </w:rPr>
        <w:t>návrh na rozvod manželství</w:t>
      </w:r>
      <w:r w:rsidR="0028685E">
        <w:rPr>
          <w:rFonts w:ascii="Arial" w:hAnsi="Arial" w:cs="Arial"/>
        </w:rPr>
        <w:t xml:space="preserve"> k českému soudu</w:t>
      </w:r>
      <w:r w:rsidRPr="000019D2">
        <w:rPr>
          <w:rFonts w:ascii="Arial" w:hAnsi="Arial" w:cs="Arial"/>
        </w:rPr>
        <w:t>.</w:t>
      </w:r>
      <w:r w:rsidR="000019D2" w:rsidRPr="000019D2">
        <w:rPr>
          <w:rFonts w:ascii="Arial" w:hAnsi="Arial" w:cs="Arial"/>
        </w:rPr>
        <w:t xml:space="preserve"> </w:t>
      </w:r>
      <w:r w:rsidR="004B526E" w:rsidRPr="000019D2">
        <w:rPr>
          <w:rFonts w:ascii="Arial" w:hAnsi="Arial" w:cs="Arial"/>
        </w:rPr>
        <w:t>Kvalifikujte situaci</w:t>
      </w:r>
      <w:r w:rsidR="0060093D">
        <w:rPr>
          <w:rFonts w:ascii="Arial" w:hAnsi="Arial" w:cs="Arial"/>
        </w:rPr>
        <w:t xml:space="preserve"> a uveďte, jak by český soud postupoval. Změnila by se situace, pokud by byl návrh na rozvod manželství podán k nizozemskému soudu?</w:t>
      </w:r>
    </w:p>
    <w:p w14:paraId="35B42B4F" w14:textId="77777777" w:rsidR="008C00B7" w:rsidRDefault="008C00B7" w:rsidP="008C00B7">
      <w:pPr>
        <w:spacing w:after="0"/>
        <w:jc w:val="both"/>
        <w:rPr>
          <w:rFonts w:ascii="Arial" w:hAnsi="Arial" w:cs="Arial"/>
        </w:rPr>
      </w:pPr>
    </w:p>
    <w:p w14:paraId="549EF5E8" w14:textId="7AB983B9" w:rsidR="008C00B7" w:rsidRDefault="008C00B7" w:rsidP="008C00B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8C00B7">
        <w:rPr>
          <w:rFonts w:ascii="Arial" w:hAnsi="Arial" w:cs="Arial"/>
          <w:b/>
          <w:bCs/>
          <w:u w:val="single"/>
        </w:rPr>
        <w:t xml:space="preserve">Téma 2 – </w:t>
      </w:r>
      <w:r w:rsidR="00BB2749">
        <w:rPr>
          <w:rFonts w:ascii="Arial" w:hAnsi="Arial" w:cs="Arial"/>
          <w:b/>
          <w:bCs/>
          <w:u w:val="single"/>
        </w:rPr>
        <w:t>Výhrada veřejného pořádku a omezení z ní vyplývající</w:t>
      </w:r>
    </w:p>
    <w:p w14:paraId="28365C0F" w14:textId="77777777" w:rsidR="008C00B7" w:rsidRDefault="008C00B7" w:rsidP="008C00B7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1C4FDC81" w14:textId="6F5853D4" w:rsidR="008C00B7" w:rsidRDefault="008C00B7" w:rsidP="008C00B7">
      <w:pPr>
        <w:spacing w:after="0"/>
        <w:jc w:val="both"/>
        <w:rPr>
          <w:rFonts w:ascii="Arial" w:hAnsi="Arial" w:cs="Arial"/>
          <w:b/>
          <w:bCs/>
        </w:rPr>
      </w:pPr>
      <w:r w:rsidRPr="008C00B7">
        <w:rPr>
          <w:rFonts w:ascii="Arial" w:hAnsi="Arial" w:cs="Arial"/>
          <w:b/>
          <w:bCs/>
        </w:rPr>
        <w:t>Teoretické otázky:</w:t>
      </w:r>
    </w:p>
    <w:p w14:paraId="11A02769" w14:textId="77777777" w:rsidR="007B21A6" w:rsidRDefault="007B21A6" w:rsidP="008C00B7">
      <w:pPr>
        <w:spacing w:after="0"/>
        <w:jc w:val="both"/>
        <w:rPr>
          <w:rFonts w:ascii="Arial" w:hAnsi="Arial" w:cs="Arial"/>
          <w:b/>
          <w:bCs/>
        </w:rPr>
      </w:pPr>
    </w:p>
    <w:p w14:paraId="150E5638" w14:textId="33D8060C" w:rsidR="007B21A6" w:rsidRPr="007B21A6" w:rsidRDefault="007B21A6" w:rsidP="004F583F">
      <w:pPr>
        <w:numPr>
          <w:ilvl w:val="0"/>
          <w:numId w:val="18"/>
        </w:numPr>
        <w:spacing w:after="0"/>
        <w:ind w:left="357" w:hanging="357"/>
        <w:jc w:val="both"/>
        <w:rPr>
          <w:rFonts w:ascii="Arial" w:hAnsi="Arial" w:cs="Arial"/>
        </w:rPr>
      </w:pPr>
      <w:r w:rsidRPr="007B21A6">
        <w:rPr>
          <w:rFonts w:ascii="Arial" w:hAnsi="Arial" w:cs="Arial"/>
        </w:rPr>
        <w:t xml:space="preserve">Co je to veřejný pořádek? </w:t>
      </w:r>
      <w:r>
        <w:rPr>
          <w:rFonts w:ascii="Arial" w:hAnsi="Arial" w:cs="Arial"/>
        </w:rPr>
        <w:t>V</w:t>
      </w:r>
      <w:r w:rsidRPr="007B21A6">
        <w:rPr>
          <w:rFonts w:ascii="Arial" w:hAnsi="Arial" w:cs="Arial"/>
        </w:rPr>
        <w:t> čem spočívá rozdíl mezi aktivním a pasivním veřejným pořádkem?</w:t>
      </w:r>
    </w:p>
    <w:p w14:paraId="5AAEAE95" w14:textId="0400C7B1" w:rsidR="007B21A6" w:rsidRPr="007B21A6" w:rsidRDefault="007B21A6" w:rsidP="00582EF9">
      <w:pPr>
        <w:numPr>
          <w:ilvl w:val="0"/>
          <w:numId w:val="18"/>
        </w:numPr>
        <w:tabs>
          <w:tab w:val="clear" w:pos="360"/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 w:rsidRPr="007B21A6">
        <w:rPr>
          <w:rFonts w:ascii="Arial" w:hAnsi="Arial" w:cs="Arial"/>
        </w:rPr>
        <w:t>K čemu slouží institut výhrady veřejného pořádku? Kde je výhrada veřejného pořádku upravena?</w:t>
      </w:r>
    </w:p>
    <w:p w14:paraId="2B3E3307" w14:textId="3CDB124B" w:rsidR="007B21A6" w:rsidRDefault="007B21A6" w:rsidP="005250F9">
      <w:pPr>
        <w:numPr>
          <w:ilvl w:val="0"/>
          <w:numId w:val="18"/>
        </w:numPr>
        <w:tabs>
          <w:tab w:val="clear" w:pos="360"/>
          <w:tab w:val="num" w:pos="720"/>
        </w:tabs>
        <w:spacing w:after="0"/>
        <w:ind w:left="357" w:hanging="357"/>
        <w:jc w:val="both"/>
        <w:rPr>
          <w:rFonts w:ascii="Arial" w:hAnsi="Arial" w:cs="Arial"/>
        </w:rPr>
      </w:pPr>
      <w:r w:rsidRPr="007B21A6">
        <w:rPr>
          <w:rFonts w:ascii="Arial" w:hAnsi="Arial" w:cs="Arial"/>
        </w:rPr>
        <w:t>Jaké jsou podmínky použití výhrady veřejného pořádku? Jaký je důsledek uplatnění výhrady veřejného pořádku?</w:t>
      </w:r>
    </w:p>
    <w:p w14:paraId="49B6E765" w14:textId="77777777" w:rsidR="007B21A6" w:rsidRDefault="007B21A6" w:rsidP="007B21A6">
      <w:pPr>
        <w:tabs>
          <w:tab w:val="num" w:pos="720"/>
        </w:tabs>
        <w:spacing w:after="0"/>
        <w:jc w:val="both"/>
        <w:rPr>
          <w:rFonts w:ascii="Arial" w:hAnsi="Arial" w:cs="Arial"/>
        </w:rPr>
      </w:pPr>
    </w:p>
    <w:p w14:paraId="5A22BD20" w14:textId="774334E5" w:rsidR="007B21A6" w:rsidRPr="007B21A6" w:rsidRDefault="007B21A6" w:rsidP="007B21A6">
      <w:pPr>
        <w:tabs>
          <w:tab w:val="num" w:pos="720"/>
        </w:tabs>
        <w:spacing w:after="0"/>
        <w:jc w:val="both"/>
        <w:rPr>
          <w:rFonts w:ascii="Arial" w:hAnsi="Arial" w:cs="Arial"/>
          <w:b/>
          <w:bCs/>
        </w:rPr>
      </w:pPr>
      <w:r w:rsidRPr="007B21A6">
        <w:rPr>
          <w:rFonts w:ascii="Arial" w:hAnsi="Arial" w:cs="Arial"/>
          <w:b/>
          <w:bCs/>
        </w:rPr>
        <w:t>Příklady:</w:t>
      </w:r>
    </w:p>
    <w:p w14:paraId="03CF9651" w14:textId="77777777" w:rsidR="007B21A6" w:rsidRDefault="007B21A6" w:rsidP="007B21A6">
      <w:pPr>
        <w:tabs>
          <w:tab w:val="num" w:pos="720"/>
        </w:tabs>
        <w:spacing w:after="0"/>
        <w:jc w:val="both"/>
        <w:rPr>
          <w:rFonts w:ascii="Arial" w:hAnsi="Arial" w:cs="Arial"/>
        </w:rPr>
      </w:pPr>
    </w:p>
    <w:p w14:paraId="0A09DB1D" w14:textId="75B3D11D" w:rsidR="007B21A6" w:rsidRDefault="00774597" w:rsidP="00774597">
      <w:pPr>
        <w:pStyle w:val="Odstavecseseznamem"/>
        <w:numPr>
          <w:ilvl w:val="0"/>
          <w:numId w:val="19"/>
        </w:numPr>
        <w:tabs>
          <w:tab w:val="num" w:pos="7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Posuďte situaci. Podnikatel ze Saudské Arábie, který jezdí pravidelně pracovně do Brna, si zde našel českou přítelkyni. Po roce známosti se nesezdanému páru narodí dítě. Otec za rodinou pravidelně dojíždí. V Brně koupil byt, ve kterém bydlí matka s dítětem, v české bance zřídil účet, ke kterému má oprávnění a podpisová práva jeho přítelkyně. Otec dítěte </w:t>
      </w:r>
      <w:r>
        <w:rPr>
          <w:rFonts w:ascii="Arial" w:hAnsi="Arial" w:cs="Arial"/>
        </w:rPr>
        <w:lastRenderedPageBreak/>
        <w:t>zemře. Před českým soudem je na základě Nařízení o dědictví zahájeno řízení. Český soud zjistí, že dědické právní poměry se řídí právem Saudské Arábie. Dle použitelného práva nemůže být nezletilé dítě dědicem, neboť je nemanželské. Jak se k této situaci postaví český soud?</w:t>
      </w:r>
    </w:p>
    <w:p w14:paraId="5B4595C0" w14:textId="05A58F6F" w:rsidR="00774597" w:rsidRDefault="00774597" w:rsidP="00774597">
      <w:pPr>
        <w:pStyle w:val="Odstavecseseznamem"/>
        <w:numPr>
          <w:ilvl w:val="0"/>
          <w:numId w:val="19"/>
        </w:numPr>
        <w:tabs>
          <w:tab w:val="num" w:pos="7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Posuďte situaci. Soud ve státě Arizona (USA) vydal rozhodnutí ve sporu mezi společností A se sídlem a místem podnikání v ČR (žalovaný) a společností B se sídlem a místem podnikání v Arizoně (žalobce), kterým přikázal českému povinnému zaplatit náhradu škody a tzv. </w:t>
      </w:r>
      <w:r w:rsidRPr="00A63A9D">
        <w:rPr>
          <w:rFonts w:ascii="Arial" w:hAnsi="Arial" w:cs="Arial"/>
          <w:i/>
          <w:iCs/>
        </w:rPr>
        <w:t>punitive damages</w:t>
      </w:r>
      <w:r>
        <w:rPr>
          <w:rFonts w:ascii="Arial" w:hAnsi="Arial" w:cs="Arial"/>
        </w:rPr>
        <w:t xml:space="preserve"> ve výši 20.000.000,- USD. Poraď české společnosti, jak by se mohla proti rozhodnutí arizonského soudu bránit v</w:t>
      </w:r>
      <w:r w:rsidR="00A63A9D">
        <w:rPr>
          <w:rFonts w:ascii="Arial" w:hAnsi="Arial" w:cs="Arial"/>
        </w:rPr>
        <w:t> </w:t>
      </w:r>
      <w:r>
        <w:rPr>
          <w:rFonts w:ascii="Arial" w:hAnsi="Arial" w:cs="Arial"/>
        </w:rPr>
        <w:t>ČR</w:t>
      </w:r>
      <w:r w:rsidR="00A63A9D">
        <w:rPr>
          <w:rFonts w:ascii="Arial" w:hAnsi="Arial" w:cs="Arial"/>
        </w:rPr>
        <w:t>, pokud by bylo proti ní uplatněno.</w:t>
      </w:r>
    </w:p>
    <w:p w14:paraId="36D9AA07" w14:textId="129B031B" w:rsidR="00774597" w:rsidRPr="00774597" w:rsidRDefault="00774597" w:rsidP="00774597">
      <w:pPr>
        <w:pStyle w:val="Odstavecseseznamem"/>
        <w:numPr>
          <w:ilvl w:val="0"/>
          <w:numId w:val="19"/>
        </w:numPr>
        <w:tabs>
          <w:tab w:val="num" w:pos="7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Posuď situaci. V České republice je podán návrh na uznání </w:t>
      </w:r>
      <w:r w:rsidR="00982B2F">
        <w:rPr>
          <w:rFonts w:ascii="Arial" w:hAnsi="Arial" w:cs="Arial"/>
        </w:rPr>
        <w:t>rozhodnutí kalifornského soudu o určení rodičovství stejnopohlavního páru (dva muži). Dítě se narodilo náhradní matce v USA. Kalifornský soud následně prohlásil, že v souladu se smlouvou o náhradním mateřství není náhradní matka právním rodičem a rodiči jsou oba otcové. Obě osoby byly jako rodiče zapsány do rodného listu dítěte vydaného podle práva státu Kalifornie. Vzhledem k tomu, že jeden z rodičů je český státní občan, do ČR pravidelně jezdí a mají zde rodinné vazby, požádali o vystavení českého rodného listu a zápisu obou rodičů do české matriky.</w:t>
      </w:r>
      <w:r w:rsidR="00982B2F">
        <w:rPr>
          <w:rStyle w:val="Znakapoznpodarou"/>
          <w:rFonts w:ascii="Arial" w:hAnsi="Arial" w:cs="Arial"/>
        </w:rPr>
        <w:footnoteReference w:id="3"/>
      </w:r>
    </w:p>
    <w:p w14:paraId="6EC63FF3" w14:textId="77777777" w:rsidR="007B21A6" w:rsidRDefault="007B21A6" w:rsidP="008C00B7">
      <w:pPr>
        <w:spacing w:after="0"/>
        <w:jc w:val="both"/>
        <w:rPr>
          <w:rFonts w:ascii="Arial" w:hAnsi="Arial" w:cs="Arial"/>
          <w:b/>
          <w:bCs/>
        </w:rPr>
      </w:pPr>
    </w:p>
    <w:p w14:paraId="7DC84D49" w14:textId="77777777" w:rsidR="00BB2749" w:rsidRDefault="00BB2749" w:rsidP="00BB2749">
      <w:pPr>
        <w:spacing w:after="0"/>
        <w:jc w:val="both"/>
        <w:rPr>
          <w:rFonts w:ascii="Arial" w:hAnsi="Arial" w:cs="Arial"/>
          <w:u w:val="single"/>
        </w:rPr>
      </w:pPr>
    </w:p>
    <w:p w14:paraId="69C5BE07" w14:textId="2DEDE8A6" w:rsidR="00BB2749" w:rsidRPr="00BB2749" w:rsidRDefault="00BB2749" w:rsidP="00BB2749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BB2749">
        <w:rPr>
          <w:rFonts w:ascii="Arial" w:hAnsi="Arial" w:cs="Arial"/>
          <w:b/>
          <w:bCs/>
          <w:u w:val="single"/>
        </w:rPr>
        <w:t>Téma 3 – Právní jednání a osobní statut</w:t>
      </w:r>
    </w:p>
    <w:p w14:paraId="5F15998D" w14:textId="77777777" w:rsidR="00CC713B" w:rsidRDefault="00CC713B" w:rsidP="00BB2749">
      <w:pPr>
        <w:spacing w:after="0"/>
        <w:jc w:val="both"/>
        <w:rPr>
          <w:rFonts w:ascii="Arial" w:hAnsi="Arial" w:cs="Arial"/>
        </w:rPr>
      </w:pPr>
    </w:p>
    <w:p w14:paraId="6E59E8D0" w14:textId="0C941D45" w:rsidR="00BB2749" w:rsidRDefault="00BB2749" w:rsidP="00BB27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Teoretické otázky:</w:t>
      </w:r>
    </w:p>
    <w:p w14:paraId="615884CD" w14:textId="77777777" w:rsidR="00BB2749" w:rsidRDefault="00BB2749" w:rsidP="00BB2749">
      <w:pPr>
        <w:spacing w:after="0"/>
        <w:jc w:val="both"/>
        <w:rPr>
          <w:rFonts w:ascii="Arial" w:hAnsi="Arial" w:cs="Arial"/>
        </w:rPr>
      </w:pPr>
    </w:p>
    <w:p w14:paraId="5B2ACC3A" w14:textId="6494B92D" w:rsidR="00BB2749" w:rsidRDefault="00BB2749" w:rsidP="00BB2749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55BC9">
        <w:rPr>
          <w:rFonts w:ascii="Arial" w:hAnsi="Arial" w:cs="Arial"/>
        </w:rPr>
        <w:t>Kdo může být subjektem soukromoprávních poměrů s mezinárodním prvkem</w:t>
      </w:r>
      <w:r>
        <w:rPr>
          <w:rFonts w:ascii="Arial" w:hAnsi="Arial" w:cs="Arial"/>
        </w:rPr>
        <w:t xml:space="preserve"> a co je obsahem osobního statutu takového subjektu</w:t>
      </w:r>
      <w:r w:rsidRPr="00D55BC9">
        <w:rPr>
          <w:rFonts w:ascii="Arial" w:hAnsi="Arial" w:cs="Arial"/>
        </w:rPr>
        <w:t>?</w:t>
      </w:r>
    </w:p>
    <w:p w14:paraId="59031A20" w14:textId="0A7C5879" w:rsidR="00BB2749" w:rsidRDefault="00BB2749" w:rsidP="00BB2749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55BC9">
        <w:rPr>
          <w:rFonts w:ascii="Arial" w:hAnsi="Arial" w:cs="Arial"/>
        </w:rPr>
        <w:t>Kde jsou obsaženy kolizní normy pro určení osobního statutu? Jaký hraniční určovatel se používá pro fyzické osoby a jaký pro osoby právnické</w:t>
      </w:r>
      <w:r>
        <w:rPr>
          <w:rFonts w:ascii="Arial" w:hAnsi="Arial" w:cs="Arial"/>
        </w:rPr>
        <w:t xml:space="preserve"> (jaký princip vyjadřují)</w:t>
      </w:r>
      <w:r w:rsidRPr="00D55BC9">
        <w:rPr>
          <w:rFonts w:ascii="Arial" w:hAnsi="Arial" w:cs="Arial"/>
        </w:rPr>
        <w:t>?</w:t>
      </w:r>
    </w:p>
    <w:p w14:paraId="1F5E4E87" w14:textId="335E008D" w:rsidR="00BB2749" w:rsidRDefault="00BB2749" w:rsidP="00BB2749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Vymez pojem obvyklý pobyt fyzické osoby pro účely kolizní a procesní úpravy.</w:t>
      </w:r>
    </w:p>
    <w:p w14:paraId="2DD72221" w14:textId="53E82FD8" w:rsidR="007B21A6" w:rsidRPr="00BB2749" w:rsidRDefault="007B21A6" w:rsidP="00BB2749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Kde byste hledali kolizní úpravu smluvního a zákonného zastoupení z pohledu českého práva?</w:t>
      </w:r>
    </w:p>
    <w:p w14:paraId="01FEAD2C" w14:textId="77777777" w:rsidR="00BB2749" w:rsidRPr="007B21A6" w:rsidRDefault="00BB2749" w:rsidP="00BB2749">
      <w:pPr>
        <w:spacing w:after="0"/>
        <w:jc w:val="both"/>
        <w:rPr>
          <w:rFonts w:ascii="Arial" w:hAnsi="Arial" w:cs="Arial"/>
          <w:b/>
          <w:bCs/>
        </w:rPr>
      </w:pPr>
    </w:p>
    <w:p w14:paraId="2385E67C" w14:textId="125EA26B" w:rsidR="00BB2749" w:rsidRPr="007B21A6" w:rsidRDefault="00BB2749" w:rsidP="00BB2749">
      <w:pPr>
        <w:spacing w:after="0"/>
        <w:jc w:val="both"/>
        <w:rPr>
          <w:rFonts w:ascii="Arial" w:hAnsi="Arial" w:cs="Arial"/>
          <w:b/>
          <w:bCs/>
        </w:rPr>
      </w:pPr>
      <w:r w:rsidRPr="007B21A6">
        <w:rPr>
          <w:rFonts w:ascii="Arial" w:hAnsi="Arial" w:cs="Arial"/>
          <w:b/>
          <w:bCs/>
        </w:rPr>
        <w:t>Příklady:</w:t>
      </w:r>
    </w:p>
    <w:p w14:paraId="49890885" w14:textId="77777777" w:rsidR="007B21A6" w:rsidRDefault="007B21A6" w:rsidP="00BB2749">
      <w:pPr>
        <w:spacing w:after="0"/>
        <w:jc w:val="both"/>
        <w:rPr>
          <w:rFonts w:ascii="Arial" w:hAnsi="Arial" w:cs="Arial"/>
        </w:rPr>
      </w:pPr>
    </w:p>
    <w:p w14:paraId="5E62DB4C" w14:textId="77777777" w:rsidR="007B21A6" w:rsidRPr="007B21A6" w:rsidRDefault="007B21A6" w:rsidP="007B21A6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7B21A6">
        <w:rPr>
          <w:rFonts w:ascii="Arial" w:hAnsi="Arial" w:cs="Arial"/>
        </w:rPr>
        <w:t xml:space="preserve">Německá společnost SIEGENIA (založená dle kyperského práva, sídlo na Kypru, ústředí v Saarbrücken, Německo, společníky jsou právnické osoby se sídlem v Německu a Polsku) je výrobcem a prodejcem okenních rámů, kování a dalšího příslušenství. V lednu 2022 uzavřela smlouvu na dodávku okenních rámů s příslušenstvím se společností GG (založena dle lucemburského práva, ústředí v ČR), která je stavebníkem studentského domu a kolejí v širším centru Prahy. </w:t>
      </w:r>
    </w:p>
    <w:p w14:paraId="73740693" w14:textId="37088F01" w:rsidR="007B21A6" w:rsidRPr="007B21A6" w:rsidRDefault="007B21A6" w:rsidP="007B21A6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</w:rPr>
      </w:pPr>
      <w:r w:rsidRPr="007B21A6">
        <w:rPr>
          <w:rFonts w:ascii="Arial" w:hAnsi="Arial" w:cs="Arial"/>
        </w:rPr>
        <w:t>V případě, kdy se stane sporným, kdo je statuárním orgánem společností SIEGENIA a GG, urči právo rozhodné pro tuto otázku. Postupuj dle norem českého mezinárodního práva soukromého.</w:t>
      </w:r>
    </w:p>
    <w:p w14:paraId="5DDD7257" w14:textId="77777777" w:rsidR="007B21A6" w:rsidRPr="007B21A6" w:rsidRDefault="007B21A6" w:rsidP="007B21A6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B21A6">
        <w:rPr>
          <w:rFonts w:ascii="Arial" w:hAnsi="Arial" w:cs="Arial"/>
        </w:rPr>
        <w:t xml:space="preserve">Pan Tomáš (český státní příslušník s obvyklým bydlištěm v Aši) se rozhodl koupit byt ve městě Selb (Německo), který prodávala společnost Wohnungen Selb, GmbH (sídlo a místo podnikání v Selbu, Německo). Součástí smlouvy, kterou strany uzavřely v lednu 2020, bylo i toto ujednání: </w:t>
      </w:r>
      <w:r w:rsidRPr="007B21A6">
        <w:rPr>
          <w:rFonts w:ascii="Arial" w:hAnsi="Arial" w:cs="Arial"/>
          <w:i/>
        </w:rPr>
        <w:t>„Tato smlouva se řídí německým právem.“</w:t>
      </w:r>
    </w:p>
    <w:p w14:paraId="104A67E1" w14:textId="12C5C91E" w:rsidR="007B21A6" w:rsidRDefault="007B21A6" w:rsidP="007B21A6">
      <w:pPr>
        <w:numPr>
          <w:ilvl w:val="1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B21A6">
        <w:rPr>
          <w:rFonts w:ascii="Arial" w:hAnsi="Arial" w:cs="Arial"/>
        </w:rPr>
        <w:t xml:space="preserve">Určete právo rozhodné pro posouzení způsobilosti společnosti Wohnungen Selb a Tomáše k uzavření smlouvy (tuto otázku řešte pohledem českého soudu). </w:t>
      </w:r>
    </w:p>
    <w:p w14:paraId="2C1F726D" w14:textId="676523A0" w:rsidR="00C816EC" w:rsidRDefault="00C816EC" w:rsidP="00C816EC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C816EC">
        <w:rPr>
          <w:rFonts w:ascii="Arial" w:hAnsi="Arial" w:cs="Arial"/>
        </w:rPr>
        <w:t xml:space="preserve">Pan Varga s obvyklým pobytem na Slovensku jako zmocnitel uzavře dohodu o zastoupení s panem Beránkem s obvyklým pobytem v České republice (zmocněnec). Pan Beránek uzavře jménem pana Vargy v České republice smlouvu s panem Gruberem s obvyklým pobytem v Rakousku. Součástí této smlouvy je volba rakouského práva. </w:t>
      </w:r>
    </w:p>
    <w:p w14:paraId="2E14AA83" w14:textId="2E3E6160" w:rsidR="00C816EC" w:rsidRDefault="00C816EC" w:rsidP="00C816EC">
      <w:pPr>
        <w:pStyle w:val="Odstavecseseznamem"/>
        <w:numPr>
          <w:ilvl w:val="1"/>
          <w:numId w:val="17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Dle jakého práva posoudíte, zda jednání pana Beránka zavazuje pana Vargu?</w:t>
      </w:r>
    </w:p>
    <w:p w14:paraId="2A2A7140" w14:textId="0EC43DFB" w:rsidR="00C816EC" w:rsidRPr="00C816EC" w:rsidRDefault="00C816EC" w:rsidP="00C816EC">
      <w:pPr>
        <w:pStyle w:val="Odstavecseseznamem"/>
        <w:numPr>
          <w:ilvl w:val="1"/>
          <w:numId w:val="17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Dle jakého práva byste posoudili formu plné moci?</w:t>
      </w:r>
    </w:p>
    <w:p w14:paraId="48C1490F" w14:textId="2D30CFA1" w:rsidR="00C816EC" w:rsidRDefault="00C816EC" w:rsidP="00C816EC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C816EC">
        <w:rPr>
          <w:rFonts w:ascii="Arial" w:hAnsi="Arial" w:cs="Arial"/>
        </w:rPr>
        <w:t>Společnost ABC (sídlo v České republice) jako kupující uzavřela smlouvu o koupi tří nákladních aut se společností XYZ (sídlo v Rakousku). Společnost XYZ auta dodala, společnost ABC nezaplatila kupní cenu. Společnost XYZ podala žalobu u českého soudu. Společnost ABC v době zahájení řízení „nemá nikoho, kdo by za ni jednal“, soud jí jmenuje opatrovníka</w:t>
      </w:r>
      <w:r>
        <w:rPr>
          <w:rFonts w:ascii="Arial" w:hAnsi="Arial" w:cs="Arial"/>
        </w:rPr>
        <w:t xml:space="preserve">. </w:t>
      </w:r>
    </w:p>
    <w:p w14:paraId="449A1EA4" w14:textId="3A1420D8" w:rsidR="00C816EC" w:rsidRPr="00C816EC" w:rsidRDefault="00C816EC" w:rsidP="00C816EC">
      <w:pPr>
        <w:pStyle w:val="Odstavecseseznamem"/>
        <w:numPr>
          <w:ilvl w:val="1"/>
          <w:numId w:val="17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Určete právo rozhodné pro opatrovnictví. </w:t>
      </w:r>
    </w:p>
    <w:p w14:paraId="18351FFA" w14:textId="77777777" w:rsidR="007B21A6" w:rsidRPr="007B21A6" w:rsidRDefault="007B21A6" w:rsidP="007B21A6">
      <w:pPr>
        <w:pStyle w:val="Odstavecseseznamem"/>
        <w:spacing w:after="0"/>
        <w:jc w:val="both"/>
        <w:rPr>
          <w:rFonts w:ascii="Arial" w:hAnsi="Arial" w:cs="Arial"/>
        </w:rPr>
      </w:pPr>
    </w:p>
    <w:p w14:paraId="7D709223" w14:textId="77777777" w:rsidR="00BB2749" w:rsidRPr="007B21A6" w:rsidRDefault="00BB2749" w:rsidP="00BB2749">
      <w:pPr>
        <w:spacing w:after="0"/>
        <w:jc w:val="both"/>
        <w:rPr>
          <w:rFonts w:ascii="Arial" w:hAnsi="Arial" w:cs="Arial"/>
        </w:rPr>
      </w:pPr>
    </w:p>
    <w:p w14:paraId="7E974917" w14:textId="77777777" w:rsidR="00BB2749" w:rsidRPr="00BB2749" w:rsidRDefault="00BB2749" w:rsidP="00BB2749">
      <w:pPr>
        <w:spacing w:after="0"/>
        <w:jc w:val="both"/>
        <w:rPr>
          <w:rFonts w:ascii="Arial" w:hAnsi="Arial" w:cs="Arial"/>
        </w:rPr>
      </w:pPr>
    </w:p>
    <w:sectPr w:rsidR="00BB2749" w:rsidRPr="00BB2749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9DBB" w14:textId="77777777" w:rsidR="00567752" w:rsidRDefault="00567752">
      <w:pPr>
        <w:spacing w:after="0" w:line="240" w:lineRule="auto"/>
      </w:pPr>
      <w:r>
        <w:separator/>
      </w:r>
    </w:p>
  </w:endnote>
  <w:endnote w:type="continuationSeparator" w:id="0">
    <w:p w14:paraId="5A064B3C" w14:textId="77777777" w:rsidR="00567752" w:rsidRDefault="0056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774F" w14:textId="653D8797" w:rsidR="004A3FA5" w:rsidRPr="00F53B0F" w:rsidRDefault="00003D8F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4A3FA5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B6C7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4A3FA5" w:rsidRPr="00F53B0F">
      <w:rPr>
        <w:rStyle w:val="slovnstran"/>
      </w:rPr>
      <w:t>/</w:t>
    </w:r>
    <w:fldSimple w:instr=" SECTIONPAGES   \* MERGEFORMAT ">
      <w:r w:rsidR="004775F3" w:rsidRPr="004775F3">
        <w:rPr>
          <w:rStyle w:val="slovnstran"/>
          <w:noProof/>
        </w:rPr>
        <w:t>4</w:t>
      </w:r>
    </w:fldSimple>
    <w:r w:rsidR="004A3FA5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B735" w14:textId="6E88B659" w:rsidR="004A3FA5" w:rsidRDefault="00003D8F" w:rsidP="00FA10BD">
    <w:pPr>
      <w:pStyle w:val="Zpatsslovnmstrnky"/>
    </w:pPr>
    <w:r w:rsidRPr="00F53B0F">
      <w:rPr>
        <w:rStyle w:val="slovnstran"/>
      </w:rPr>
      <w:fldChar w:fldCharType="begin"/>
    </w:r>
    <w:r w:rsidR="004A3FA5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B6C77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4A3FA5" w:rsidRPr="00F53B0F">
      <w:rPr>
        <w:rStyle w:val="slovnstran"/>
      </w:rPr>
      <w:t>/</w:t>
    </w:r>
    <w:fldSimple w:instr=" SECTIONPAGES   \* MERGEFORMAT ">
      <w:r w:rsidR="004775F3" w:rsidRPr="004775F3">
        <w:rPr>
          <w:rStyle w:val="slovnstran"/>
          <w:noProof/>
        </w:rPr>
        <w:t>4</w:t>
      </w:r>
    </w:fldSimple>
    <w:r w:rsidR="004A3F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D7D6" w14:textId="77777777" w:rsidR="00567752" w:rsidRDefault="00567752">
      <w:pPr>
        <w:spacing w:after="0" w:line="240" w:lineRule="auto"/>
      </w:pPr>
      <w:r>
        <w:separator/>
      </w:r>
    </w:p>
  </w:footnote>
  <w:footnote w:type="continuationSeparator" w:id="0">
    <w:p w14:paraId="7407C3C3" w14:textId="77777777" w:rsidR="00567752" w:rsidRDefault="00567752">
      <w:pPr>
        <w:spacing w:after="0" w:line="240" w:lineRule="auto"/>
      </w:pPr>
      <w:r>
        <w:continuationSeparator/>
      </w:r>
    </w:p>
  </w:footnote>
  <w:footnote w:id="1">
    <w:p w14:paraId="4F0CD170" w14:textId="46E94272" w:rsidR="00FB67EC" w:rsidRPr="00982B2F" w:rsidRDefault="00FB67EC" w:rsidP="0033021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82B2F">
        <w:rPr>
          <w:rStyle w:val="Znakapoznpodarou"/>
          <w:rFonts w:ascii="Arial" w:hAnsi="Arial" w:cs="Arial"/>
          <w:sz w:val="18"/>
          <w:szCs w:val="18"/>
        </w:rPr>
        <w:footnoteRef/>
      </w:r>
      <w:r w:rsidRPr="00982B2F">
        <w:rPr>
          <w:rFonts w:ascii="Arial" w:hAnsi="Arial" w:cs="Arial"/>
          <w:sz w:val="18"/>
          <w:szCs w:val="18"/>
        </w:rPr>
        <w:t xml:space="preserve"> Ke studiu judikatury Soudního dvora EU ve věcech příslušnosti můžete podpůrně využít publikaci KYSELOVSKÁ, Tereza a Naděžda ROZEHNALOVÁ. </w:t>
      </w:r>
      <w:r w:rsidRPr="00982B2F">
        <w:rPr>
          <w:rFonts w:ascii="Arial" w:hAnsi="Arial" w:cs="Arial"/>
          <w:i/>
          <w:iCs/>
          <w:sz w:val="18"/>
          <w:szCs w:val="18"/>
        </w:rPr>
        <w:t>Rozhodování Soudního dvora EU ve věcech příslušnosti (analýza rozhodnutí dle Nařízení Brusel Ibis)</w:t>
      </w:r>
      <w:r w:rsidRPr="00982B2F">
        <w:rPr>
          <w:rFonts w:ascii="Arial" w:hAnsi="Arial" w:cs="Arial"/>
          <w:sz w:val="18"/>
          <w:szCs w:val="18"/>
        </w:rPr>
        <w:t>. 1. vyd. Brno: Masarykova univerzita, 2014. 514 s. ISBN 978-80-210-7770-6. Tato publikace je v elektronické podobě volně dostupná na internetových stránkách právnické fakulty.</w:t>
      </w:r>
    </w:p>
  </w:footnote>
  <w:footnote w:id="2">
    <w:p w14:paraId="26B50706" w14:textId="0C7F0522" w:rsidR="0033021D" w:rsidRPr="00982B2F" w:rsidRDefault="0033021D" w:rsidP="0033021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82B2F">
        <w:rPr>
          <w:rStyle w:val="Znakapoznpodarou"/>
          <w:rFonts w:ascii="Arial" w:hAnsi="Arial" w:cs="Arial"/>
          <w:sz w:val="18"/>
          <w:szCs w:val="18"/>
        </w:rPr>
        <w:footnoteRef/>
      </w:r>
      <w:r w:rsidRPr="00982B2F">
        <w:rPr>
          <w:rFonts w:ascii="Arial" w:hAnsi="Arial" w:cs="Arial"/>
          <w:sz w:val="18"/>
          <w:szCs w:val="18"/>
        </w:rPr>
        <w:t xml:space="preserve"> Nápověda. Nastudujte si Rozsudek Soudního dvora (druhého senátu) ze dne 20. ledna 2005 ve věci C-464/01, Johann Gruber proti Bay Wa AG.</w:t>
      </w:r>
    </w:p>
  </w:footnote>
  <w:footnote w:id="3">
    <w:p w14:paraId="574109F2" w14:textId="3AB28AFC" w:rsidR="00982B2F" w:rsidRPr="00982B2F" w:rsidRDefault="00982B2F">
      <w:pPr>
        <w:pStyle w:val="Textpoznpodarou"/>
        <w:rPr>
          <w:rFonts w:ascii="Arial" w:hAnsi="Arial" w:cs="Arial"/>
          <w:sz w:val="18"/>
          <w:szCs w:val="18"/>
        </w:rPr>
      </w:pPr>
      <w:r w:rsidRPr="00982B2F">
        <w:rPr>
          <w:rStyle w:val="Znakapoznpodarou"/>
          <w:rFonts w:ascii="Arial" w:hAnsi="Arial" w:cs="Arial"/>
          <w:sz w:val="18"/>
          <w:szCs w:val="18"/>
        </w:rPr>
        <w:footnoteRef/>
      </w:r>
      <w:r w:rsidRPr="00982B2F">
        <w:rPr>
          <w:rFonts w:ascii="Arial" w:hAnsi="Arial" w:cs="Arial"/>
          <w:sz w:val="18"/>
          <w:szCs w:val="18"/>
        </w:rPr>
        <w:t xml:space="preserve"> Nápověda. Nastudujte si nález Ústavního soudu I. ÚS 3226/16.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12A6" w14:textId="77777777" w:rsidR="004A3FA5" w:rsidRPr="006E7DD3" w:rsidRDefault="004A3FA5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6421D831" wp14:editId="016FC48B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D4EA45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0574A"/>
    <w:multiLevelType w:val="hybridMultilevel"/>
    <w:tmpl w:val="D47C1C50"/>
    <w:lvl w:ilvl="0" w:tplc="8B327D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844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C3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499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4B0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4D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43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8420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4E5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0006"/>
    <w:multiLevelType w:val="hybridMultilevel"/>
    <w:tmpl w:val="084A6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877"/>
    <w:multiLevelType w:val="hybridMultilevel"/>
    <w:tmpl w:val="ED7AEBA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D56C6"/>
    <w:multiLevelType w:val="hybridMultilevel"/>
    <w:tmpl w:val="7F1493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3E2114"/>
    <w:multiLevelType w:val="hybridMultilevel"/>
    <w:tmpl w:val="FE384F4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BD323D"/>
    <w:multiLevelType w:val="multilevel"/>
    <w:tmpl w:val="68A2A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0700540"/>
    <w:multiLevelType w:val="multilevel"/>
    <w:tmpl w:val="A50AE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1902586"/>
    <w:multiLevelType w:val="multilevel"/>
    <w:tmpl w:val="A50AE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4D7390"/>
    <w:multiLevelType w:val="multilevel"/>
    <w:tmpl w:val="2EA6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A1D1F3E"/>
    <w:multiLevelType w:val="multilevel"/>
    <w:tmpl w:val="7DC09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B2434"/>
    <w:multiLevelType w:val="hybridMultilevel"/>
    <w:tmpl w:val="2F0E92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657D31"/>
    <w:multiLevelType w:val="multilevel"/>
    <w:tmpl w:val="8DE64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5515471"/>
    <w:multiLevelType w:val="multilevel"/>
    <w:tmpl w:val="414C6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3367A6"/>
    <w:multiLevelType w:val="hybridMultilevel"/>
    <w:tmpl w:val="EAE4B6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286393"/>
    <w:multiLevelType w:val="hybridMultilevel"/>
    <w:tmpl w:val="EDACA4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393A8B"/>
    <w:multiLevelType w:val="multilevel"/>
    <w:tmpl w:val="936E5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93A6626"/>
    <w:multiLevelType w:val="multilevel"/>
    <w:tmpl w:val="A50AE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CA10699"/>
    <w:multiLevelType w:val="hybridMultilevel"/>
    <w:tmpl w:val="A0DEE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16"/>
  </w:num>
  <w:num w:numId="6">
    <w:abstractNumId w:val="17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3"/>
  </w:num>
  <w:num w:numId="12">
    <w:abstractNumId w:val="14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19"/>
  </w:num>
  <w:num w:numId="18">
    <w:abstractNumId w:val="8"/>
  </w:num>
  <w:num w:numId="19">
    <w:abstractNumId w:val="15"/>
  </w:num>
  <w:num w:numId="2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C8"/>
    <w:rsid w:val="000019D2"/>
    <w:rsid w:val="000028E3"/>
    <w:rsid w:val="00003AEB"/>
    <w:rsid w:val="00003D8F"/>
    <w:rsid w:val="0000519B"/>
    <w:rsid w:val="00015242"/>
    <w:rsid w:val="000218B9"/>
    <w:rsid w:val="00022BDB"/>
    <w:rsid w:val="0003008F"/>
    <w:rsid w:val="000306AF"/>
    <w:rsid w:val="000306D1"/>
    <w:rsid w:val="000314A8"/>
    <w:rsid w:val="0003382D"/>
    <w:rsid w:val="00042835"/>
    <w:rsid w:val="000476CA"/>
    <w:rsid w:val="00060C68"/>
    <w:rsid w:val="00061C0A"/>
    <w:rsid w:val="00063521"/>
    <w:rsid w:val="00063586"/>
    <w:rsid w:val="00067BF9"/>
    <w:rsid w:val="000841C0"/>
    <w:rsid w:val="00086D29"/>
    <w:rsid w:val="00087636"/>
    <w:rsid w:val="0009666E"/>
    <w:rsid w:val="00096B23"/>
    <w:rsid w:val="000A24E3"/>
    <w:rsid w:val="000A3607"/>
    <w:rsid w:val="000A3D36"/>
    <w:rsid w:val="000A5AD7"/>
    <w:rsid w:val="000C18DE"/>
    <w:rsid w:val="000C22D6"/>
    <w:rsid w:val="000C3739"/>
    <w:rsid w:val="000C6547"/>
    <w:rsid w:val="000C755B"/>
    <w:rsid w:val="000D6BAE"/>
    <w:rsid w:val="000E4672"/>
    <w:rsid w:val="000E7504"/>
    <w:rsid w:val="000F5AB9"/>
    <w:rsid w:val="000F6900"/>
    <w:rsid w:val="00102F12"/>
    <w:rsid w:val="00107AD1"/>
    <w:rsid w:val="00110FB2"/>
    <w:rsid w:val="0012425E"/>
    <w:rsid w:val="00124425"/>
    <w:rsid w:val="001300AC"/>
    <w:rsid w:val="00130D8B"/>
    <w:rsid w:val="0013516D"/>
    <w:rsid w:val="00135BAF"/>
    <w:rsid w:val="00136688"/>
    <w:rsid w:val="001374DD"/>
    <w:rsid w:val="00142099"/>
    <w:rsid w:val="00142FC1"/>
    <w:rsid w:val="001479C8"/>
    <w:rsid w:val="00150B9D"/>
    <w:rsid w:val="00152F82"/>
    <w:rsid w:val="00154D7E"/>
    <w:rsid w:val="00157ACD"/>
    <w:rsid w:val="00161B49"/>
    <w:rsid w:val="001636D3"/>
    <w:rsid w:val="00186155"/>
    <w:rsid w:val="00187078"/>
    <w:rsid w:val="0019132E"/>
    <w:rsid w:val="00192A09"/>
    <w:rsid w:val="00193F85"/>
    <w:rsid w:val="00195CBB"/>
    <w:rsid w:val="001A25A5"/>
    <w:rsid w:val="001A3CF1"/>
    <w:rsid w:val="001A7E64"/>
    <w:rsid w:val="001B1BD4"/>
    <w:rsid w:val="001B7010"/>
    <w:rsid w:val="001C209D"/>
    <w:rsid w:val="001C5931"/>
    <w:rsid w:val="001D0B44"/>
    <w:rsid w:val="001E0127"/>
    <w:rsid w:val="001E49EC"/>
    <w:rsid w:val="00204644"/>
    <w:rsid w:val="00205B50"/>
    <w:rsid w:val="00211F80"/>
    <w:rsid w:val="00221128"/>
    <w:rsid w:val="00221B36"/>
    <w:rsid w:val="00227BC5"/>
    <w:rsid w:val="00231021"/>
    <w:rsid w:val="00234805"/>
    <w:rsid w:val="00237F17"/>
    <w:rsid w:val="00243B33"/>
    <w:rsid w:val="00245B20"/>
    <w:rsid w:val="00247E5F"/>
    <w:rsid w:val="00247F2E"/>
    <w:rsid w:val="00254924"/>
    <w:rsid w:val="00256E71"/>
    <w:rsid w:val="00260553"/>
    <w:rsid w:val="002806EC"/>
    <w:rsid w:val="0028685E"/>
    <w:rsid w:val="002879AE"/>
    <w:rsid w:val="002949B8"/>
    <w:rsid w:val="002A469F"/>
    <w:rsid w:val="002A52F4"/>
    <w:rsid w:val="002B6D09"/>
    <w:rsid w:val="002C0A32"/>
    <w:rsid w:val="002C1283"/>
    <w:rsid w:val="002C33A9"/>
    <w:rsid w:val="002C79EE"/>
    <w:rsid w:val="002C7E62"/>
    <w:rsid w:val="002D52C9"/>
    <w:rsid w:val="002D69EE"/>
    <w:rsid w:val="002E5AEC"/>
    <w:rsid w:val="002E764E"/>
    <w:rsid w:val="002F4C24"/>
    <w:rsid w:val="002F6D52"/>
    <w:rsid w:val="00303C66"/>
    <w:rsid w:val="00304F72"/>
    <w:rsid w:val="00310D63"/>
    <w:rsid w:val="00311935"/>
    <w:rsid w:val="003157CF"/>
    <w:rsid w:val="00323952"/>
    <w:rsid w:val="00324928"/>
    <w:rsid w:val="003256D9"/>
    <w:rsid w:val="0033021D"/>
    <w:rsid w:val="00332338"/>
    <w:rsid w:val="00334C50"/>
    <w:rsid w:val="00342316"/>
    <w:rsid w:val="0035096F"/>
    <w:rsid w:val="00360CE7"/>
    <w:rsid w:val="00363918"/>
    <w:rsid w:val="0036682E"/>
    <w:rsid w:val="00371A95"/>
    <w:rsid w:val="00374259"/>
    <w:rsid w:val="00375264"/>
    <w:rsid w:val="00380A0F"/>
    <w:rsid w:val="00386C07"/>
    <w:rsid w:val="00391E68"/>
    <w:rsid w:val="003923DA"/>
    <w:rsid w:val="003939C5"/>
    <w:rsid w:val="00394B2D"/>
    <w:rsid w:val="00394E24"/>
    <w:rsid w:val="003A02DD"/>
    <w:rsid w:val="003C2B73"/>
    <w:rsid w:val="003D4425"/>
    <w:rsid w:val="003D4B96"/>
    <w:rsid w:val="003D766B"/>
    <w:rsid w:val="003E1EB5"/>
    <w:rsid w:val="003F2066"/>
    <w:rsid w:val="00400359"/>
    <w:rsid w:val="004027E0"/>
    <w:rsid w:val="004041FB"/>
    <w:rsid w:val="004055F9"/>
    <w:rsid w:val="004067DE"/>
    <w:rsid w:val="00406EBE"/>
    <w:rsid w:val="00410084"/>
    <w:rsid w:val="00410337"/>
    <w:rsid w:val="0041218C"/>
    <w:rsid w:val="00417A6D"/>
    <w:rsid w:val="004200DE"/>
    <w:rsid w:val="00421B09"/>
    <w:rsid w:val="004223EB"/>
    <w:rsid w:val="0042387A"/>
    <w:rsid w:val="00457AAC"/>
    <w:rsid w:val="00466430"/>
    <w:rsid w:val="00473EC7"/>
    <w:rsid w:val="0047405C"/>
    <w:rsid w:val="004775F3"/>
    <w:rsid w:val="00480519"/>
    <w:rsid w:val="00482630"/>
    <w:rsid w:val="00483489"/>
    <w:rsid w:val="0048430F"/>
    <w:rsid w:val="00490F37"/>
    <w:rsid w:val="00494176"/>
    <w:rsid w:val="004A3FA5"/>
    <w:rsid w:val="004B526E"/>
    <w:rsid w:val="004B5E58"/>
    <w:rsid w:val="004C6BBE"/>
    <w:rsid w:val="004D50ED"/>
    <w:rsid w:val="004F3B9D"/>
    <w:rsid w:val="00500150"/>
    <w:rsid w:val="00511E3C"/>
    <w:rsid w:val="0052478E"/>
    <w:rsid w:val="00532849"/>
    <w:rsid w:val="00535E1B"/>
    <w:rsid w:val="00543125"/>
    <w:rsid w:val="0054523E"/>
    <w:rsid w:val="005464C0"/>
    <w:rsid w:val="00553F71"/>
    <w:rsid w:val="005548A9"/>
    <w:rsid w:val="0055657D"/>
    <w:rsid w:val="00556A3F"/>
    <w:rsid w:val="0056170E"/>
    <w:rsid w:val="00567752"/>
    <w:rsid w:val="00570436"/>
    <w:rsid w:val="00575BA2"/>
    <w:rsid w:val="005810E2"/>
    <w:rsid w:val="0058161D"/>
    <w:rsid w:val="00582DFC"/>
    <w:rsid w:val="00592634"/>
    <w:rsid w:val="0059576F"/>
    <w:rsid w:val="005A3AE7"/>
    <w:rsid w:val="005B095F"/>
    <w:rsid w:val="005B3206"/>
    <w:rsid w:val="005B357E"/>
    <w:rsid w:val="005B615F"/>
    <w:rsid w:val="005C1BC3"/>
    <w:rsid w:val="005C2624"/>
    <w:rsid w:val="005D0EFE"/>
    <w:rsid w:val="005D1F84"/>
    <w:rsid w:val="005D478C"/>
    <w:rsid w:val="005E0861"/>
    <w:rsid w:val="005E1AE1"/>
    <w:rsid w:val="005E3996"/>
    <w:rsid w:val="005F044A"/>
    <w:rsid w:val="005F2DE1"/>
    <w:rsid w:val="005F4CB2"/>
    <w:rsid w:val="005F57B0"/>
    <w:rsid w:val="005F69AE"/>
    <w:rsid w:val="0060093D"/>
    <w:rsid w:val="00602007"/>
    <w:rsid w:val="00605682"/>
    <w:rsid w:val="006074E2"/>
    <w:rsid w:val="00610969"/>
    <w:rsid w:val="00611EAC"/>
    <w:rsid w:val="00616507"/>
    <w:rsid w:val="00620F2D"/>
    <w:rsid w:val="0063330E"/>
    <w:rsid w:val="0063413F"/>
    <w:rsid w:val="006509F1"/>
    <w:rsid w:val="00651C20"/>
    <w:rsid w:val="00652548"/>
    <w:rsid w:val="00653BC4"/>
    <w:rsid w:val="00663D0A"/>
    <w:rsid w:val="0066471C"/>
    <w:rsid w:val="00665008"/>
    <w:rsid w:val="00665274"/>
    <w:rsid w:val="00665C9D"/>
    <w:rsid w:val="00672D9E"/>
    <w:rsid w:val="0067390A"/>
    <w:rsid w:val="006745FD"/>
    <w:rsid w:val="006830D4"/>
    <w:rsid w:val="00683507"/>
    <w:rsid w:val="006A0F33"/>
    <w:rsid w:val="006A1CB8"/>
    <w:rsid w:val="006A39DF"/>
    <w:rsid w:val="006A4F1F"/>
    <w:rsid w:val="006B04C0"/>
    <w:rsid w:val="006B0BFE"/>
    <w:rsid w:val="006B12F6"/>
    <w:rsid w:val="006B55FD"/>
    <w:rsid w:val="006B6CD3"/>
    <w:rsid w:val="006D0AE9"/>
    <w:rsid w:val="006E24F6"/>
    <w:rsid w:val="006E7B4A"/>
    <w:rsid w:val="006E7DD3"/>
    <w:rsid w:val="006F0E05"/>
    <w:rsid w:val="006F2371"/>
    <w:rsid w:val="00700BDD"/>
    <w:rsid w:val="00702F1D"/>
    <w:rsid w:val="007068F7"/>
    <w:rsid w:val="00710003"/>
    <w:rsid w:val="00721AA4"/>
    <w:rsid w:val="00724ED2"/>
    <w:rsid w:val="007272DA"/>
    <w:rsid w:val="0073035B"/>
    <w:rsid w:val="0073428B"/>
    <w:rsid w:val="00742A86"/>
    <w:rsid w:val="00753E75"/>
    <w:rsid w:val="00756259"/>
    <w:rsid w:val="00762392"/>
    <w:rsid w:val="00764E48"/>
    <w:rsid w:val="00766D3A"/>
    <w:rsid w:val="00767E6F"/>
    <w:rsid w:val="00774597"/>
    <w:rsid w:val="00775DB9"/>
    <w:rsid w:val="007814A2"/>
    <w:rsid w:val="00782429"/>
    <w:rsid w:val="00785C0E"/>
    <w:rsid w:val="00790002"/>
    <w:rsid w:val="0079042E"/>
    <w:rsid w:val="007953D7"/>
    <w:rsid w:val="0079758E"/>
    <w:rsid w:val="007A454F"/>
    <w:rsid w:val="007B1244"/>
    <w:rsid w:val="007B21A6"/>
    <w:rsid w:val="007B61ED"/>
    <w:rsid w:val="007B6C77"/>
    <w:rsid w:val="007C738C"/>
    <w:rsid w:val="007C7990"/>
    <w:rsid w:val="007D77E7"/>
    <w:rsid w:val="007D7A52"/>
    <w:rsid w:val="007E3048"/>
    <w:rsid w:val="007E531B"/>
    <w:rsid w:val="007E53C6"/>
    <w:rsid w:val="007E68D0"/>
    <w:rsid w:val="007F4F04"/>
    <w:rsid w:val="00803DAA"/>
    <w:rsid w:val="00810299"/>
    <w:rsid w:val="00823605"/>
    <w:rsid w:val="00824279"/>
    <w:rsid w:val="008262C8"/>
    <w:rsid w:val="008300B3"/>
    <w:rsid w:val="0083661A"/>
    <w:rsid w:val="00841D1C"/>
    <w:rsid w:val="00844B0B"/>
    <w:rsid w:val="00860CFB"/>
    <w:rsid w:val="008640E6"/>
    <w:rsid w:val="008758CC"/>
    <w:rsid w:val="008A1753"/>
    <w:rsid w:val="008A65EB"/>
    <w:rsid w:val="008A6EBC"/>
    <w:rsid w:val="008A7FC2"/>
    <w:rsid w:val="008B5304"/>
    <w:rsid w:val="008C00B7"/>
    <w:rsid w:val="008D2BE2"/>
    <w:rsid w:val="008E1BE2"/>
    <w:rsid w:val="008E1E16"/>
    <w:rsid w:val="008F49DE"/>
    <w:rsid w:val="00917E1E"/>
    <w:rsid w:val="00927D65"/>
    <w:rsid w:val="0093108E"/>
    <w:rsid w:val="00935080"/>
    <w:rsid w:val="009371B2"/>
    <w:rsid w:val="009536C3"/>
    <w:rsid w:val="009542A4"/>
    <w:rsid w:val="00962FAC"/>
    <w:rsid w:val="0096392E"/>
    <w:rsid w:val="009645A8"/>
    <w:rsid w:val="00971EAB"/>
    <w:rsid w:val="00974996"/>
    <w:rsid w:val="009756C9"/>
    <w:rsid w:val="00981999"/>
    <w:rsid w:val="00982B2F"/>
    <w:rsid w:val="0098616B"/>
    <w:rsid w:val="00990239"/>
    <w:rsid w:val="00991894"/>
    <w:rsid w:val="009929DF"/>
    <w:rsid w:val="00993F65"/>
    <w:rsid w:val="009A05B9"/>
    <w:rsid w:val="009A07AA"/>
    <w:rsid w:val="009A5E36"/>
    <w:rsid w:val="009A67AD"/>
    <w:rsid w:val="009C4AAA"/>
    <w:rsid w:val="009D6CF4"/>
    <w:rsid w:val="009E43FD"/>
    <w:rsid w:val="009F27E4"/>
    <w:rsid w:val="009F57C9"/>
    <w:rsid w:val="00A02235"/>
    <w:rsid w:val="00A155ED"/>
    <w:rsid w:val="00A16130"/>
    <w:rsid w:val="00A27490"/>
    <w:rsid w:val="00A3729A"/>
    <w:rsid w:val="00A44594"/>
    <w:rsid w:val="00A60B67"/>
    <w:rsid w:val="00A617E6"/>
    <w:rsid w:val="00A63416"/>
    <w:rsid w:val="00A63644"/>
    <w:rsid w:val="00A63A8F"/>
    <w:rsid w:val="00A63A9D"/>
    <w:rsid w:val="00A65C21"/>
    <w:rsid w:val="00A66FC2"/>
    <w:rsid w:val="00A71A6E"/>
    <w:rsid w:val="00A811AA"/>
    <w:rsid w:val="00A91450"/>
    <w:rsid w:val="00A95F2E"/>
    <w:rsid w:val="00AA323E"/>
    <w:rsid w:val="00AA4938"/>
    <w:rsid w:val="00AB451F"/>
    <w:rsid w:val="00AC031C"/>
    <w:rsid w:val="00AC1E6C"/>
    <w:rsid w:val="00AC2D36"/>
    <w:rsid w:val="00AC3264"/>
    <w:rsid w:val="00AC6569"/>
    <w:rsid w:val="00AC6B6B"/>
    <w:rsid w:val="00AD4F8E"/>
    <w:rsid w:val="00AE4A1F"/>
    <w:rsid w:val="00AF04B0"/>
    <w:rsid w:val="00B03F00"/>
    <w:rsid w:val="00B1173B"/>
    <w:rsid w:val="00B15EC7"/>
    <w:rsid w:val="00B20EBD"/>
    <w:rsid w:val="00B270E0"/>
    <w:rsid w:val="00B27B2A"/>
    <w:rsid w:val="00B32F39"/>
    <w:rsid w:val="00B34624"/>
    <w:rsid w:val="00B41E44"/>
    <w:rsid w:val="00B43F1E"/>
    <w:rsid w:val="00B44F80"/>
    <w:rsid w:val="00B60472"/>
    <w:rsid w:val="00B65436"/>
    <w:rsid w:val="00B702AA"/>
    <w:rsid w:val="00B904AA"/>
    <w:rsid w:val="00B934BA"/>
    <w:rsid w:val="00B961E1"/>
    <w:rsid w:val="00BA4685"/>
    <w:rsid w:val="00BA7BD9"/>
    <w:rsid w:val="00BB2749"/>
    <w:rsid w:val="00BC1CE3"/>
    <w:rsid w:val="00BC6985"/>
    <w:rsid w:val="00BE2FA8"/>
    <w:rsid w:val="00BE39E5"/>
    <w:rsid w:val="00BE5A12"/>
    <w:rsid w:val="00BF192B"/>
    <w:rsid w:val="00BF4057"/>
    <w:rsid w:val="00BF7A45"/>
    <w:rsid w:val="00C039F3"/>
    <w:rsid w:val="00C06373"/>
    <w:rsid w:val="00C0673B"/>
    <w:rsid w:val="00C12F32"/>
    <w:rsid w:val="00C20847"/>
    <w:rsid w:val="00C3745F"/>
    <w:rsid w:val="00C41B1F"/>
    <w:rsid w:val="00C44C72"/>
    <w:rsid w:val="00C45924"/>
    <w:rsid w:val="00C45C08"/>
    <w:rsid w:val="00C54360"/>
    <w:rsid w:val="00C6588A"/>
    <w:rsid w:val="00C67D4F"/>
    <w:rsid w:val="00C70B9B"/>
    <w:rsid w:val="00C816EC"/>
    <w:rsid w:val="00C9012C"/>
    <w:rsid w:val="00C93BB2"/>
    <w:rsid w:val="00C96B3C"/>
    <w:rsid w:val="00C97552"/>
    <w:rsid w:val="00CA321A"/>
    <w:rsid w:val="00CA6C47"/>
    <w:rsid w:val="00CC2597"/>
    <w:rsid w:val="00CC48E7"/>
    <w:rsid w:val="00CC692F"/>
    <w:rsid w:val="00CC713B"/>
    <w:rsid w:val="00CD1089"/>
    <w:rsid w:val="00CD1AC7"/>
    <w:rsid w:val="00CE5904"/>
    <w:rsid w:val="00CE5D2D"/>
    <w:rsid w:val="00CF169C"/>
    <w:rsid w:val="00CF29E8"/>
    <w:rsid w:val="00D05E62"/>
    <w:rsid w:val="00D140C3"/>
    <w:rsid w:val="00D15C5D"/>
    <w:rsid w:val="00D17EBE"/>
    <w:rsid w:val="00D23346"/>
    <w:rsid w:val="00D4124D"/>
    <w:rsid w:val="00D42A38"/>
    <w:rsid w:val="00D4417E"/>
    <w:rsid w:val="00D45579"/>
    <w:rsid w:val="00D47639"/>
    <w:rsid w:val="00D47A58"/>
    <w:rsid w:val="00D54496"/>
    <w:rsid w:val="00D5453C"/>
    <w:rsid w:val="00D65140"/>
    <w:rsid w:val="00D6701E"/>
    <w:rsid w:val="00D70C41"/>
    <w:rsid w:val="00D80C2F"/>
    <w:rsid w:val="00D828E1"/>
    <w:rsid w:val="00D84EC1"/>
    <w:rsid w:val="00D87462"/>
    <w:rsid w:val="00D93913"/>
    <w:rsid w:val="00DB0117"/>
    <w:rsid w:val="00DB0ABE"/>
    <w:rsid w:val="00DB2E94"/>
    <w:rsid w:val="00DC4984"/>
    <w:rsid w:val="00DD0FE9"/>
    <w:rsid w:val="00DD47C8"/>
    <w:rsid w:val="00DD633F"/>
    <w:rsid w:val="00DE10DA"/>
    <w:rsid w:val="00DE590E"/>
    <w:rsid w:val="00DF11F1"/>
    <w:rsid w:val="00E01CA8"/>
    <w:rsid w:val="00E02F97"/>
    <w:rsid w:val="00E05F2B"/>
    <w:rsid w:val="00E11919"/>
    <w:rsid w:val="00E13BBE"/>
    <w:rsid w:val="00E15DBA"/>
    <w:rsid w:val="00E20A90"/>
    <w:rsid w:val="00E215A8"/>
    <w:rsid w:val="00E21A1C"/>
    <w:rsid w:val="00E26B06"/>
    <w:rsid w:val="00E26CA3"/>
    <w:rsid w:val="00E26DF9"/>
    <w:rsid w:val="00E31F5E"/>
    <w:rsid w:val="00E33B17"/>
    <w:rsid w:val="00E33C63"/>
    <w:rsid w:val="00E36AF3"/>
    <w:rsid w:val="00E43F09"/>
    <w:rsid w:val="00E44A24"/>
    <w:rsid w:val="00E4787C"/>
    <w:rsid w:val="00E505A4"/>
    <w:rsid w:val="00E54728"/>
    <w:rsid w:val="00E60858"/>
    <w:rsid w:val="00E65B2B"/>
    <w:rsid w:val="00E73AEC"/>
    <w:rsid w:val="00E760BF"/>
    <w:rsid w:val="00E77808"/>
    <w:rsid w:val="00E801D0"/>
    <w:rsid w:val="00E80B96"/>
    <w:rsid w:val="00E80FCA"/>
    <w:rsid w:val="00E84342"/>
    <w:rsid w:val="00E912C7"/>
    <w:rsid w:val="00EA493A"/>
    <w:rsid w:val="00EB0CFF"/>
    <w:rsid w:val="00EC52CD"/>
    <w:rsid w:val="00EC6F09"/>
    <w:rsid w:val="00EC6F77"/>
    <w:rsid w:val="00EC70A0"/>
    <w:rsid w:val="00EE4A60"/>
    <w:rsid w:val="00EF1356"/>
    <w:rsid w:val="00EF6017"/>
    <w:rsid w:val="00F00313"/>
    <w:rsid w:val="00F02D6F"/>
    <w:rsid w:val="00F1232B"/>
    <w:rsid w:val="00F132B5"/>
    <w:rsid w:val="00F15F08"/>
    <w:rsid w:val="00F210EC"/>
    <w:rsid w:val="00F22BD3"/>
    <w:rsid w:val="00F247CD"/>
    <w:rsid w:val="00F323D5"/>
    <w:rsid w:val="00F32999"/>
    <w:rsid w:val="00F34E1A"/>
    <w:rsid w:val="00F44E7D"/>
    <w:rsid w:val="00F53B0F"/>
    <w:rsid w:val="00F60401"/>
    <w:rsid w:val="00F65574"/>
    <w:rsid w:val="00F8684B"/>
    <w:rsid w:val="00F870DB"/>
    <w:rsid w:val="00FA10BD"/>
    <w:rsid w:val="00FA3D92"/>
    <w:rsid w:val="00FA415B"/>
    <w:rsid w:val="00FA49E6"/>
    <w:rsid w:val="00FA5396"/>
    <w:rsid w:val="00FA7D66"/>
    <w:rsid w:val="00FB67EC"/>
    <w:rsid w:val="00FC2768"/>
    <w:rsid w:val="00FC7039"/>
    <w:rsid w:val="00FD0184"/>
    <w:rsid w:val="00FE2F10"/>
    <w:rsid w:val="00FE62B5"/>
    <w:rsid w:val="00FF1DFE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95163"/>
  <w15:docId w15:val="{7299A63E-F79F-43FE-B775-B069FDD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E4A1F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5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54728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B702AA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4A3F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3F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3FA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F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FA5"/>
    <w:rPr>
      <w:rFonts w:ascii="Times New Roman" w:hAnsi="Times New Roman"/>
      <w:b/>
      <w:bCs/>
      <w:sz w:val="20"/>
      <w:szCs w:val="20"/>
    </w:rPr>
  </w:style>
  <w:style w:type="paragraph" w:styleId="Seznamsodrkami">
    <w:name w:val="List Bullet"/>
    <w:basedOn w:val="Normln"/>
    <w:uiPriority w:val="99"/>
    <w:unhideWhenUsed/>
    <w:rsid w:val="00785C0E"/>
    <w:pPr>
      <w:numPr>
        <w:numId w:val="4"/>
      </w:numPr>
      <w:contextualSpacing/>
    </w:pPr>
  </w:style>
  <w:style w:type="paragraph" w:styleId="Revize">
    <w:name w:val="Revision"/>
    <w:hidden/>
    <w:uiPriority w:val="99"/>
    <w:semiHidden/>
    <w:rsid w:val="005D0EFE"/>
    <w:pPr>
      <w:spacing w:line="240" w:lineRule="auto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67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67EC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6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330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10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97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55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00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85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43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6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0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53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3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6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88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557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655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78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4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85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6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4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249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90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8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4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10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66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503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8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7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9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2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1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72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1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4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0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74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4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17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5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7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80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587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3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9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06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421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55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5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56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71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5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50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30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21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7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24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8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84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83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05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0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6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00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6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94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99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96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3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4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85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8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2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4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7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1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6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26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561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7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34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1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2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3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2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3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19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444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87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1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91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235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40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8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3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67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143\Downloads\law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E209-7AC3-4580-B221-00966249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law_univerzalni_dopis_cz_barva_bez_znacek</Template>
  <TotalTime>1</TotalTime>
  <Pages>4</Pages>
  <Words>1166</Words>
  <Characters>6883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Lucie Zavadilová</dc:creator>
  <cp:lastModifiedBy>Tereza Kyselovská</cp:lastModifiedBy>
  <cp:revision>2</cp:revision>
  <cp:lastPrinted>2018-09-12T18:48:00Z</cp:lastPrinted>
  <dcterms:created xsi:type="dcterms:W3CDTF">2023-10-23T13:33:00Z</dcterms:created>
  <dcterms:modified xsi:type="dcterms:W3CDTF">2023-10-23T13:33:00Z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