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4329" w14:textId="77777777" w:rsidR="002A453B" w:rsidRPr="00793CA5" w:rsidRDefault="00793CA5" w:rsidP="002A453B">
      <w:pPr>
        <w:spacing w:after="0"/>
        <w:jc w:val="center"/>
        <w:rPr>
          <w:b/>
          <w:sz w:val="28"/>
        </w:rPr>
      </w:pPr>
      <w:r w:rsidRPr="00793CA5">
        <w:rPr>
          <w:b/>
          <w:sz w:val="28"/>
        </w:rPr>
        <w:t>Právní minimu</w:t>
      </w:r>
      <w:r w:rsidR="009A749B">
        <w:rPr>
          <w:b/>
          <w:sz w:val="28"/>
        </w:rPr>
        <w:t>m pro překladatele a tlumočníky</w:t>
      </w:r>
    </w:p>
    <w:p w14:paraId="32DF51FD" w14:textId="77777777" w:rsidR="002A453B" w:rsidRDefault="007C2A71" w:rsidP="002A453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Cizinecké právo</w:t>
      </w:r>
    </w:p>
    <w:p w14:paraId="3C592570" w14:textId="77777777" w:rsidR="00793CA5" w:rsidRDefault="00793CA5" w:rsidP="00793CA5">
      <w:pPr>
        <w:spacing w:after="0"/>
        <w:jc w:val="center"/>
        <w:rPr>
          <w:b/>
          <w:sz w:val="28"/>
        </w:rPr>
      </w:pPr>
      <w:r w:rsidRPr="00793CA5">
        <w:rPr>
          <w:b/>
          <w:sz w:val="28"/>
        </w:rPr>
        <w:t xml:space="preserve">JUDr. </w:t>
      </w:r>
      <w:r w:rsidR="00453DBE">
        <w:rPr>
          <w:b/>
          <w:sz w:val="28"/>
        </w:rPr>
        <w:t>Jana Jurníková</w:t>
      </w:r>
      <w:r w:rsidRPr="00793CA5">
        <w:rPr>
          <w:b/>
          <w:sz w:val="28"/>
        </w:rPr>
        <w:t>, Ph.D.</w:t>
      </w:r>
    </w:p>
    <w:p w14:paraId="42FDFAF3" w14:textId="77777777" w:rsidR="00793CA5" w:rsidRDefault="00793CA5" w:rsidP="00793CA5">
      <w:pPr>
        <w:spacing w:after="0"/>
        <w:jc w:val="cent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93CA5" w14:paraId="56E352BA" w14:textId="77777777" w:rsidTr="00793CA5">
        <w:tc>
          <w:tcPr>
            <w:tcW w:w="3114" w:type="dxa"/>
          </w:tcPr>
          <w:p w14:paraId="24911E23" w14:textId="77777777" w:rsidR="00793CA5" w:rsidRPr="009B6D5D" w:rsidRDefault="00892339" w:rsidP="004C3533">
            <w:pPr>
              <w:rPr>
                <w:b/>
              </w:rPr>
            </w:pPr>
            <w:r>
              <w:rPr>
                <w:b/>
              </w:rPr>
              <w:t>Cizinecké právo</w:t>
            </w:r>
          </w:p>
        </w:tc>
        <w:tc>
          <w:tcPr>
            <w:tcW w:w="5948" w:type="dxa"/>
          </w:tcPr>
          <w:p w14:paraId="6E3DE0BB" w14:textId="77777777" w:rsidR="00793CA5" w:rsidRPr="003C31F0" w:rsidRDefault="00892339" w:rsidP="00793CA5">
            <w:pPr>
              <w:jc w:val="both"/>
            </w:pPr>
            <w:r w:rsidRPr="003C31F0">
              <w:t>je soubor norem, které ukládají cizincům povinnosti nebo jim přiznávají práva</w:t>
            </w:r>
          </w:p>
        </w:tc>
      </w:tr>
      <w:tr w:rsidR="009369C7" w14:paraId="2D0D6DC5" w14:textId="77777777" w:rsidTr="00793CA5">
        <w:tc>
          <w:tcPr>
            <w:tcW w:w="3114" w:type="dxa"/>
          </w:tcPr>
          <w:p w14:paraId="69E99FE1" w14:textId="77777777" w:rsidR="009369C7" w:rsidRDefault="00892339" w:rsidP="004C3533">
            <w:pPr>
              <w:rPr>
                <w:b/>
              </w:rPr>
            </w:pPr>
            <w:r>
              <w:rPr>
                <w:b/>
              </w:rPr>
              <w:t>Cizinec</w:t>
            </w:r>
          </w:p>
        </w:tc>
        <w:tc>
          <w:tcPr>
            <w:tcW w:w="5948" w:type="dxa"/>
          </w:tcPr>
          <w:p w14:paraId="42A773AC" w14:textId="77777777" w:rsidR="009369C7" w:rsidRPr="003C31F0" w:rsidRDefault="00892339" w:rsidP="00793CA5">
            <w:pPr>
              <w:jc w:val="both"/>
            </w:pPr>
            <w:r w:rsidRPr="003C31F0">
              <w:t>je fyzická osoba, která není státním občanem ČR</w:t>
            </w:r>
            <w:r w:rsidR="00E56FCB">
              <w:t>, včetně občana EU</w:t>
            </w:r>
          </w:p>
        </w:tc>
      </w:tr>
      <w:tr w:rsidR="009369C7" w14:paraId="593509BC" w14:textId="77777777" w:rsidTr="00793CA5">
        <w:tc>
          <w:tcPr>
            <w:tcW w:w="3114" w:type="dxa"/>
          </w:tcPr>
          <w:p w14:paraId="7738E1B3" w14:textId="77777777" w:rsidR="009369C7" w:rsidRDefault="00892339" w:rsidP="004C3533">
            <w:pPr>
              <w:rPr>
                <w:b/>
              </w:rPr>
            </w:pPr>
            <w:r>
              <w:rPr>
                <w:b/>
              </w:rPr>
              <w:t>Státní občanství</w:t>
            </w:r>
          </w:p>
        </w:tc>
        <w:tc>
          <w:tcPr>
            <w:tcW w:w="5948" w:type="dxa"/>
          </w:tcPr>
          <w:p w14:paraId="5C3786A3" w14:textId="77777777" w:rsidR="009369C7" w:rsidRPr="003C31F0" w:rsidRDefault="00E56FCB" w:rsidP="00793CA5">
            <w:pPr>
              <w:jc w:val="both"/>
            </w:pPr>
            <w:r>
              <w:t>časově trvalý a místně neomezený právní vztah</w:t>
            </w:r>
            <w:r w:rsidR="00AB215D" w:rsidRPr="003C31F0">
              <w:t xml:space="preserve"> </w:t>
            </w:r>
            <w:r w:rsidR="001369B4" w:rsidRPr="003C31F0">
              <w:t>fyzické osoby ke státu, jehož obsahem jsou vzájemná práva a povinnosti stanov</w:t>
            </w:r>
            <w:r>
              <w:t>ená vnitrostátním právem</w:t>
            </w:r>
          </w:p>
        </w:tc>
      </w:tr>
      <w:tr w:rsidR="00793CA5" w14:paraId="24796CD7" w14:textId="77777777" w:rsidTr="00793CA5">
        <w:tc>
          <w:tcPr>
            <w:tcW w:w="3114" w:type="dxa"/>
          </w:tcPr>
          <w:p w14:paraId="62C34810" w14:textId="77777777" w:rsidR="00793CA5" w:rsidRPr="009B6D5D" w:rsidRDefault="00892339" w:rsidP="004C3533">
            <w:pPr>
              <w:rPr>
                <w:b/>
              </w:rPr>
            </w:pPr>
            <w:r>
              <w:rPr>
                <w:b/>
              </w:rPr>
              <w:t>Národnostní menšina</w:t>
            </w:r>
          </w:p>
        </w:tc>
        <w:tc>
          <w:tcPr>
            <w:tcW w:w="5948" w:type="dxa"/>
          </w:tcPr>
          <w:p w14:paraId="78B074B0" w14:textId="77777777" w:rsidR="00793CA5" w:rsidRPr="003C31F0" w:rsidRDefault="0045595F" w:rsidP="00793CA5">
            <w:pPr>
              <w:jc w:val="both"/>
            </w:pPr>
            <w:r w:rsidRPr="003C31F0">
              <w:t xml:space="preserve">národnostní menšina je společenství občanů České republiky žijících </w:t>
            </w:r>
            <w:r w:rsidR="00A86FED">
              <w:t>jejím území</w:t>
            </w:r>
            <w:r w:rsidRPr="003C31F0">
              <w:t xml:space="preserve">, kteří se odlišují od ostatních občanů zpravidla společným etnickým původem, jazykem, kulturou a tradicemi, tvoří početní menšinu obyvatelstva a zároveň projevují vůli být považováni za národnostní menšinu za účelem zachování vlastní svébytnosti, jazyka a kultury </w:t>
            </w:r>
          </w:p>
        </w:tc>
      </w:tr>
      <w:tr w:rsidR="003C31F0" w14:paraId="13BF813F" w14:textId="77777777" w:rsidTr="00793CA5">
        <w:tc>
          <w:tcPr>
            <w:tcW w:w="3114" w:type="dxa"/>
          </w:tcPr>
          <w:p w14:paraId="615132F8" w14:textId="77777777" w:rsidR="003C31F0" w:rsidRDefault="003C31F0" w:rsidP="004C3533">
            <w:pPr>
              <w:rPr>
                <w:b/>
              </w:rPr>
            </w:pPr>
            <w:r>
              <w:rPr>
                <w:b/>
              </w:rPr>
              <w:t>Ženevská úmluva</w:t>
            </w:r>
          </w:p>
        </w:tc>
        <w:tc>
          <w:tcPr>
            <w:tcW w:w="5948" w:type="dxa"/>
          </w:tcPr>
          <w:p w14:paraId="031D3D26" w14:textId="77777777" w:rsidR="003C31F0" w:rsidRPr="003C31F0" w:rsidRDefault="003C31F0" w:rsidP="00793CA5">
            <w:pPr>
              <w:jc w:val="both"/>
            </w:pPr>
            <w:r w:rsidRPr="003C31F0">
              <w:t>Úmluva o právním postavení uprchlíků ze dne 28. července 1951, ve znění Newyorského protokolu ze dne 31. ledna 1967, publikována pod č. 208/1993 Sb.</w:t>
            </w:r>
          </w:p>
        </w:tc>
      </w:tr>
      <w:tr w:rsidR="005A0B8E" w14:paraId="4AFF3806" w14:textId="77777777" w:rsidTr="00793CA5">
        <w:tc>
          <w:tcPr>
            <w:tcW w:w="3114" w:type="dxa"/>
          </w:tcPr>
          <w:p w14:paraId="34CE0856" w14:textId="77777777" w:rsidR="005A0B8E" w:rsidRDefault="005A0B8E" w:rsidP="004C3533">
            <w:pPr>
              <w:rPr>
                <w:b/>
              </w:rPr>
            </w:pPr>
            <w:r>
              <w:rPr>
                <w:b/>
              </w:rPr>
              <w:t>Zákon o azylu</w:t>
            </w:r>
          </w:p>
        </w:tc>
        <w:tc>
          <w:tcPr>
            <w:tcW w:w="5948" w:type="dxa"/>
          </w:tcPr>
          <w:p w14:paraId="5F22896E" w14:textId="2B84FF33" w:rsidR="005A0B8E" w:rsidRPr="005A0B8E" w:rsidRDefault="005A0B8E" w:rsidP="00793CA5">
            <w:pPr>
              <w:jc w:val="both"/>
            </w:pPr>
            <w:r w:rsidRPr="005A0B8E">
              <w:rPr>
                <w:iCs/>
              </w:rPr>
              <w:t>zákon </w:t>
            </w:r>
            <w:r w:rsidRPr="005A0B8E">
              <w:t>č. 325/1999 </w:t>
            </w:r>
            <w:r w:rsidRPr="005A0B8E">
              <w:rPr>
                <w:iCs/>
              </w:rPr>
              <w:t>Sb., o azylu a o změně zákona </w:t>
            </w:r>
            <w:r w:rsidRPr="005A0B8E">
              <w:t>č. 283/1991 </w:t>
            </w:r>
            <w:r w:rsidRPr="005A0B8E">
              <w:rPr>
                <w:iCs/>
              </w:rPr>
              <w:t>Sb., o Policii České republiky, ve znění pozdějších předpisů</w:t>
            </w:r>
            <w:r w:rsidRPr="005A0B8E">
              <w:t> (zákon o azylu), </w:t>
            </w:r>
            <w:r w:rsidRPr="005A0B8E">
              <w:rPr>
                <w:iCs/>
              </w:rPr>
              <w:t>ve znění pozdějších předpisů</w:t>
            </w:r>
            <w:r w:rsidR="004D594D">
              <w:rPr>
                <w:iCs/>
              </w:rPr>
              <w:t xml:space="preserve">. </w:t>
            </w:r>
            <w:r>
              <w:rPr>
                <w:iCs/>
              </w:rPr>
              <w:t xml:space="preserve"> </w:t>
            </w:r>
          </w:p>
        </w:tc>
      </w:tr>
      <w:tr w:rsidR="00AB215D" w14:paraId="535218AF" w14:textId="77777777" w:rsidTr="00793CA5">
        <w:tc>
          <w:tcPr>
            <w:tcW w:w="3114" w:type="dxa"/>
          </w:tcPr>
          <w:p w14:paraId="3C1509B5" w14:textId="77777777" w:rsidR="00AB215D" w:rsidRPr="00E56FCB" w:rsidRDefault="00AB215D" w:rsidP="004C3533">
            <w:pPr>
              <w:rPr>
                <w:b/>
                <w:u w:val="single"/>
              </w:rPr>
            </w:pPr>
            <w:r w:rsidRPr="00E56FCB">
              <w:rPr>
                <w:b/>
                <w:u w:val="single"/>
              </w:rPr>
              <w:t>Mezinárodní ochrana</w:t>
            </w:r>
          </w:p>
        </w:tc>
        <w:tc>
          <w:tcPr>
            <w:tcW w:w="5948" w:type="dxa"/>
          </w:tcPr>
          <w:p w14:paraId="0E224231" w14:textId="77777777" w:rsidR="00AB215D" w:rsidRPr="003C31F0" w:rsidRDefault="00AB215D" w:rsidP="00793CA5">
            <w:pPr>
              <w:jc w:val="both"/>
              <w:rPr>
                <w:rFonts w:cstheme="minorHAnsi"/>
              </w:rPr>
            </w:pPr>
            <w:r w:rsidRPr="003C31F0">
              <w:rPr>
                <w:rFonts w:cstheme="minorHAnsi"/>
                <w:color w:val="000000"/>
                <w:shd w:val="clear" w:color="auto" w:fill="FFFFFF"/>
              </w:rPr>
              <w:t>ochrana poskytnutá na území cizinci formou azylu nebo doplňkové ochrany</w:t>
            </w:r>
          </w:p>
        </w:tc>
      </w:tr>
      <w:tr w:rsidR="00793CA5" w14:paraId="0EA0F282" w14:textId="77777777" w:rsidTr="00793CA5">
        <w:tc>
          <w:tcPr>
            <w:tcW w:w="3114" w:type="dxa"/>
          </w:tcPr>
          <w:p w14:paraId="0F89C4F9" w14:textId="77777777" w:rsidR="00793CA5" w:rsidRPr="009B6D5D" w:rsidRDefault="00892339" w:rsidP="004C3533">
            <w:pPr>
              <w:rPr>
                <w:b/>
              </w:rPr>
            </w:pPr>
            <w:r>
              <w:rPr>
                <w:b/>
              </w:rPr>
              <w:t>Azyl</w:t>
            </w:r>
          </w:p>
        </w:tc>
        <w:tc>
          <w:tcPr>
            <w:tcW w:w="5948" w:type="dxa"/>
          </w:tcPr>
          <w:p w14:paraId="33563E4E" w14:textId="77777777" w:rsidR="00B4695D" w:rsidRPr="003C31F0" w:rsidRDefault="003C31F0" w:rsidP="005A0B8E">
            <w:pPr>
              <w:jc w:val="both"/>
            </w:pPr>
            <w:r w:rsidRPr="003C31F0">
              <w:t>ochranný pobyt, který stát poskytuje státnímu příslušníku třetí země nebo osobě bez státní příslušnosti v souvislosti s jejím pronásledováním zpravidla z</w:t>
            </w:r>
            <w:r w:rsidR="005A0B8E">
              <w:t xml:space="preserve"> důvodů </w:t>
            </w:r>
            <w:r w:rsidR="00A86FED" w:rsidRPr="005A0B8E">
              <w:t>rasy</w:t>
            </w:r>
            <w:r w:rsidR="005A0B8E">
              <w:t xml:space="preserve">, pohlaví, náboženství, národnosti, příslušnosti k určité sociální skupině a zastávání politických názorů </w:t>
            </w:r>
          </w:p>
        </w:tc>
      </w:tr>
      <w:tr w:rsidR="003C31F0" w14:paraId="4B00A42F" w14:textId="77777777" w:rsidTr="00793CA5">
        <w:tc>
          <w:tcPr>
            <w:tcW w:w="3114" w:type="dxa"/>
          </w:tcPr>
          <w:p w14:paraId="4F84133B" w14:textId="77777777" w:rsidR="003C31F0" w:rsidRDefault="003C31F0" w:rsidP="004C3533">
            <w:pPr>
              <w:rPr>
                <w:b/>
              </w:rPr>
            </w:pPr>
            <w:r>
              <w:rPr>
                <w:b/>
              </w:rPr>
              <w:t>Doplňková ochrana</w:t>
            </w:r>
          </w:p>
        </w:tc>
        <w:tc>
          <w:tcPr>
            <w:tcW w:w="5948" w:type="dxa"/>
          </w:tcPr>
          <w:p w14:paraId="18E2AC82" w14:textId="77777777" w:rsidR="003C31F0" w:rsidRPr="003C31F0" w:rsidRDefault="00E56FCB" w:rsidP="00E34146">
            <w:pPr>
              <w:jc w:val="both"/>
            </w:pPr>
            <w:r>
              <w:t xml:space="preserve">vedle azylu další </w:t>
            </w:r>
            <w:r w:rsidR="003C31F0" w:rsidRPr="003C31F0">
              <w:t>forma mezinárodní ochrany, která se uděluje cizincům, kteří nesplňují důvody pro udělení azylu,</w:t>
            </w:r>
            <w:r w:rsidR="00DA72BE">
              <w:t xml:space="preserve"> je-li </w:t>
            </w:r>
            <w:r w:rsidR="003C31F0" w:rsidRPr="003C31F0">
              <w:t xml:space="preserve"> zjištěno, že v jejich případě jsou důvodné obavy, že pokud by byli tito cizinci vráceni do státu, jejichž jsou státními, by jim hrozilo skutečné nebezpečí vážné újmy</w:t>
            </w:r>
            <w:r w:rsidR="00DA72BE">
              <w:t xml:space="preserve"> (uložení nebo vykonání trestu smrti, mučení nebo nelidské či ponižující zacházení, ozbrojený konflikt). </w:t>
            </w:r>
          </w:p>
        </w:tc>
      </w:tr>
      <w:tr w:rsidR="005A0B8E" w14:paraId="55F9EFA0" w14:textId="77777777" w:rsidTr="00793CA5">
        <w:tc>
          <w:tcPr>
            <w:tcW w:w="3114" w:type="dxa"/>
          </w:tcPr>
          <w:p w14:paraId="72A77850" w14:textId="77777777" w:rsidR="005A0B8E" w:rsidRDefault="005A0B8E" w:rsidP="004C3533">
            <w:pPr>
              <w:rPr>
                <w:b/>
              </w:rPr>
            </w:pPr>
            <w:r>
              <w:rPr>
                <w:b/>
              </w:rPr>
              <w:t>Humanitární azyl</w:t>
            </w:r>
          </w:p>
        </w:tc>
        <w:tc>
          <w:tcPr>
            <w:tcW w:w="5948" w:type="dxa"/>
          </w:tcPr>
          <w:p w14:paraId="1DBF7BB7" w14:textId="77777777" w:rsidR="005A0B8E" w:rsidRPr="003C31F0" w:rsidRDefault="00A86FED" w:rsidP="00E34146">
            <w:pPr>
              <w:jc w:val="both"/>
            </w:pPr>
            <w:r>
              <w:t>z</w:t>
            </w:r>
            <w:r w:rsidR="005A0B8E">
              <w:t>vláštní typ azylu, který lze udělit v případě, že v řízení o udělení mezinárodní ochrany nebyl zjištěn důvod pro udělení mezinárodní ochrany</w:t>
            </w:r>
            <w:r>
              <w:t>, avšak jsou zde důvody hodné zvláštního zřetele pro poskytnutí ochrany z humanitárních důvodů</w:t>
            </w:r>
          </w:p>
        </w:tc>
      </w:tr>
      <w:tr w:rsidR="003C31F0" w14:paraId="5BA546DD" w14:textId="77777777" w:rsidTr="00793CA5">
        <w:tc>
          <w:tcPr>
            <w:tcW w:w="3114" w:type="dxa"/>
          </w:tcPr>
          <w:p w14:paraId="706AA649" w14:textId="77777777" w:rsidR="003C31F0" w:rsidRDefault="005A0B8E" w:rsidP="004C3533">
            <w:pPr>
              <w:rPr>
                <w:b/>
              </w:rPr>
            </w:pPr>
            <w:r>
              <w:rPr>
                <w:b/>
              </w:rPr>
              <w:t>Zásada</w:t>
            </w:r>
            <w:r w:rsidR="003C31F0">
              <w:rPr>
                <w:b/>
              </w:rPr>
              <w:t xml:space="preserve"> non-</w:t>
            </w:r>
            <w:proofErr w:type="spellStart"/>
            <w:r w:rsidR="003C31F0">
              <w:rPr>
                <w:b/>
              </w:rPr>
              <w:t>refoulement</w:t>
            </w:r>
            <w:proofErr w:type="spellEnd"/>
            <w:r w:rsidR="003C31F0">
              <w:rPr>
                <w:b/>
              </w:rPr>
              <w:t xml:space="preserve"> (nenavrácení)</w:t>
            </w:r>
          </w:p>
        </w:tc>
        <w:tc>
          <w:tcPr>
            <w:tcW w:w="5948" w:type="dxa"/>
          </w:tcPr>
          <w:p w14:paraId="467A4491" w14:textId="77777777" w:rsidR="003C31F0" w:rsidRPr="003C31F0" w:rsidRDefault="005A0B8E" w:rsidP="00E34146">
            <w:pPr>
              <w:jc w:val="both"/>
            </w:pPr>
            <w:r>
              <w:rPr>
                <w:iCs/>
              </w:rPr>
              <w:t>zákaz vyhostit nebo vrátit</w:t>
            </w:r>
            <w:r w:rsidR="003C31F0" w:rsidRPr="003C31F0">
              <w:rPr>
                <w:iCs/>
              </w:rPr>
              <w:t xml:space="preserve"> uprchlíka na hranice zemí, ve kterých by jeho život či osobní svoboda byly ohroženy na základě jeho rasy, náboženství, národnosti, příslušnosti k určité společenské vrstvě či politického přesvědčení</w:t>
            </w:r>
          </w:p>
        </w:tc>
      </w:tr>
      <w:tr w:rsidR="00793CA5" w14:paraId="6D4BE1CA" w14:textId="77777777" w:rsidTr="00793CA5">
        <w:tc>
          <w:tcPr>
            <w:tcW w:w="3114" w:type="dxa"/>
          </w:tcPr>
          <w:p w14:paraId="6E9C8478" w14:textId="77777777" w:rsidR="00793CA5" w:rsidRPr="00E56FCB" w:rsidRDefault="00892339" w:rsidP="004C3533">
            <w:pPr>
              <w:rPr>
                <w:b/>
                <w:u w:val="single"/>
              </w:rPr>
            </w:pPr>
            <w:r w:rsidRPr="00E56FCB">
              <w:rPr>
                <w:b/>
                <w:u w:val="single"/>
              </w:rPr>
              <w:t>Bezpečná země původu</w:t>
            </w:r>
          </w:p>
        </w:tc>
        <w:tc>
          <w:tcPr>
            <w:tcW w:w="5948" w:type="dxa"/>
          </w:tcPr>
          <w:p w14:paraId="0592D6EC" w14:textId="77777777" w:rsidR="00793CA5" w:rsidRPr="003C31F0" w:rsidRDefault="003C31F0" w:rsidP="00642FCF">
            <w:pPr>
              <w:jc w:val="both"/>
            </w:pPr>
            <w:r w:rsidRPr="003C31F0">
              <w:t>stát, jehož je cizinec státním občanem (v případě osoby bez státního občanství stát posledního trvalého bydliště), v němž státní moc dodržuje lidská práva a je způsobilá zajistit dodržování lidských práv a právních předpisů</w:t>
            </w:r>
          </w:p>
        </w:tc>
      </w:tr>
      <w:tr w:rsidR="00793CA5" w14:paraId="68FFF98F" w14:textId="77777777" w:rsidTr="00793CA5">
        <w:tc>
          <w:tcPr>
            <w:tcW w:w="3114" w:type="dxa"/>
          </w:tcPr>
          <w:p w14:paraId="35B4AB14" w14:textId="77777777" w:rsidR="00793CA5" w:rsidRPr="00E56FCB" w:rsidRDefault="00B65250" w:rsidP="004C3533">
            <w:pPr>
              <w:rPr>
                <w:b/>
                <w:u w:val="single"/>
              </w:rPr>
            </w:pPr>
            <w:r w:rsidRPr="00E56FCB">
              <w:rPr>
                <w:b/>
                <w:u w:val="single"/>
              </w:rPr>
              <w:t>První země azylu</w:t>
            </w:r>
          </w:p>
        </w:tc>
        <w:tc>
          <w:tcPr>
            <w:tcW w:w="5948" w:type="dxa"/>
          </w:tcPr>
          <w:p w14:paraId="6F13E332" w14:textId="77777777" w:rsidR="00793CA5" w:rsidRPr="003C31F0" w:rsidRDefault="00B65250" w:rsidP="00793CA5">
            <w:pPr>
              <w:jc w:val="both"/>
            </w:pPr>
            <w:r w:rsidRPr="003C31F0">
              <w:t>místo, kde cizinec azyl již získal a může se tam vrátit</w:t>
            </w:r>
          </w:p>
        </w:tc>
      </w:tr>
      <w:tr w:rsidR="00793CA5" w14:paraId="26506BAF" w14:textId="77777777" w:rsidTr="00793CA5">
        <w:tc>
          <w:tcPr>
            <w:tcW w:w="3114" w:type="dxa"/>
          </w:tcPr>
          <w:p w14:paraId="3F15E1A7" w14:textId="77777777" w:rsidR="00793CA5" w:rsidRPr="00E56FCB" w:rsidRDefault="00B65250" w:rsidP="004C3533">
            <w:pPr>
              <w:rPr>
                <w:b/>
                <w:u w:val="single"/>
              </w:rPr>
            </w:pPr>
            <w:r w:rsidRPr="00E56FCB">
              <w:rPr>
                <w:b/>
                <w:u w:val="single"/>
              </w:rPr>
              <w:lastRenderedPageBreak/>
              <w:t>Nezletilá osoba bez doprovodu</w:t>
            </w:r>
          </w:p>
        </w:tc>
        <w:tc>
          <w:tcPr>
            <w:tcW w:w="5948" w:type="dxa"/>
          </w:tcPr>
          <w:p w14:paraId="457EA36D" w14:textId="77777777" w:rsidR="00793CA5" w:rsidRPr="003C31F0" w:rsidRDefault="00DA72BE" w:rsidP="00793CA5">
            <w:pPr>
              <w:jc w:val="both"/>
            </w:pPr>
            <w:r>
              <w:t>je osoba mladší 18</w:t>
            </w:r>
            <w:r w:rsidR="00B65250" w:rsidRPr="003C31F0">
              <w:t xml:space="preserve"> let, která pobýv</w:t>
            </w:r>
            <w:r>
              <w:t>á na území bez osoby starší 18</w:t>
            </w:r>
            <w:r w:rsidR="00B65250" w:rsidRPr="003C31F0">
              <w:t xml:space="preserve"> let, přičemž by tato osoba byla za ni zodpovědná</w:t>
            </w:r>
          </w:p>
        </w:tc>
      </w:tr>
      <w:tr w:rsidR="005A0B8E" w14:paraId="7AF4AA0E" w14:textId="77777777" w:rsidTr="00793CA5">
        <w:tc>
          <w:tcPr>
            <w:tcW w:w="3114" w:type="dxa"/>
          </w:tcPr>
          <w:p w14:paraId="763FDF4E" w14:textId="77777777" w:rsidR="005A0B8E" w:rsidRPr="00EE0774" w:rsidRDefault="005A0B8E" w:rsidP="004C3533">
            <w:pPr>
              <w:rPr>
                <w:b/>
                <w:u w:val="single"/>
              </w:rPr>
            </w:pPr>
            <w:r w:rsidRPr="00EE0774">
              <w:rPr>
                <w:b/>
                <w:u w:val="single"/>
              </w:rPr>
              <w:t>Pronásledování</w:t>
            </w:r>
          </w:p>
        </w:tc>
        <w:tc>
          <w:tcPr>
            <w:tcW w:w="5948" w:type="dxa"/>
          </w:tcPr>
          <w:p w14:paraId="0B669F29" w14:textId="77777777" w:rsidR="005A0B8E" w:rsidRDefault="005A0B8E" w:rsidP="00793CA5">
            <w:pPr>
              <w:jc w:val="both"/>
            </w:pPr>
            <w:r w:rsidRPr="005A0B8E">
              <w:t>závažné porušení lidských práv, jakož i opatření působící psychický nátlak nebo jiná obdobná jednání anebo jednání, která ve svém souběhu dosahují intenzity pronásledování, pokud jsou prováděna, podporována nebo trpěna původci pronásledování</w:t>
            </w:r>
          </w:p>
        </w:tc>
      </w:tr>
      <w:tr w:rsidR="00DA72BE" w14:paraId="21733189" w14:textId="77777777" w:rsidTr="00793CA5">
        <w:tc>
          <w:tcPr>
            <w:tcW w:w="3114" w:type="dxa"/>
          </w:tcPr>
          <w:p w14:paraId="5F9C185C" w14:textId="77777777" w:rsidR="00DA72BE" w:rsidRDefault="00DA72BE" w:rsidP="004C3533">
            <w:pPr>
              <w:rPr>
                <w:b/>
              </w:rPr>
            </w:pPr>
            <w:r>
              <w:rPr>
                <w:b/>
              </w:rPr>
              <w:t>Dublinský systém</w:t>
            </w:r>
          </w:p>
        </w:tc>
        <w:tc>
          <w:tcPr>
            <w:tcW w:w="5948" w:type="dxa"/>
          </w:tcPr>
          <w:p w14:paraId="025F6A07" w14:textId="77777777" w:rsidR="00DA72BE" w:rsidRPr="003C31F0" w:rsidRDefault="00DA72BE" w:rsidP="00793CA5">
            <w:pPr>
              <w:jc w:val="both"/>
            </w:pPr>
            <w:r>
              <w:t>m</w:t>
            </w:r>
            <w:r w:rsidRPr="00DA72BE">
              <w:t>echanismus, kterým je určován stát odpovědný za posouzení žádosti o azyl, resp. mezinárodní ochranu, podané na území členských států Evropských společenství státním příslušníkem třetího státu</w:t>
            </w:r>
          </w:p>
        </w:tc>
      </w:tr>
      <w:tr w:rsidR="00DA72BE" w14:paraId="5CFDF962" w14:textId="77777777" w:rsidTr="00793CA5">
        <w:tc>
          <w:tcPr>
            <w:tcW w:w="3114" w:type="dxa"/>
          </w:tcPr>
          <w:p w14:paraId="5B4027F1" w14:textId="77777777" w:rsidR="00DA72BE" w:rsidRDefault="00DA72BE" w:rsidP="004C3533">
            <w:pPr>
              <w:rPr>
                <w:b/>
              </w:rPr>
            </w:pPr>
            <w:r>
              <w:rPr>
                <w:b/>
              </w:rPr>
              <w:t>Schengenský prostor</w:t>
            </w:r>
          </w:p>
        </w:tc>
        <w:tc>
          <w:tcPr>
            <w:tcW w:w="5948" w:type="dxa"/>
          </w:tcPr>
          <w:p w14:paraId="47492ADB" w14:textId="77777777" w:rsidR="00DA72BE" w:rsidRPr="003C31F0" w:rsidRDefault="00DA72BE" w:rsidP="00793CA5">
            <w:pPr>
              <w:jc w:val="both"/>
            </w:pPr>
            <w:r>
              <w:t xml:space="preserve">označení pro státy, které podepsaly </w:t>
            </w:r>
            <w:r w:rsidRPr="00DA72BE">
              <w:t>Schengensk</w:t>
            </w:r>
            <w:r>
              <w:t>ou</w:t>
            </w:r>
            <w:r w:rsidRPr="00DA72BE">
              <w:t xml:space="preserve"> dohod</w:t>
            </w:r>
            <w:r>
              <w:t>u</w:t>
            </w:r>
            <w:r w:rsidRPr="00DA72BE">
              <w:t> o opatřeních uplatňujících princip volného pohybu osob a zboží a zrušení kontrol společných hranic</w:t>
            </w:r>
          </w:p>
        </w:tc>
      </w:tr>
      <w:tr w:rsidR="005A0B8E" w14:paraId="0B5EAF0A" w14:textId="77777777" w:rsidTr="00793CA5">
        <w:tc>
          <w:tcPr>
            <w:tcW w:w="3114" w:type="dxa"/>
          </w:tcPr>
          <w:p w14:paraId="16551F0A" w14:textId="77777777" w:rsidR="005A0B8E" w:rsidRDefault="005A0B8E" w:rsidP="004C3533">
            <w:pPr>
              <w:rPr>
                <w:b/>
              </w:rPr>
            </w:pPr>
            <w:r>
              <w:rPr>
                <w:b/>
              </w:rPr>
              <w:t>Zákon o pobytu cizinců</w:t>
            </w:r>
          </w:p>
        </w:tc>
        <w:tc>
          <w:tcPr>
            <w:tcW w:w="5948" w:type="dxa"/>
          </w:tcPr>
          <w:p w14:paraId="5A946E77" w14:textId="77777777" w:rsidR="005A0B8E" w:rsidRPr="005A0B8E" w:rsidRDefault="005A0B8E" w:rsidP="00793CA5">
            <w:pPr>
              <w:jc w:val="both"/>
            </w:pPr>
            <w:r w:rsidRPr="005A0B8E">
              <w:rPr>
                <w:iCs/>
              </w:rPr>
              <w:t>Zákon č. 326/1999 Sb., o pobytu cizinců na území České republiky a o změně některých zákonů, ve znění pozdějších předpisů</w:t>
            </w:r>
            <w:r>
              <w:t xml:space="preserve">, tj. </w:t>
            </w:r>
            <w:r w:rsidRPr="005A0B8E">
              <w:t>právní norma upravující podmínky vstupu a pobytu cizince na území České republiky, včetně jeho vycestování z území</w:t>
            </w:r>
          </w:p>
        </w:tc>
      </w:tr>
      <w:tr w:rsidR="00793CA5" w14:paraId="1C782FEC" w14:textId="77777777" w:rsidTr="00793CA5">
        <w:tc>
          <w:tcPr>
            <w:tcW w:w="3114" w:type="dxa"/>
          </w:tcPr>
          <w:p w14:paraId="4A6DC403" w14:textId="77777777" w:rsidR="00793CA5" w:rsidRPr="009B6D5D" w:rsidRDefault="00AB215D" w:rsidP="004C3533">
            <w:pPr>
              <w:rPr>
                <w:b/>
              </w:rPr>
            </w:pPr>
            <w:r>
              <w:rPr>
                <w:b/>
              </w:rPr>
              <w:t>Vízum</w:t>
            </w:r>
          </w:p>
        </w:tc>
        <w:tc>
          <w:tcPr>
            <w:tcW w:w="5948" w:type="dxa"/>
          </w:tcPr>
          <w:p w14:paraId="70057576" w14:textId="77777777" w:rsidR="00793CA5" w:rsidRPr="00DA72BE" w:rsidRDefault="00DA72BE" w:rsidP="00F75287">
            <w:pPr>
              <w:jc w:val="both"/>
            </w:pPr>
            <w:r w:rsidRPr="00DA72BE">
              <w:rPr>
                <w:bCs/>
              </w:rPr>
              <w:t xml:space="preserve">povolení, které za podmínek v něm vyznačených opravňuje cizince ke vstupu a pobytu na </w:t>
            </w:r>
            <w:r>
              <w:rPr>
                <w:bCs/>
              </w:rPr>
              <w:t>určitém území</w:t>
            </w:r>
          </w:p>
        </w:tc>
      </w:tr>
      <w:tr w:rsidR="009B6D5D" w14:paraId="28980570" w14:textId="77777777" w:rsidTr="00793CA5">
        <w:tc>
          <w:tcPr>
            <w:tcW w:w="3114" w:type="dxa"/>
          </w:tcPr>
          <w:p w14:paraId="49D3348B" w14:textId="77777777" w:rsidR="009B6D5D" w:rsidRPr="009B6D5D" w:rsidRDefault="00AB215D" w:rsidP="004C3533">
            <w:pPr>
              <w:rPr>
                <w:b/>
              </w:rPr>
            </w:pPr>
            <w:r>
              <w:rPr>
                <w:b/>
              </w:rPr>
              <w:t>Krátkodobý pobyt</w:t>
            </w:r>
          </w:p>
        </w:tc>
        <w:tc>
          <w:tcPr>
            <w:tcW w:w="5948" w:type="dxa"/>
          </w:tcPr>
          <w:p w14:paraId="4693A119" w14:textId="77777777" w:rsidR="009B6D5D" w:rsidRPr="003C31F0" w:rsidRDefault="003C31F0" w:rsidP="00793CA5">
            <w:pPr>
              <w:jc w:val="both"/>
            </w:pPr>
            <w:r w:rsidRPr="003C31F0">
              <w:t>pobyt na dobu maximálně tří měsíců</w:t>
            </w:r>
          </w:p>
        </w:tc>
      </w:tr>
      <w:tr w:rsidR="009B6D5D" w14:paraId="3E351CAD" w14:textId="77777777" w:rsidTr="00793CA5">
        <w:tc>
          <w:tcPr>
            <w:tcW w:w="3114" w:type="dxa"/>
          </w:tcPr>
          <w:p w14:paraId="6B156CDB" w14:textId="77777777" w:rsidR="009B6D5D" w:rsidRPr="009B6D5D" w:rsidRDefault="00AB215D" w:rsidP="004C3533">
            <w:pPr>
              <w:rPr>
                <w:b/>
              </w:rPr>
            </w:pPr>
            <w:r>
              <w:rPr>
                <w:b/>
              </w:rPr>
              <w:t>N</w:t>
            </w:r>
            <w:r w:rsidRPr="00AB215D">
              <w:rPr>
                <w:b/>
              </w:rPr>
              <w:t>ové posouzení důvodů neudělení víza</w:t>
            </w:r>
          </w:p>
        </w:tc>
        <w:tc>
          <w:tcPr>
            <w:tcW w:w="5948" w:type="dxa"/>
          </w:tcPr>
          <w:p w14:paraId="2FFDFF3A" w14:textId="77777777" w:rsidR="009B6D5D" w:rsidRPr="003C31F0" w:rsidRDefault="00DA72BE" w:rsidP="00793CA5">
            <w:pPr>
              <w:jc w:val="both"/>
            </w:pPr>
            <w:r>
              <w:t xml:space="preserve">opravný prostředek (forma odvolání) proti rozhodnutí o zamítnutí žádosti o vízum </w:t>
            </w:r>
          </w:p>
        </w:tc>
      </w:tr>
      <w:tr w:rsidR="009B6D5D" w14:paraId="65901A83" w14:textId="77777777" w:rsidTr="00793CA5">
        <w:tc>
          <w:tcPr>
            <w:tcW w:w="3114" w:type="dxa"/>
          </w:tcPr>
          <w:p w14:paraId="1699F310" w14:textId="77777777" w:rsidR="009B6D5D" w:rsidRPr="009B6D5D" w:rsidRDefault="00AB215D" w:rsidP="004C3533">
            <w:pPr>
              <w:rPr>
                <w:b/>
              </w:rPr>
            </w:pPr>
            <w:r>
              <w:rPr>
                <w:b/>
              </w:rPr>
              <w:t>Dlouhodobý pobyt</w:t>
            </w:r>
          </w:p>
        </w:tc>
        <w:tc>
          <w:tcPr>
            <w:tcW w:w="5948" w:type="dxa"/>
          </w:tcPr>
          <w:p w14:paraId="2B0E7AF7" w14:textId="77777777" w:rsidR="009B6D5D" w:rsidRPr="003C31F0" w:rsidRDefault="006210B7" w:rsidP="002A007F">
            <w:pPr>
              <w:jc w:val="both"/>
            </w:pPr>
            <w:r>
              <w:t>pobyt na území nad 90 dnů</w:t>
            </w:r>
          </w:p>
        </w:tc>
      </w:tr>
      <w:tr w:rsidR="009B6D5D" w14:paraId="65BA3079" w14:textId="77777777" w:rsidTr="00793CA5">
        <w:tc>
          <w:tcPr>
            <w:tcW w:w="3114" w:type="dxa"/>
          </w:tcPr>
          <w:p w14:paraId="64560A0D" w14:textId="77777777" w:rsidR="009B6D5D" w:rsidRPr="009B6D5D" w:rsidRDefault="00AB215D" w:rsidP="004C3533">
            <w:pPr>
              <w:rPr>
                <w:b/>
              </w:rPr>
            </w:pPr>
            <w:r>
              <w:rPr>
                <w:b/>
              </w:rPr>
              <w:t>Trvalý pobyt</w:t>
            </w:r>
          </w:p>
        </w:tc>
        <w:tc>
          <w:tcPr>
            <w:tcW w:w="5948" w:type="dxa"/>
          </w:tcPr>
          <w:p w14:paraId="53CC753B" w14:textId="77777777" w:rsidR="009B6D5D" w:rsidRPr="003C31F0" w:rsidRDefault="00A86FED" w:rsidP="00793CA5">
            <w:pPr>
              <w:jc w:val="both"/>
            </w:pPr>
            <w:r>
              <w:t>pobyt na dobu neurčitou</w:t>
            </w:r>
            <w:r w:rsidR="006210B7">
              <w:t>, který garantuje statut v zásadě rovnající se občanům</w:t>
            </w:r>
          </w:p>
        </w:tc>
      </w:tr>
      <w:tr w:rsidR="002A007F" w14:paraId="32A1621A" w14:textId="77777777" w:rsidTr="00793CA5">
        <w:tc>
          <w:tcPr>
            <w:tcW w:w="3114" w:type="dxa"/>
          </w:tcPr>
          <w:p w14:paraId="32E27C35" w14:textId="77777777" w:rsidR="002A007F" w:rsidRDefault="00AB215D" w:rsidP="004C3533">
            <w:pPr>
              <w:rPr>
                <w:b/>
              </w:rPr>
            </w:pPr>
            <w:r>
              <w:rPr>
                <w:b/>
              </w:rPr>
              <w:t>Správní vyhoštění</w:t>
            </w:r>
          </w:p>
        </w:tc>
        <w:tc>
          <w:tcPr>
            <w:tcW w:w="5948" w:type="dxa"/>
          </w:tcPr>
          <w:p w14:paraId="35C3C676" w14:textId="77777777" w:rsidR="002A007F" w:rsidRPr="003C31F0" w:rsidRDefault="00AB215D" w:rsidP="00793CA5">
            <w:pPr>
              <w:jc w:val="both"/>
            </w:pPr>
            <w:r w:rsidRPr="003C31F0">
              <w:t>u</w:t>
            </w:r>
            <w:r w:rsidR="00A86FED" w:rsidRPr="003C31F0">
              <w:t>končení pobytu na území, které je spojeno se stanovením doby vycestování z území a doby, po kterou nelze cizinci umožnit vstup na území</w:t>
            </w:r>
          </w:p>
        </w:tc>
      </w:tr>
      <w:tr w:rsidR="00AB215D" w14:paraId="4046CD86" w14:textId="77777777" w:rsidTr="00793CA5">
        <w:tc>
          <w:tcPr>
            <w:tcW w:w="3114" w:type="dxa"/>
          </w:tcPr>
          <w:p w14:paraId="743D52FD" w14:textId="77777777" w:rsidR="00AB215D" w:rsidRDefault="00AB215D" w:rsidP="004C3533">
            <w:pPr>
              <w:rPr>
                <w:b/>
              </w:rPr>
            </w:pPr>
            <w:r>
              <w:rPr>
                <w:b/>
              </w:rPr>
              <w:t>Zajištění cizince</w:t>
            </w:r>
          </w:p>
        </w:tc>
        <w:tc>
          <w:tcPr>
            <w:tcW w:w="5948" w:type="dxa"/>
          </w:tcPr>
          <w:p w14:paraId="6FA5A20D" w14:textId="77777777" w:rsidR="00AB215D" w:rsidRPr="003C31F0" w:rsidRDefault="006210B7" w:rsidP="00793CA5">
            <w:pPr>
              <w:jc w:val="both"/>
            </w:pPr>
            <w:r>
              <w:t xml:space="preserve">omezení svobody cizince za účelem realizace správního vyhoštění, za účelem vycestování, nebo průvozu </w:t>
            </w:r>
            <w:r w:rsidR="005A0B8E">
              <w:t>či předání</w:t>
            </w:r>
          </w:p>
        </w:tc>
      </w:tr>
      <w:tr w:rsidR="00A86FED" w14:paraId="73A84FE4" w14:textId="77777777" w:rsidTr="00793CA5">
        <w:tc>
          <w:tcPr>
            <w:tcW w:w="3114" w:type="dxa"/>
          </w:tcPr>
          <w:p w14:paraId="774770CF" w14:textId="5B78AA58" w:rsidR="00A86FED" w:rsidRDefault="004D594D" w:rsidP="004C3533">
            <w:pPr>
              <w:rPr>
                <w:b/>
              </w:rPr>
            </w:pPr>
            <w:r>
              <w:rPr>
                <w:b/>
              </w:rPr>
              <w:t>Modrá karta</w:t>
            </w:r>
          </w:p>
        </w:tc>
        <w:tc>
          <w:tcPr>
            <w:tcW w:w="5948" w:type="dxa"/>
          </w:tcPr>
          <w:p w14:paraId="0ABF9AF5" w14:textId="77CCE8B2" w:rsidR="00A86FED" w:rsidRDefault="004D594D" w:rsidP="00EE0774">
            <w:pPr>
              <w:jc w:val="both"/>
            </w:pPr>
            <w:r>
              <w:t>m</w:t>
            </w:r>
            <w:r w:rsidRPr="004D594D">
              <w:t>odrá karta vydaná Českou republikou je povolení k dlouhodobému pobytu na území České republiky za účelem výkonu zaměstnání vyžadujícího vysokou kvalifikaci.</w:t>
            </w:r>
            <w:r>
              <w:rPr>
                <w:rFonts w:ascii="Arial" w:hAnsi="Arial" w:cs="Arial"/>
                <w:color w:val="393939"/>
                <w:spacing w:val="9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14:paraId="1B0DC216" w14:textId="77777777" w:rsidR="00793CA5" w:rsidRDefault="00793CA5" w:rsidP="00793CA5">
      <w:pPr>
        <w:spacing w:after="0"/>
      </w:pPr>
    </w:p>
    <w:p w14:paraId="79DB7AF7" w14:textId="77777777" w:rsidR="00E56FCB" w:rsidRPr="00E56FCB" w:rsidRDefault="00E56FCB" w:rsidP="00793CA5">
      <w:pPr>
        <w:spacing w:after="0"/>
        <w:rPr>
          <w:i/>
        </w:rPr>
      </w:pPr>
      <w:r w:rsidRPr="00E56FCB">
        <w:rPr>
          <w:i/>
        </w:rPr>
        <w:t>Pozn. Termíny, které jsou podtrženy, mají přesné vymezení v </w:t>
      </w:r>
      <w:r w:rsidR="00EE0774">
        <w:rPr>
          <w:i/>
        </w:rPr>
        <w:t xml:space="preserve">§ 2 </w:t>
      </w:r>
      <w:r w:rsidRPr="00E56FCB">
        <w:rPr>
          <w:i/>
        </w:rPr>
        <w:t xml:space="preserve">zák. č. 325/1999 Sb., o azylu. </w:t>
      </w:r>
    </w:p>
    <w:sectPr w:rsidR="00E56FCB" w:rsidRPr="00E5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9CF"/>
    <w:multiLevelType w:val="hybridMultilevel"/>
    <w:tmpl w:val="CCE27C3A"/>
    <w:lvl w:ilvl="0" w:tplc="22C4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E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6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E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6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C2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C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6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8F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6415F3"/>
    <w:multiLevelType w:val="hybridMultilevel"/>
    <w:tmpl w:val="A6128928"/>
    <w:lvl w:ilvl="0" w:tplc="3C026E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68C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2C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4EC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671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6E2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E2A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604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64A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55CF"/>
    <w:multiLevelType w:val="hybridMultilevel"/>
    <w:tmpl w:val="81F6178A"/>
    <w:lvl w:ilvl="0" w:tplc="6ED2E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EC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6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6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A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0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A6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83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9E"/>
    <w:rsid w:val="00052E64"/>
    <w:rsid w:val="000D733E"/>
    <w:rsid w:val="00121AAD"/>
    <w:rsid w:val="0013222D"/>
    <w:rsid w:val="001369B4"/>
    <w:rsid w:val="00143705"/>
    <w:rsid w:val="00152E90"/>
    <w:rsid w:val="00186EFE"/>
    <w:rsid w:val="001B1A7C"/>
    <w:rsid w:val="0021756F"/>
    <w:rsid w:val="002A007F"/>
    <w:rsid w:val="002A453B"/>
    <w:rsid w:val="002C28E2"/>
    <w:rsid w:val="003C31F0"/>
    <w:rsid w:val="004059B2"/>
    <w:rsid w:val="00416587"/>
    <w:rsid w:val="00453DBE"/>
    <w:rsid w:val="0045595F"/>
    <w:rsid w:val="00461608"/>
    <w:rsid w:val="004C3533"/>
    <w:rsid w:val="004D594D"/>
    <w:rsid w:val="005274F4"/>
    <w:rsid w:val="005A0B8E"/>
    <w:rsid w:val="00614FD5"/>
    <w:rsid w:val="006210B7"/>
    <w:rsid w:val="00642FCF"/>
    <w:rsid w:val="00701D1C"/>
    <w:rsid w:val="00731D85"/>
    <w:rsid w:val="00762C61"/>
    <w:rsid w:val="00793CA5"/>
    <w:rsid w:val="007B0613"/>
    <w:rsid w:val="007C2A71"/>
    <w:rsid w:val="007C306E"/>
    <w:rsid w:val="007D5BDE"/>
    <w:rsid w:val="0082029E"/>
    <w:rsid w:val="00831169"/>
    <w:rsid w:val="0083335F"/>
    <w:rsid w:val="00874E06"/>
    <w:rsid w:val="00892339"/>
    <w:rsid w:val="008A4C5B"/>
    <w:rsid w:val="008A588A"/>
    <w:rsid w:val="008B2B5E"/>
    <w:rsid w:val="008F36F4"/>
    <w:rsid w:val="008F39F5"/>
    <w:rsid w:val="009369C7"/>
    <w:rsid w:val="009A749B"/>
    <w:rsid w:val="009B6D5D"/>
    <w:rsid w:val="009F4C92"/>
    <w:rsid w:val="00A712F0"/>
    <w:rsid w:val="00A86FED"/>
    <w:rsid w:val="00A946D9"/>
    <w:rsid w:val="00AB0F39"/>
    <w:rsid w:val="00AB215D"/>
    <w:rsid w:val="00AC3F1F"/>
    <w:rsid w:val="00B2773C"/>
    <w:rsid w:val="00B3489A"/>
    <w:rsid w:val="00B4695D"/>
    <w:rsid w:val="00B65250"/>
    <w:rsid w:val="00B86C99"/>
    <w:rsid w:val="00C02D46"/>
    <w:rsid w:val="00C14B5B"/>
    <w:rsid w:val="00C53387"/>
    <w:rsid w:val="00D24089"/>
    <w:rsid w:val="00D530AA"/>
    <w:rsid w:val="00DA72BE"/>
    <w:rsid w:val="00DD2426"/>
    <w:rsid w:val="00E34146"/>
    <w:rsid w:val="00E3588A"/>
    <w:rsid w:val="00E51BF0"/>
    <w:rsid w:val="00E56FCB"/>
    <w:rsid w:val="00EE0774"/>
    <w:rsid w:val="00F02B88"/>
    <w:rsid w:val="00F75287"/>
    <w:rsid w:val="00FA6F46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CA0F"/>
  <w15:chartTrackingRefBased/>
  <w15:docId w15:val="{614C6059-0BCD-4059-BBDB-5476FC14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2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0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6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445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Sochorová</dc:creator>
  <cp:keywords/>
  <dc:description/>
  <cp:lastModifiedBy>Jana Jurníková</cp:lastModifiedBy>
  <cp:revision>2</cp:revision>
  <cp:lastPrinted>2018-11-22T10:08:00Z</cp:lastPrinted>
  <dcterms:created xsi:type="dcterms:W3CDTF">2024-11-27T13:31:00Z</dcterms:created>
  <dcterms:modified xsi:type="dcterms:W3CDTF">2024-11-27T13:31:00Z</dcterms:modified>
</cp:coreProperties>
</file>