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A3" w:rsidRPr="00C50788" w:rsidRDefault="009F2BA3" w:rsidP="009F2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C50788">
        <w:rPr>
          <w:rFonts w:ascii="Garamond" w:hAnsi="Garamond" w:cs="Times New Roman"/>
          <w:b/>
          <w:sz w:val="36"/>
          <w:szCs w:val="36"/>
          <w:u w:val="single"/>
        </w:rPr>
        <w:t xml:space="preserve">Příklady Správní právo II </w:t>
      </w:r>
      <w:r>
        <w:rPr>
          <w:rFonts w:ascii="Garamond" w:hAnsi="Garamond" w:cs="Times New Roman"/>
          <w:b/>
          <w:sz w:val="36"/>
          <w:szCs w:val="36"/>
          <w:u w:val="single"/>
        </w:rPr>
        <w:t>6</w:t>
      </w:r>
      <w:r w:rsidRPr="00C50788">
        <w:rPr>
          <w:rFonts w:ascii="Garamond" w:hAnsi="Garamond" w:cs="Times New Roman"/>
          <w:b/>
          <w:sz w:val="36"/>
          <w:szCs w:val="36"/>
          <w:u w:val="single"/>
        </w:rPr>
        <w:t>. seminář</w:t>
      </w:r>
    </w:p>
    <w:p w:rsidR="009F2BA3" w:rsidRPr="009F2BA3" w:rsidRDefault="009F2BA3" w:rsidP="009F2BA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460E86" w:rsidRPr="009F2BA3" w:rsidRDefault="00460E86" w:rsidP="00460E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Soudní kontrola veřejné správy</w:t>
      </w:r>
    </w:p>
    <w:p w:rsidR="00460E86" w:rsidRPr="00214E40" w:rsidRDefault="00460E86" w:rsidP="00460E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214E40">
        <w:rPr>
          <w:rFonts w:ascii="Garamond" w:hAnsi="Garamond" w:cs="Times New Roman"/>
          <w:b/>
          <w:i/>
          <w:sz w:val="24"/>
          <w:szCs w:val="24"/>
        </w:rPr>
        <w:t>Příklad</w:t>
      </w:r>
    </w:p>
    <w:p w:rsidR="00460E86" w:rsidRPr="00214E40" w:rsidRDefault="00460E86" w:rsidP="00460E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14E40">
        <w:rPr>
          <w:rFonts w:ascii="Garamond" w:hAnsi="Garamond" w:cs="Times New Roman"/>
          <w:sz w:val="24"/>
          <w:szCs w:val="24"/>
        </w:rPr>
        <w:t>Dne 20. 5. začala Česká televize podle § 59 odst. 4 zákona o volbách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do Evropského parlamentu vysílat volební spoty politických stran kandidujících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ve volbách do Evropského parlamentu.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Odvysílala rovněž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spot Národní strany, který byl posléze kvůli svému obsahu z</w:t>
      </w:r>
      <w:r>
        <w:rPr>
          <w:rFonts w:ascii="Garamond" w:hAnsi="Garamond" w:cs="Times New Roman"/>
          <w:sz w:val="24"/>
          <w:szCs w:val="24"/>
        </w:rPr>
        <w:t> </w:t>
      </w:r>
      <w:r w:rsidRPr="00214E40">
        <w:rPr>
          <w:rFonts w:ascii="Garamond" w:hAnsi="Garamond" w:cs="Times New Roman"/>
          <w:sz w:val="24"/>
          <w:szCs w:val="24"/>
        </w:rPr>
        <w:t>rozhodnutí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generálního ředitele České televize z vysílání stažen s odůvodněním,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že se Česká televize nemůže podílet na rasismu a xenofobii. Ve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vysílání České televize se tak místo volebního spotu Národní strany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ve vyhrazeném čase objevovalo prohlášení, že Národní strana volební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spot nedodala. Národní strana avizovala, že podá návrh na "zneplatnění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4E40">
        <w:rPr>
          <w:rFonts w:ascii="Garamond" w:hAnsi="Garamond" w:cs="Times New Roman"/>
          <w:sz w:val="24"/>
          <w:szCs w:val="24"/>
        </w:rPr>
        <w:t>voleb do Evropského parlamentu".</w:t>
      </w:r>
    </w:p>
    <w:p w:rsidR="00460E86" w:rsidRDefault="00460E86" w:rsidP="00460E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</w:p>
    <w:p w:rsidR="00460E86" w:rsidRPr="00214E40" w:rsidRDefault="00460E86" w:rsidP="00460E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214E40">
        <w:rPr>
          <w:rFonts w:ascii="Garamond" w:hAnsi="Garamond" w:cs="Arial"/>
          <w:i/>
          <w:iCs/>
          <w:sz w:val="24"/>
          <w:szCs w:val="24"/>
        </w:rPr>
        <w:t>Odpovězte</w:t>
      </w:r>
      <w:r>
        <w:rPr>
          <w:rFonts w:ascii="Garamond" w:hAnsi="Garamond" w:cs="Arial"/>
          <w:i/>
          <w:iCs/>
          <w:sz w:val="24"/>
          <w:szCs w:val="24"/>
        </w:rPr>
        <w:t xml:space="preserve"> </w:t>
      </w:r>
      <w:r w:rsidRPr="00214E40">
        <w:rPr>
          <w:rFonts w:ascii="Garamond" w:hAnsi="Garamond" w:cs="Arial"/>
          <w:i/>
          <w:iCs/>
          <w:sz w:val="24"/>
          <w:szCs w:val="24"/>
        </w:rPr>
        <w:t>na otázky k případu:</w:t>
      </w:r>
    </w:p>
    <w:p w:rsidR="00460E86" w:rsidRPr="00214E40" w:rsidRDefault="00460E86" w:rsidP="00460E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 xml:space="preserve">Mohla </w:t>
      </w:r>
      <w:r w:rsidRPr="00214E40">
        <w:rPr>
          <w:rFonts w:ascii="Garamond" w:hAnsi="Garamond" w:cs="Times New Roman"/>
          <w:iCs/>
          <w:sz w:val="24"/>
          <w:szCs w:val="24"/>
        </w:rPr>
        <w:t xml:space="preserve">v </w:t>
      </w:r>
      <w:r w:rsidRPr="00214E40">
        <w:rPr>
          <w:rFonts w:ascii="Garamond" w:hAnsi="Garamond" w:cs="Arial"/>
          <w:sz w:val="24"/>
          <w:szCs w:val="24"/>
        </w:rPr>
        <w:t>tomto případě Národní strana podat návrh k soudu?</w:t>
      </w:r>
    </w:p>
    <w:p w:rsidR="00460E86" w:rsidRPr="00214E40" w:rsidRDefault="00460E86" w:rsidP="00460E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Pokud ano, za jakých podmínek? V jaké lhůtě je třeba návrh podat?</w:t>
      </w:r>
    </w:p>
    <w:p w:rsidR="00460E86" w:rsidRPr="00214E40" w:rsidRDefault="00460E86" w:rsidP="00460E86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iCs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 xml:space="preserve">Který soud by byl příslušný o věci </w:t>
      </w:r>
      <w:r w:rsidRPr="00214E40">
        <w:rPr>
          <w:rFonts w:ascii="Garamond" w:hAnsi="Garamond" w:cs="Arial"/>
          <w:iCs/>
          <w:sz w:val="24"/>
          <w:szCs w:val="24"/>
        </w:rPr>
        <w:t>rozhodovat?</w:t>
      </w:r>
    </w:p>
    <w:p w:rsidR="00460E86" w:rsidRDefault="00460E86" w:rsidP="00460E8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460E86" w:rsidRDefault="00460E86" w:rsidP="00460E8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460E86" w:rsidRPr="00214E40" w:rsidRDefault="00460E86" w:rsidP="00460E86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Garamond" w:hAnsi="Garamond" w:cs="Arial"/>
          <w:b/>
          <w:sz w:val="24"/>
          <w:szCs w:val="24"/>
        </w:rPr>
      </w:pPr>
      <w:r w:rsidRPr="00214E40">
        <w:rPr>
          <w:rFonts w:ascii="Garamond" w:hAnsi="Garamond" w:cs="Arial"/>
          <w:b/>
          <w:sz w:val="24"/>
          <w:szCs w:val="24"/>
        </w:rPr>
        <w:t>Kontrolní otázky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iCs/>
          <w:sz w:val="24"/>
          <w:szCs w:val="24"/>
        </w:rPr>
        <w:t xml:space="preserve">Vysvětlete </w:t>
      </w:r>
      <w:r w:rsidRPr="00214E40">
        <w:rPr>
          <w:rFonts w:ascii="Garamond" w:hAnsi="Garamond" w:cs="Arial"/>
          <w:sz w:val="24"/>
          <w:szCs w:val="24"/>
        </w:rPr>
        <w:t xml:space="preserve">ústavně a mezinárodněprávní základy správního soudnictví </w:t>
      </w:r>
      <w:r w:rsidRPr="00214E40">
        <w:rPr>
          <w:rFonts w:ascii="Garamond" w:hAnsi="Garamond" w:cs="Times New Roman"/>
          <w:iCs/>
          <w:sz w:val="24"/>
          <w:szCs w:val="24"/>
        </w:rPr>
        <w:t xml:space="preserve">v </w:t>
      </w:r>
      <w:r w:rsidRPr="00214E40">
        <w:rPr>
          <w:rFonts w:ascii="Garamond" w:hAnsi="Garamond" w:cs="Arial"/>
          <w:sz w:val="24"/>
          <w:szCs w:val="24"/>
        </w:rPr>
        <w:t>České republice.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iCs/>
          <w:sz w:val="24"/>
          <w:szCs w:val="24"/>
        </w:rPr>
        <w:t xml:space="preserve">Vysvětlete </w:t>
      </w:r>
      <w:r w:rsidRPr="00214E40">
        <w:rPr>
          <w:rFonts w:ascii="Garamond" w:hAnsi="Garamond" w:cs="Arial"/>
          <w:sz w:val="24"/>
          <w:szCs w:val="24"/>
        </w:rPr>
        <w:t>pojem "plné jurisdikce".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iCs/>
          <w:sz w:val="24"/>
          <w:szCs w:val="24"/>
        </w:rPr>
        <w:t xml:space="preserve">Vysvětlete </w:t>
      </w:r>
      <w:r w:rsidRPr="00214E40">
        <w:rPr>
          <w:rFonts w:ascii="Garamond" w:hAnsi="Garamond" w:cs="Arial"/>
          <w:sz w:val="24"/>
          <w:szCs w:val="24"/>
        </w:rPr>
        <w:t>zásadu subsidiarity ochrany správními soudy.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 xml:space="preserve">Kdy bude přezkoumávat rozhodnutí správního orgánu správní soud a kdy bude ve věci </w:t>
      </w:r>
      <w:r w:rsidRPr="00214E40">
        <w:rPr>
          <w:rFonts w:ascii="Garamond" w:hAnsi="Garamond" w:cs="Arial"/>
          <w:iCs/>
          <w:sz w:val="24"/>
          <w:szCs w:val="24"/>
        </w:rPr>
        <w:t xml:space="preserve">rozhodovat </w:t>
      </w:r>
      <w:r w:rsidRPr="00214E40">
        <w:rPr>
          <w:rFonts w:ascii="Garamond" w:hAnsi="Garamond" w:cs="Arial"/>
          <w:sz w:val="24"/>
          <w:szCs w:val="24"/>
        </w:rPr>
        <w:t>civilní soud podle části páté o. s. ř.?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V jakém rozsahu a z jakých hledisek mohou správní soudy přezkou</w:t>
      </w:r>
      <w:r w:rsidRPr="00214E40">
        <w:rPr>
          <w:rFonts w:ascii="Garamond" w:hAnsi="Garamond" w:cs="Arial"/>
          <w:iCs/>
          <w:sz w:val="24"/>
          <w:szCs w:val="24"/>
        </w:rPr>
        <w:t xml:space="preserve">mávat </w:t>
      </w:r>
      <w:r w:rsidRPr="00214E40">
        <w:rPr>
          <w:rFonts w:ascii="Garamond" w:hAnsi="Garamond" w:cs="Arial"/>
          <w:sz w:val="24"/>
          <w:szCs w:val="24"/>
        </w:rPr>
        <w:t>správní uvážení?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Jak je zajištěna ochrana pro případ nicotnosti správního rozhodnutí?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Je totožné postavení nejvyššího státního zástupce a Veřejného ochránce práv co do jejich aktivní žalobní legitimace k ochraně veřejného zájmu?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Vymezte důvody nepřípustnosti žaloby proti rozhodnutí správního orgánu.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Jakými způsoby může v řízení o žalobě proti rozhodnutí správního orgánu správní soud rozhodnout?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Jaké jsou podmínky přípustnosti žaloby na ochranu proti nečinnosti správního orgánu?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Může soud stanovit závazně i konkrétní obsah rozhodnutí, jehož vydání uloží správnímu orgánu v řízení o žalobě na ochranu proti nečinnosti?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 xml:space="preserve">Co se rozumí nezákonným </w:t>
      </w:r>
      <w:r>
        <w:rPr>
          <w:rFonts w:ascii="Garamond" w:hAnsi="Garamond" w:cs="Arial"/>
          <w:sz w:val="24"/>
          <w:szCs w:val="24"/>
        </w:rPr>
        <w:t>zásahem správního orgánu</w:t>
      </w:r>
      <w:r w:rsidRPr="00214E40">
        <w:rPr>
          <w:rFonts w:ascii="Garamond" w:hAnsi="Garamond" w:cs="Arial"/>
          <w:sz w:val="24"/>
          <w:szCs w:val="24"/>
        </w:rPr>
        <w:t xml:space="preserve"> ve smyslu </w:t>
      </w:r>
      <w:r w:rsidRPr="00214E40">
        <w:rPr>
          <w:rFonts w:ascii="Garamond" w:hAnsi="Garamond" w:cs="Times New Roman"/>
          <w:sz w:val="24"/>
          <w:szCs w:val="24"/>
        </w:rPr>
        <w:t>§</w:t>
      </w:r>
      <w:r w:rsidRPr="00214E40">
        <w:rPr>
          <w:rFonts w:ascii="Garamond" w:hAnsi="Garamond" w:cs="Arial"/>
          <w:sz w:val="24"/>
          <w:szCs w:val="24"/>
        </w:rPr>
        <w:t xml:space="preserve">82 s. </w:t>
      </w:r>
      <w:r w:rsidRPr="00214E40">
        <w:rPr>
          <w:rFonts w:ascii="Garamond" w:hAnsi="Garamond" w:cs="Times New Roman"/>
          <w:sz w:val="24"/>
          <w:szCs w:val="24"/>
        </w:rPr>
        <w:t xml:space="preserve">ř. </w:t>
      </w:r>
      <w:r w:rsidRPr="00214E40">
        <w:rPr>
          <w:rFonts w:ascii="Garamond" w:hAnsi="Garamond" w:cs="Arial"/>
          <w:sz w:val="24"/>
          <w:szCs w:val="24"/>
        </w:rPr>
        <w:t>s.?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Vysvětlete nepřípustnost a nepřijatelnost kasační stížnosti.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Uveďte, které jsou tzv. jiné právní předpisy, o jejichž zrušení může Ústavní soud rozhodnout.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Kdo je aktivně legitimován k podání návrhu na zrušení jiného právního předpisu či jeho ustanovení?</w:t>
      </w:r>
    </w:p>
    <w:p w:rsidR="00460E86" w:rsidRPr="00214E40" w:rsidRDefault="00460E86" w:rsidP="00460E8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Jaké účinky má zrušení právního předpisu ve vztahu k pravomocnému rozhodnutí, jež bylo na jeho základě vydáno?</w:t>
      </w:r>
    </w:p>
    <w:p w:rsidR="00460E86" w:rsidRDefault="00460E86" w:rsidP="00460E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Petiční právo</w:t>
      </w:r>
    </w:p>
    <w:p w:rsidR="00460E86" w:rsidRPr="009F2BA3" w:rsidRDefault="00460E86" w:rsidP="00460E86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Garamond" w:hAnsi="Garamond" w:cs="Times New Roman"/>
          <w:b/>
          <w:sz w:val="28"/>
          <w:szCs w:val="28"/>
        </w:rPr>
      </w:pPr>
      <w:r w:rsidRPr="00214E40">
        <w:rPr>
          <w:rFonts w:ascii="Garamond" w:hAnsi="Garamond" w:cs="Arial"/>
          <w:b/>
          <w:sz w:val="24"/>
          <w:szCs w:val="24"/>
        </w:rPr>
        <w:t>Kontrolní otázky</w:t>
      </w:r>
    </w:p>
    <w:p w:rsidR="00460E86" w:rsidRPr="00214E40" w:rsidRDefault="00460E86" w:rsidP="00460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Charakterizujte význam a účel petičního práva v demokratickém právním státě.</w:t>
      </w:r>
    </w:p>
    <w:p w:rsidR="00460E86" w:rsidRPr="00214E40" w:rsidRDefault="00460E86" w:rsidP="00460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Může se petiční právo dostat do kolize s jinými ústavně zaručenými právy? Jak lze v takovém případě konflikt řešit?</w:t>
      </w:r>
    </w:p>
    <w:p w:rsidR="00460E86" w:rsidRPr="00214E40" w:rsidRDefault="00460E86" w:rsidP="00460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Charakterizujte petici.</w:t>
      </w:r>
    </w:p>
    <w:p w:rsidR="00460E86" w:rsidRPr="00214E40" w:rsidRDefault="00460E86" w:rsidP="00460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Uveďte podmínky pro získávání podpisů občanů pro určitou petici.</w:t>
      </w:r>
    </w:p>
    <w:p w:rsidR="00460E86" w:rsidRPr="00214E40" w:rsidRDefault="00460E86" w:rsidP="00460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lastRenderedPageBreak/>
        <w:t>Je proces projednání a vyřízení petice správním řízením?</w:t>
      </w:r>
    </w:p>
    <w:p w:rsidR="00460E86" w:rsidRPr="00214E40" w:rsidRDefault="00460E86" w:rsidP="00460E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Vymezte pojem stížnosti.</w:t>
      </w:r>
    </w:p>
    <w:p w:rsidR="00460E86" w:rsidRPr="00214E40" w:rsidRDefault="00460E86" w:rsidP="00460E86">
      <w:pPr>
        <w:pStyle w:val="Odstavecseseznamem"/>
        <w:numPr>
          <w:ilvl w:val="0"/>
          <w:numId w:val="5"/>
        </w:numPr>
        <w:rPr>
          <w:rFonts w:ascii="Garamond" w:hAnsi="Garamond" w:cs="Arial"/>
          <w:sz w:val="24"/>
          <w:szCs w:val="24"/>
        </w:rPr>
      </w:pPr>
      <w:r w:rsidRPr="00214E40">
        <w:rPr>
          <w:rFonts w:ascii="Garamond" w:hAnsi="Garamond" w:cs="Arial"/>
          <w:sz w:val="24"/>
          <w:szCs w:val="24"/>
        </w:rPr>
        <w:t>Pokuste se odlišit stížnost, podnět a oznámení.</w:t>
      </w:r>
    </w:p>
    <w:p w:rsidR="009F2BA3" w:rsidRPr="009F2BA3" w:rsidRDefault="009F2BA3" w:rsidP="009F2B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9F2BA3">
        <w:rPr>
          <w:rFonts w:ascii="Garamond" w:hAnsi="Garamond" w:cs="Times New Roman"/>
          <w:b/>
          <w:sz w:val="28"/>
          <w:szCs w:val="28"/>
        </w:rPr>
        <w:t>Správní trestání</w:t>
      </w:r>
    </w:p>
    <w:p w:rsidR="009F2BA3" w:rsidRPr="009F2BA3" w:rsidRDefault="00214E40" w:rsidP="009F2B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Příklad</w:t>
      </w:r>
    </w:p>
    <w:p w:rsidR="00EF6C79" w:rsidRPr="009F2BA3" w:rsidRDefault="009F2BA3" w:rsidP="009F2B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F2BA3">
        <w:rPr>
          <w:rFonts w:ascii="Garamond" w:hAnsi="Garamond" w:cs="Times New Roman"/>
          <w:sz w:val="24"/>
          <w:szCs w:val="24"/>
        </w:rPr>
        <w:t xml:space="preserve">Petr </w:t>
      </w:r>
      <w:proofErr w:type="spellStart"/>
      <w:r w:rsidRPr="009F2BA3">
        <w:rPr>
          <w:rFonts w:ascii="Garamond" w:hAnsi="Garamond" w:cs="Times New Roman"/>
          <w:sz w:val="24"/>
          <w:szCs w:val="24"/>
        </w:rPr>
        <w:t>Pindavý</w:t>
      </w:r>
      <w:proofErr w:type="spellEnd"/>
      <w:r w:rsidRPr="009F2BA3">
        <w:rPr>
          <w:rFonts w:ascii="Garamond" w:hAnsi="Garamond" w:cs="Times New Roman"/>
          <w:sz w:val="24"/>
          <w:szCs w:val="24"/>
        </w:rPr>
        <w:t xml:space="preserve"> šel dne 1.</w:t>
      </w:r>
      <w:r w:rsidR="00ED2DEC">
        <w:rPr>
          <w:rFonts w:ascii="Garamond" w:hAnsi="Garamond" w:cs="Times New Roman"/>
          <w:sz w:val="24"/>
          <w:szCs w:val="24"/>
        </w:rPr>
        <w:t xml:space="preserve"> </w:t>
      </w:r>
      <w:r w:rsidRPr="009F2BA3">
        <w:rPr>
          <w:rFonts w:ascii="Garamond" w:hAnsi="Garamond" w:cs="Times New Roman"/>
          <w:sz w:val="24"/>
          <w:szCs w:val="24"/>
        </w:rPr>
        <w:t>4. s kamarádem Ondrou v nočních hodinách ze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F2BA3">
        <w:rPr>
          <w:rFonts w:ascii="Garamond" w:hAnsi="Garamond" w:cs="Times New Roman"/>
          <w:sz w:val="24"/>
          <w:szCs w:val="24"/>
        </w:rPr>
        <w:t>známé hospody Ponorka na kolej Gen. Svobody v Olomouci. Na Horním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F2BA3">
        <w:rPr>
          <w:rFonts w:ascii="Garamond" w:hAnsi="Garamond" w:cs="Times New Roman"/>
          <w:sz w:val="24"/>
          <w:szCs w:val="24"/>
        </w:rPr>
        <w:t>náměstí je zaujal Sloup Nejsvětější trojice a při absenci pražského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F2BA3">
        <w:rPr>
          <w:rFonts w:ascii="Garamond" w:hAnsi="Garamond" w:cs="Times New Roman"/>
          <w:sz w:val="24"/>
          <w:szCs w:val="24"/>
        </w:rPr>
        <w:t>Svatého Václava na koni pojali nápad, že udělají něco "studentského",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F2BA3">
        <w:rPr>
          <w:rFonts w:ascii="Garamond" w:hAnsi="Garamond" w:cs="Times New Roman"/>
          <w:sz w:val="24"/>
          <w:szCs w:val="24"/>
        </w:rPr>
        <w:t>čím se budou moci chlubit svým v Praze studujícím kamarádů</w:t>
      </w:r>
      <w:r w:rsidR="00ED2DEC">
        <w:rPr>
          <w:rFonts w:ascii="Garamond" w:hAnsi="Garamond" w:cs="Times New Roman"/>
          <w:sz w:val="24"/>
          <w:szCs w:val="24"/>
        </w:rPr>
        <w:t>m.</w:t>
      </w:r>
      <w:r w:rsidRPr="009F2BA3">
        <w:rPr>
          <w:rFonts w:ascii="Garamond" w:hAnsi="Garamond" w:cs="Times New Roman"/>
          <w:sz w:val="24"/>
          <w:szCs w:val="24"/>
        </w:rPr>
        <w:t xml:space="preserve"> Za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F2BA3">
        <w:rPr>
          <w:rFonts w:ascii="Garamond" w:hAnsi="Garamond" w:cs="Times New Roman"/>
          <w:sz w:val="24"/>
          <w:szCs w:val="24"/>
        </w:rPr>
        <w:t>hlasitého povzbuzování kamarádem Ondřejem si Petr sundal kalhoty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F2BA3">
        <w:rPr>
          <w:rFonts w:ascii="Garamond" w:hAnsi="Garamond" w:cs="Times New Roman"/>
          <w:sz w:val="24"/>
          <w:szCs w:val="24"/>
        </w:rPr>
        <w:t>a sloup, zapsaný na seznamu UNESCO, pomočil.</w:t>
      </w:r>
    </w:p>
    <w:p w:rsidR="009F2BA3" w:rsidRDefault="009F2BA3" w:rsidP="009F2B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9F2BA3" w:rsidRPr="009F2BA3" w:rsidRDefault="009F2BA3" w:rsidP="009F2B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 w:rsidRPr="009F2BA3">
        <w:rPr>
          <w:rFonts w:ascii="Garamond" w:hAnsi="Garamond" w:cs="Arial"/>
          <w:bCs/>
          <w:i/>
          <w:iCs/>
          <w:sz w:val="24"/>
          <w:szCs w:val="24"/>
        </w:rPr>
        <w:t>Odpovězte na otázky k případu:</w:t>
      </w:r>
    </w:p>
    <w:p w:rsidR="009F2BA3" w:rsidRPr="009F2BA3" w:rsidRDefault="009F2BA3" w:rsidP="009F2B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 xml:space="preserve">Jaký delikt a kdo </w:t>
      </w:r>
      <w:r w:rsidRPr="009F2BA3">
        <w:rPr>
          <w:rFonts w:ascii="Garamond" w:hAnsi="Garamond" w:cs="Times New Roman"/>
          <w:iCs/>
          <w:sz w:val="24"/>
          <w:szCs w:val="24"/>
        </w:rPr>
        <w:t xml:space="preserve">v </w:t>
      </w:r>
      <w:r w:rsidRPr="009F2BA3">
        <w:rPr>
          <w:rFonts w:ascii="Garamond" w:hAnsi="Garamond" w:cs="Arial"/>
          <w:sz w:val="24"/>
          <w:szCs w:val="24"/>
        </w:rPr>
        <w:t xml:space="preserve">popsaném případě spáchal? </w:t>
      </w:r>
    </w:p>
    <w:p w:rsidR="009F2BA3" w:rsidRPr="009F2BA3" w:rsidRDefault="009F2BA3" w:rsidP="009F2BA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Kdo bude delikt, případně delikty projednávat, a podle jakých předpisů?</w:t>
      </w:r>
    </w:p>
    <w:p w:rsidR="009F2BA3" w:rsidRPr="009F2BA3" w:rsidRDefault="009F2BA3" w:rsidP="009F2BA3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Jaké sankce je možné pachatelům uložit?</w:t>
      </w:r>
    </w:p>
    <w:p w:rsidR="009F2BA3" w:rsidRPr="009F2BA3" w:rsidRDefault="009F2BA3" w:rsidP="009F2BA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9F2BA3">
        <w:rPr>
          <w:rFonts w:ascii="Garamond" w:hAnsi="Garamond" w:cs="Arial"/>
          <w:b/>
          <w:sz w:val="24"/>
          <w:szCs w:val="24"/>
        </w:rPr>
        <w:t>Kontrolní otázky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Vysvětlete odlišnosti soudního trestání od správního trestání.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Je správní právo trestní kodifikováno?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Jaké mezinárodněprávní dokumenty mají význam pro správní trestání?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Je pojem "správní delikt" legálně definován?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Jak se promítá zásada zákonnosti do oblasti správního trestání?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Lze ve správním právu trestním aplikovat analogii?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Uplatní se zásada presumpce neviny ve vztahu k odpovědnosti za přestupky?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 xml:space="preserve">Vysvětlete podstatu </w:t>
      </w:r>
      <w:r w:rsidRPr="009F2BA3">
        <w:rPr>
          <w:rFonts w:ascii="Garamond" w:hAnsi="Garamond" w:cs="Times New Roman"/>
          <w:sz w:val="24"/>
          <w:szCs w:val="24"/>
        </w:rPr>
        <w:t xml:space="preserve">zásady ne </w:t>
      </w:r>
      <w:r w:rsidRPr="009F2BA3">
        <w:rPr>
          <w:rFonts w:ascii="Garamond" w:hAnsi="Garamond" w:cs="Arial"/>
          <w:sz w:val="24"/>
          <w:szCs w:val="24"/>
        </w:rPr>
        <w:t xml:space="preserve">bis </w:t>
      </w:r>
      <w:proofErr w:type="gramStart"/>
      <w:r w:rsidRPr="009F2BA3">
        <w:rPr>
          <w:rFonts w:ascii="Garamond" w:hAnsi="Garamond" w:cs="Arial"/>
          <w:sz w:val="24"/>
          <w:szCs w:val="24"/>
        </w:rPr>
        <w:t>in</w:t>
      </w:r>
      <w:proofErr w:type="gramEnd"/>
      <w:r w:rsidRPr="009F2BA3">
        <w:rPr>
          <w:rFonts w:ascii="Garamond" w:hAnsi="Garamond" w:cs="Arial"/>
          <w:sz w:val="24"/>
          <w:szCs w:val="24"/>
        </w:rPr>
        <w:t xml:space="preserve"> idem.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Vysvětlete tvrzení, že definice přestupku je založena na kombinaci materiálního znaku a znaků formálních a na kombinaci pozitivního a negativního vymezení.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Jsou ve vztahu k odpovědnosti za přestupek okolnosti vylučující protiprávnost totéž co důvody zániku trestnosti?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Co je objektem přestupku a jaké typy objektu rozlišujeme?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Je odpovědnost za přestupek odpovědností objektivní či subjektivní?</w:t>
      </w:r>
    </w:p>
    <w:p w:rsidR="009F2BA3" w:rsidRPr="009F2BA3" w:rsidRDefault="009F2BA3" w:rsidP="009F2BA3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9F2BA3">
        <w:rPr>
          <w:rFonts w:ascii="Garamond" w:hAnsi="Garamond" w:cs="Arial"/>
          <w:sz w:val="24"/>
          <w:szCs w:val="24"/>
        </w:rPr>
        <w:t>Co je účelem postihu za pořádkový správní delikt?</w:t>
      </w:r>
    </w:p>
    <w:p w:rsidR="00214E40" w:rsidRDefault="00214E40" w:rsidP="009F2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E40" w:rsidRDefault="00214E40" w:rsidP="00214E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Odpovědnost veřejné správy</w:t>
      </w:r>
    </w:p>
    <w:p w:rsidR="00214E40" w:rsidRPr="00214E40" w:rsidRDefault="00662511" w:rsidP="0066251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Garamond" w:hAnsi="Garamond" w:cs="Times New Roman"/>
          <w:sz w:val="24"/>
          <w:szCs w:val="24"/>
        </w:rPr>
      </w:pPr>
      <w:r w:rsidRPr="00214E40">
        <w:rPr>
          <w:rFonts w:ascii="Garamond" w:hAnsi="Garamond" w:cs="Arial"/>
          <w:b/>
          <w:sz w:val="24"/>
          <w:szCs w:val="24"/>
        </w:rPr>
        <w:t>Kontrolní otázky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>Jaký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je charakter odpovědnosti dle zákona č. 82/1998 Sb.?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>Kdo</w:t>
      </w:r>
      <w:r w:rsidR="00214E40" w:rsidRPr="00662511">
        <w:rPr>
          <w:rFonts w:ascii="Garamond" w:hAnsi="Garamond" w:cs="Arial"/>
          <w:sz w:val="24"/>
          <w:szCs w:val="24"/>
        </w:rPr>
        <w:t xml:space="preserve"> j</w:t>
      </w:r>
      <w:r w:rsidRPr="00662511">
        <w:rPr>
          <w:rFonts w:ascii="Garamond" w:hAnsi="Garamond" w:cs="Arial"/>
          <w:sz w:val="24"/>
          <w:szCs w:val="24"/>
        </w:rPr>
        <w:t>sou subjekty odpovědnosti za škodu způsobenou při výkonu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veřejné moci?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>Kdo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a proč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je subjektem odpovědnosti, pokud je škoda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způsobena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obecním úřadem při výkonu přenesené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působnosti?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>Za jakých podmínek vzniká nárok na náhradu škodu způsobené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nezákonným rozhodnutím?</w:t>
      </w:r>
    </w:p>
    <w:p w:rsidR="009F2BA3" w:rsidRPr="00662511" w:rsidRDefault="00214E40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 xml:space="preserve">Vysvětlete pojem </w:t>
      </w:r>
      <w:r w:rsidR="009F2BA3" w:rsidRPr="00662511">
        <w:rPr>
          <w:rFonts w:ascii="Garamond" w:hAnsi="Garamond" w:cs="Arial"/>
          <w:sz w:val="24"/>
          <w:szCs w:val="24"/>
        </w:rPr>
        <w:t>nesprávný úřední postup</w:t>
      </w:r>
      <w:r w:rsidRPr="00662511">
        <w:rPr>
          <w:rFonts w:ascii="Garamond" w:hAnsi="Garamond" w:cs="Arial"/>
          <w:sz w:val="24"/>
          <w:szCs w:val="24"/>
        </w:rPr>
        <w:t>.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 xml:space="preserve">Je předběžné projednání nároku </w:t>
      </w:r>
      <w:r w:rsidRPr="00662511">
        <w:rPr>
          <w:rFonts w:ascii="Garamond" w:hAnsi="Garamond" w:cs="Arial"/>
          <w:iCs/>
          <w:sz w:val="24"/>
          <w:szCs w:val="24"/>
        </w:rPr>
        <w:t xml:space="preserve">vždy </w:t>
      </w:r>
      <w:r w:rsidRPr="00662511">
        <w:rPr>
          <w:rFonts w:ascii="Garamond" w:hAnsi="Garamond" w:cs="Arial"/>
          <w:sz w:val="24"/>
          <w:szCs w:val="24"/>
        </w:rPr>
        <w:t>nezbytnou podmínkou pro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následné uplatnění nároku u soudu?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>Jaké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soudy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rozhodují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iCs/>
          <w:sz w:val="24"/>
          <w:szCs w:val="24"/>
        </w:rPr>
        <w:t xml:space="preserve">ve věcech </w:t>
      </w:r>
      <w:r w:rsidRPr="00662511">
        <w:rPr>
          <w:rFonts w:ascii="Garamond" w:hAnsi="Garamond" w:cs="Arial"/>
          <w:sz w:val="24"/>
          <w:szCs w:val="24"/>
        </w:rPr>
        <w:t>náhrady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škody</w:t>
      </w:r>
      <w:r w:rsidR="00214E40" w:rsidRPr="00662511">
        <w:rPr>
          <w:rFonts w:ascii="Garamond" w:hAnsi="Garamond" w:cs="Arial"/>
          <w:sz w:val="24"/>
          <w:szCs w:val="24"/>
        </w:rPr>
        <w:t xml:space="preserve"> po</w:t>
      </w:r>
      <w:r w:rsidRPr="00662511">
        <w:rPr>
          <w:rFonts w:ascii="Garamond" w:hAnsi="Garamond" w:cs="Arial"/>
          <w:sz w:val="24"/>
          <w:szCs w:val="24"/>
        </w:rPr>
        <w:t>dle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zákona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č. 82/1998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Sb.?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 xml:space="preserve">Lze odškodnit i nemajetkovou újmu způsobenou při výkonu </w:t>
      </w:r>
      <w:r w:rsidRPr="00662511">
        <w:rPr>
          <w:rFonts w:ascii="Garamond" w:hAnsi="Garamond" w:cs="Arial"/>
          <w:iCs/>
          <w:sz w:val="24"/>
          <w:szCs w:val="24"/>
        </w:rPr>
        <w:t>veřej</w:t>
      </w:r>
      <w:r w:rsidRPr="00662511">
        <w:rPr>
          <w:rFonts w:ascii="Garamond" w:hAnsi="Garamond" w:cs="Arial"/>
          <w:sz w:val="24"/>
          <w:szCs w:val="24"/>
        </w:rPr>
        <w:t>né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moci?</w:t>
      </w:r>
    </w:p>
    <w:p w:rsidR="009F2BA3" w:rsidRPr="00662511" w:rsidRDefault="009F2BA3" w:rsidP="006625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62511">
        <w:rPr>
          <w:rFonts w:ascii="Garamond" w:hAnsi="Garamond" w:cs="Arial"/>
          <w:sz w:val="24"/>
          <w:szCs w:val="24"/>
        </w:rPr>
        <w:t>Jaký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je vzájemný vztah mezi nárokem na náhradu majetkové škody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a</w:t>
      </w:r>
      <w:r w:rsidR="00214E40" w:rsidRPr="00662511">
        <w:rPr>
          <w:rFonts w:ascii="Garamond" w:hAnsi="Garamond" w:cs="Arial"/>
          <w:sz w:val="24"/>
          <w:szCs w:val="24"/>
        </w:rPr>
        <w:t xml:space="preserve"> </w:t>
      </w:r>
      <w:r w:rsidRPr="00662511">
        <w:rPr>
          <w:rFonts w:ascii="Garamond" w:hAnsi="Garamond" w:cs="Arial"/>
          <w:sz w:val="24"/>
          <w:szCs w:val="24"/>
        </w:rPr>
        <w:t>nemajetkové újmy?</w:t>
      </w:r>
    </w:p>
    <w:p w:rsidR="009F2BA3" w:rsidRPr="00460E86" w:rsidRDefault="009F2BA3" w:rsidP="00214E40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60E86">
        <w:rPr>
          <w:rFonts w:ascii="Garamond" w:hAnsi="Garamond" w:cs="Arial"/>
          <w:sz w:val="24"/>
          <w:szCs w:val="24"/>
        </w:rPr>
        <w:t>K čemu slouží</w:t>
      </w:r>
      <w:r w:rsidR="00214E40" w:rsidRPr="00460E86">
        <w:rPr>
          <w:rFonts w:ascii="Garamond" w:hAnsi="Garamond" w:cs="Arial"/>
          <w:sz w:val="24"/>
          <w:szCs w:val="24"/>
        </w:rPr>
        <w:t xml:space="preserve"> </w:t>
      </w:r>
      <w:r w:rsidRPr="00460E86">
        <w:rPr>
          <w:rFonts w:ascii="Garamond" w:hAnsi="Garamond" w:cs="Times New Roman"/>
          <w:iCs/>
          <w:sz w:val="24"/>
          <w:szCs w:val="24"/>
        </w:rPr>
        <w:t xml:space="preserve">tzv. </w:t>
      </w:r>
      <w:r w:rsidRPr="00460E86">
        <w:rPr>
          <w:rFonts w:ascii="Garamond" w:hAnsi="Garamond" w:cs="Arial"/>
          <w:sz w:val="24"/>
          <w:szCs w:val="24"/>
        </w:rPr>
        <w:t>regresní</w:t>
      </w:r>
      <w:r w:rsidR="00662511" w:rsidRPr="00460E86">
        <w:rPr>
          <w:rFonts w:ascii="Garamond" w:hAnsi="Garamond" w:cs="Arial"/>
          <w:sz w:val="24"/>
          <w:szCs w:val="24"/>
        </w:rPr>
        <w:t xml:space="preserve"> </w:t>
      </w:r>
      <w:r w:rsidRPr="00460E86">
        <w:rPr>
          <w:rFonts w:ascii="Garamond" w:hAnsi="Garamond" w:cs="Arial"/>
          <w:sz w:val="24"/>
          <w:szCs w:val="24"/>
        </w:rPr>
        <w:t>úhrady?</w:t>
      </w:r>
    </w:p>
    <w:p w:rsidR="00460E86" w:rsidRPr="00460E86" w:rsidRDefault="00460E86" w:rsidP="00460E86">
      <w:pPr>
        <w:pStyle w:val="Odstavecseseznamem"/>
        <w:jc w:val="both"/>
        <w:rPr>
          <w:rFonts w:ascii="Garamond" w:hAnsi="Garamond"/>
          <w:sz w:val="24"/>
          <w:szCs w:val="24"/>
        </w:rPr>
      </w:pPr>
    </w:p>
    <w:sectPr w:rsidR="00460E86" w:rsidRPr="00460E86" w:rsidSect="00460E8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86" w:rsidRDefault="00460E86" w:rsidP="00460E86">
      <w:pPr>
        <w:spacing w:after="0" w:line="240" w:lineRule="auto"/>
      </w:pPr>
      <w:r>
        <w:separator/>
      </w:r>
    </w:p>
  </w:endnote>
  <w:endnote w:type="continuationSeparator" w:id="0">
    <w:p w:rsidR="00460E86" w:rsidRDefault="00460E86" w:rsidP="0046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86" w:rsidRDefault="00460E86" w:rsidP="00460E86">
    <w:pPr>
      <w:pStyle w:val="Zpat"/>
      <w:jc w:val="both"/>
    </w:pPr>
    <w:r w:rsidRPr="00802E35">
      <w:rPr>
        <w:rFonts w:ascii="Garamond" w:hAnsi="Garamond" w:cs="Arial"/>
        <w:i/>
        <w:sz w:val="24"/>
        <w:szCs w:val="24"/>
      </w:rPr>
      <w:t>Pozn. zpracováno za využití:</w:t>
    </w:r>
    <w:r>
      <w:rPr>
        <w:rFonts w:ascii="Garamond" w:hAnsi="Garamond" w:cs="Arial"/>
        <w:sz w:val="24"/>
        <w:szCs w:val="24"/>
      </w:rPr>
      <w:t xml:space="preserve"> </w:t>
    </w:r>
    <w:r w:rsidRPr="00905702">
      <w:rPr>
        <w:rFonts w:ascii="Garamond" w:hAnsi="Garamond" w:cs="Arial"/>
        <w:sz w:val="24"/>
        <w:szCs w:val="24"/>
      </w:rPr>
      <w:t xml:space="preserve">POUPEROVÁ, Olga, Lucia MADLEŇÁKOVÁ a Kateřina FRUMAROVÁ. </w:t>
    </w:r>
    <w:r w:rsidRPr="00905702">
      <w:rPr>
        <w:rFonts w:ascii="Garamond" w:hAnsi="Garamond" w:cs="Arial"/>
        <w:i/>
        <w:iCs/>
        <w:sz w:val="24"/>
        <w:szCs w:val="24"/>
      </w:rPr>
      <w:t>Praktikum z obecného správního práva</w:t>
    </w:r>
    <w:r w:rsidRPr="00905702">
      <w:rPr>
        <w:rFonts w:ascii="Garamond" w:hAnsi="Garamond" w:cs="Arial"/>
        <w:sz w:val="24"/>
        <w:szCs w:val="24"/>
      </w:rPr>
      <w:t xml:space="preserve">. 2. část. Praha: </w:t>
    </w:r>
    <w:proofErr w:type="spellStart"/>
    <w:r w:rsidRPr="00905702">
      <w:rPr>
        <w:rFonts w:ascii="Garamond" w:hAnsi="Garamond" w:cs="Arial"/>
        <w:sz w:val="24"/>
        <w:szCs w:val="24"/>
      </w:rPr>
      <w:t>Leges</w:t>
    </w:r>
    <w:proofErr w:type="spellEnd"/>
    <w:r w:rsidRPr="00905702">
      <w:rPr>
        <w:rFonts w:ascii="Garamond" w:hAnsi="Garamond" w:cs="Arial"/>
        <w:sz w:val="24"/>
        <w:szCs w:val="24"/>
      </w:rPr>
      <w:t>, 2014</w:t>
    </w:r>
    <w:r>
      <w:rPr>
        <w:rFonts w:ascii="Garamond" w:hAnsi="Garamond" w:cs="Arial"/>
        <w:sz w:val="24"/>
        <w:szCs w:val="24"/>
      </w:rPr>
      <w:t>. Student, s. 19 - 20, 24 - 25, 42, 46, 68, 85 - 87, 93.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86" w:rsidRDefault="00460E86" w:rsidP="00460E86">
      <w:pPr>
        <w:spacing w:after="0" w:line="240" w:lineRule="auto"/>
      </w:pPr>
      <w:r>
        <w:separator/>
      </w:r>
    </w:p>
  </w:footnote>
  <w:footnote w:type="continuationSeparator" w:id="0">
    <w:p w:rsidR="00460E86" w:rsidRDefault="00460E86" w:rsidP="0046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73EE"/>
    <w:multiLevelType w:val="hybridMultilevel"/>
    <w:tmpl w:val="8A9A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31E6"/>
    <w:multiLevelType w:val="hybridMultilevel"/>
    <w:tmpl w:val="F4E0B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26027"/>
    <w:multiLevelType w:val="hybridMultilevel"/>
    <w:tmpl w:val="2C6EF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43D23"/>
    <w:multiLevelType w:val="hybridMultilevel"/>
    <w:tmpl w:val="3A9A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B0628"/>
    <w:multiLevelType w:val="hybridMultilevel"/>
    <w:tmpl w:val="BAE6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78BC"/>
    <w:multiLevelType w:val="hybridMultilevel"/>
    <w:tmpl w:val="3830E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A3"/>
    <w:rsid w:val="00001503"/>
    <w:rsid w:val="000108D3"/>
    <w:rsid w:val="00025AAC"/>
    <w:rsid w:val="00032D96"/>
    <w:rsid w:val="000467EB"/>
    <w:rsid w:val="00052521"/>
    <w:rsid w:val="00066AA6"/>
    <w:rsid w:val="00071A13"/>
    <w:rsid w:val="00076BE7"/>
    <w:rsid w:val="000810F4"/>
    <w:rsid w:val="00090AC3"/>
    <w:rsid w:val="000A6EDA"/>
    <w:rsid w:val="000B1DD8"/>
    <w:rsid w:val="000B7CB2"/>
    <w:rsid w:val="000C32D5"/>
    <w:rsid w:val="000D4DB5"/>
    <w:rsid w:val="000E470C"/>
    <w:rsid w:val="000E7A5D"/>
    <w:rsid w:val="000F2DFF"/>
    <w:rsid w:val="00137D3B"/>
    <w:rsid w:val="00143D6C"/>
    <w:rsid w:val="00152B5A"/>
    <w:rsid w:val="00155293"/>
    <w:rsid w:val="00155C6F"/>
    <w:rsid w:val="00165ACC"/>
    <w:rsid w:val="00165AE7"/>
    <w:rsid w:val="0017661A"/>
    <w:rsid w:val="00177740"/>
    <w:rsid w:val="001963B7"/>
    <w:rsid w:val="001A5ED9"/>
    <w:rsid w:val="001B05F9"/>
    <w:rsid w:val="001B0A32"/>
    <w:rsid w:val="001C361F"/>
    <w:rsid w:val="001C450C"/>
    <w:rsid w:val="001D4AC0"/>
    <w:rsid w:val="001F3E26"/>
    <w:rsid w:val="001F6FFF"/>
    <w:rsid w:val="002147E1"/>
    <w:rsid w:val="00214D26"/>
    <w:rsid w:val="00214E40"/>
    <w:rsid w:val="00216845"/>
    <w:rsid w:val="00220B4C"/>
    <w:rsid w:val="00225FD0"/>
    <w:rsid w:val="00226F4B"/>
    <w:rsid w:val="0022787C"/>
    <w:rsid w:val="002616C7"/>
    <w:rsid w:val="00265AB8"/>
    <w:rsid w:val="00292F8E"/>
    <w:rsid w:val="002A4E07"/>
    <w:rsid w:val="002A5B60"/>
    <w:rsid w:val="002A6C97"/>
    <w:rsid w:val="002C402C"/>
    <w:rsid w:val="002C58F1"/>
    <w:rsid w:val="002D303D"/>
    <w:rsid w:val="002E134E"/>
    <w:rsid w:val="002E5BFB"/>
    <w:rsid w:val="002F0386"/>
    <w:rsid w:val="003044EA"/>
    <w:rsid w:val="00304EF4"/>
    <w:rsid w:val="00327B3C"/>
    <w:rsid w:val="00340123"/>
    <w:rsid w:val="00340DC2"/>
    <w:rsid w:val="00342037"/>
    <w:rsid w:val="00347AE4"/>
    <w:rsid w:val="00352521"/>
    <w:rsid w:val="00364B4F"/>
    <w:rsid w:val="00377F54"/>
    <w:rsid w:val="00381E10"/>
    <w:rsid w:val="00395526"/>
    <w:rsid w:val="003A5FE9"/>
    <w:rsid w:val="003A7A2A"/>
    <w:rsid w:val="003B0864"/>
    <w:rsid w:val="003B50A9"/>
    <w:rsid w:val="003C566B"/>
    <w:rsid w:val="003C7196"/>
    <w:rsid w:val="003D49B7"/>
    <w:rsid w:val="003E1B67"/>
    <w:rsid w:val="003F6A08"/>
    <w:rsid w:val="00402160"/>
    <w:rsid w:val="00405BA1"/>
    <w:rsid w:val="00407E9C"/>
    <w:rsid w:val="00410074"/>
    <w:rsid w:val="004158DD"/>
    <w:rsid w:val="00417093"/>
    <w:rsid w:val="00423C8C"/>
    <w:rsid w:val="00431998"/>
    <w:rsid w:val="00447125"/>
    <w:rsid w:val="0045514A"/>
    <w:rsid w:val="00460E86"/>
    <w:rsid w:val="00484DA2"/>
    <w:rsid w:val="00491CCB"/>
    <w:rsid w:val="004931F7"/>
    <w:rsid w:val="00494FB4"/>
    <w:rsid w:val="00497D63"/>
    <w:rsid w:val="004B192B"/>
    <w:rsid w:val="004C06A5"/>
    <w:rsid w:val="004D064F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C41"/>
    <w:rsid w:val="005402EB"/>
    <w:rsid w:val="00543483"/>
    <w:rsid w:val="005473D8"/>
    <w:rsid w:val="005509A8"/>
    <w:rsid w:val="00552218"/>
    <w:rsid w:val="00552C56"/>
    <w:rsid w:val="005537BF"/>
    <w:rsid w:val="005665D9"/>
    <w:rsid w:val="00571EBD"/>
    <w:rsid w:val="005735FB"/>
    <w:rsid w:val="00584218"/>
    <w:rsid w:val="0059111D"/>
    <w:rsid w:val="00593E8B"/>
    <w:rsid w:val="005A3269"/>
    <w:rsid w:val="005A6D01"/>
    <w:rsid w:val="005B5B38"/>
    <w:rsid w:val="005D3474"/>
    <w:rsid w:val="005F7731"/>
    <w:rsid w:val="006036EE"/>
    <w:rsid w:val="006046D4"/>
    <w:rsid w:val="0061121C"/>
    <w:rsid w:val="00617EA0"/>
    <w:rsid w:val="00620F5A"/>
    <w:rsid w:val="0062288C"/>
    <w:rsid w:val="00627569"/>
    <w:rsid w:val="00645701"/>
    <w:rsid w:val="00650D30"/>
    <w:rsid w:val="00662511"/>
    <w:rsid w:val="006645EA"/>
    <w:rsid w:val="00664CA9"/>
    <w:rsid w:val="006721A5"/>
    <w:rsid w:val="00675F89"/>
    <w:rsid w:val="00684B4A"/>
    <w:rsid w:val="00696B01"/>
    <w:rsid w:val="006D3DFE"/>
    <w:rsid w:val="006E21A7"/>
    <w:rsid w:val="006E3D38"/>
    <w:rsid w:val="006E71F3"/>
    <w:rsid w:val="006F6B66"/>
    <w:rsid w:val="007050B5"/>
    <w:rsid w:val="00716B59"/>
    <w:rsid w:val="00733237"/>
    <w:rsid w:val="0073419C"/>
    <w:rsid w:val="00745748"/>
    <w:rsid w:val="00752566"/>
    <w:rsid w:val="00757D21"/>
    <w:rsid w:val="00764DC8"/>
    <w:rsid w:val="00767E90"/>
    <w:rsid w:val="00772BF6"/>
    <w:rsid w:val="00773A59"/>
    <w:rsid w:val="007B0EF5"/>
    <w:rsid w:val="007B2D43"/>
    <w:rsid w:val="007D0467"/>
    <w:rsid w:val="007D693B"/>
    <w:rsid w:val="007E3694"/>
    <w:rsid w:val="007E75CA"/>
    <w:rsid w:val="007F4744"/>
    <w:rsid w:val="007F7B85"/>
    <w:rsid w:val="0081321A"/>
    <w:rsid w:val="00825637"/>
    <w:rsid w:val="008358E1"/>
    <w:rsid w:val="0084649B"/>
    <w:rsid w:val="008476B0"/>
    <w:rsid w:val="008505DE"/>
    <w:rsid w:val="0085061F"/>
    <w:rsid w:val="00851928"/>
    <w:rsid w:val="00863F0D"/>
    <w:rsid w:val="008769F6"/>
    <w:rsid w:val="008A2CA9"/>
    <w:rsid w:val="008B596E"/>
    <w:rsid w:val="008C0F6F"/>
    <w:rsid w:val="008C6F9A"/>
    <w:rsid w:val="008D0BA6"/>
    <w:rsid w:val="008E5FE5"/>
    <w:rsid w:val="0090111D"/>
    <w:rsid w:val="00901C60"/>
    <w:rsid w:val="00902F59"/>
    <w:rsid w:val="00904170"/>
    <w:rsid w:val="00906502"/>
    <w:rsid w:val="009116E6"/>
    <w:rsid w:val="009154D0"/>
    <w:rsid w:val="00923169"/>
    <w:rsid w:val="00927852"/>
    <w:rsid w:val="00930689"/>
    <w:rsid w:val="0093415A"/>
    <w:rsid w:val="009403E5"/>
    <w:rsid w:val="0095173D"/>
    <w:rsid w:val="0097719E"/>
    <w:rsid w:val="009822DC"/>
    <w:rsid w:val="00984992"/>
    <w:rsid w:val="009926B7"/>
    <w:rsid w:val="00997A96"/>
    <w:rsid w:val="009A58D9"/>
    <w:rsid w:val="009C4BCC"/>
    <w:rsid w:val="009D4C8D"/>
    <w:rsid w:val="009D4F36"/>
    <w:rsid w:val="009E0918"/>
    <w:rsid w:val="009F1568"/>
    <w:rsid w:val="009F2BA3"/>
    <w:rsid w:val="00A163EC"/>
    <w:rsid w:val="00A17045"/>
    <w:rsid w:val="00A205FB"/>
    <w:rsid w:val="00A35DFF"/>
    <w:rsid w:val="00A47596"/>
    <w:rsid w:val="00A577C5"/>
    <w:rsid w:val="00A71A64"/>
    <w:rsid w:val="00A71E1B"/>
    <w:rsid w:val="00A80198"/>
    <w:rsid w:val="00AB035E"/>
    <w:rsid w:val="00AB6B72"/>
    <w:rsid w:val="00AC4935"/>
    <w:rsid w:val="00AC71D6"/>
    <w:rsid w:val="00AD19F2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16D2E"/>
    <w:rsid w:val="00B26210"/>
    <w:rsid w:val="00B3172B"/>
    <w:rsid w:val="00B32844"/>
    <w:rsid w:val="00B36737"/>
    <w:rsid w:val="00B443C3"/>
    <w:rsid w:val="00B46581"/>
    <w:rsid w:val="00B618A3"/>
    <w:rsid w:val="00B83C8D"/>
    <w:rsid w:val="00BA0827"/>
    <w:rsid w:val="00BA3953"/>
    <w:rsid w:val="00BA3FC0"/>
    <w:rsid w:val="00BB3750"/>
    <w:rsid w:val="00BB5D3C"/>
    <w:rsid w:val="00BD2032"/>
    <w:rsid w:val="00BD28B5"/>
    <w:rsid w:val="00BD33DF"/>
    <w:rsid w:val="00BD4071"/>
    <w:rsid w:val="00BD697D"/>
    <w:rsid w:val="00BE2141"/>
    <w:rsid w:val="00BF1F63"/>
    <w:rsid w:val="00BF45D6"/>
    <w:rsid w:val="00BF4D97"/>
    <w:rsid w:val="00C06C8F"/>
    <w:rsid w:val="00C101B5"/>
    <w:rsid w:val="00C11940"/>
    <w:rsid w:val="00C12AB9"/>
    <w:rsid w:val="00C262EC"/>
    <w:rsid w:val="00C2630A"/>
    <w:rsid w:val="00C27D9B"/>
    <w:rsid w:val="00C30E28"/>
    <w:rsid w:val="00C342DB"/>
    <w:rsid w:val="00C729CC"/>
    <w:rsid w:val="00C77978"/>
    <w:rsid w:val="00CA1FDF"/>
    <w:rsid w:val="00CC5BF8"/>
    <w:rsid w:val="00CD0955"/>
    <w:rsid w:val="00CD580D"/>
    <w:rsid w:val="00D02B1C"/>
    <w:rsid w:val="00D10240"/>
    <w:rsid w:val="00D13247"/>
    <w:rsid w:val="00D14ADF"/>
    <w:rsid w:val="00D26404"/>
    <w:rsid w:val="00D3296B"/>
    <w:rsid w:val="00D47407"/>
    <w:rsid w:val="00D57A6B"/>
    <w:rsid w:val="00D77BDC"/>
    <w:rsid w:val="00D87BF7"/>
    <w:rsid w:val="00D9152A"/>
    <w:rsid w:val="00DA0C73"/>
    <w:rsid w:val="00DA6597"/>
    <w:rsid w:val="00DB4086"/>
    <w:rsid w:val="00DB6509"/>
    <w:rsid w:val="00DB6B7A"/>
    <w:rsid w:val="00DC1AC6"/>
    <w:rsid w:val="00DC7B3D"/>
    <w:rsid w:val="00DE3550"/>
    <w:rsid w:val="00E02254"/>
    <w:rsid w:val="00E273C2"/>
    <w:rsid w:val="00E32958"/>
    <w:rsid w:val="00E33E74"/>
    <w:rsid w:val="00E33F1B"/>
    <w:rsid w:val="00E736F0"/>
    <w:rsid w:val="00E86650"/>
    <w:rsid w:val="00E903FF"/>
    <w:rsid w:val="00EA27C9"/>
    <w:rsid w:val="00EA6156"/>
    <w:rsid w:val="00EA651B"/>
    <w:rsid w:val="00EA6D59"/>
    <w:rsid w:val="00EC154A"/>
    <w:rsid w:val="00ED2DEC"/>
    <w:rsid w:val="00ED37D0"/>
    <w:rsid w:val="00ED45BD"/>
    <w:rsid w:val="00ED5490"/>
    <w:rsid w:val="00ED7A0D"/>
    <w:rsid w:val="00EF095D"/>
    <w:rsid w:val="00EF11AA"/>
    <w:rsid w:val="00EF6C79"/>
    <w:rsid w:val="00F13410"/>
    <w:rsid w:val="00F25F51"/>
    <w:rsid w:val="00F32EA8"/>
    <w:rsid w:val="00F36885"/>
    <w:rsid w:val="00F44554"/>
    <w:rsid w:val="00F52831"/>
    <w:rsid w:val="00F73595"/>
    <w:rsid w:val="00F84591"/>
    <w:rsid w:val="00F86BDE"/>
    <w:rsid w:val="00F93178"/>
    <w:rsid w:val="00F977B5"/>
    <w:rsid w:val="00F97A03"/>
    <w:rsid w:val="00FA1E4B"/>
    <w:rsid w:val="00FA2A92"/>
    <w:rsid w:val="00FA6603"/>
    <w:rsid w:val="00FD04ED"/>
    <w:rsid w:val="00FD76BA"/>
    <w:rsid w:val="00FE0EA8"/>
    <w:rsid w:val="00FF103D"/>
    <w:rsid w:val="00FF264F"/>
    <w:rsid w:val="00FF2CEA"/>
    <w:rsid w:val="00FF4D86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B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6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0E86"/>
  </w:style>
  <w:style w:type="paragraph" w:styleId="Zpat">
    <w:name w:val="footer"/>
    <w:basedOn w:val="Normln"/>
    <w:link w:val="ZpatChar"/>
    <w:uiPriority w:val="99"/>
    <w:semiHidden/>
    <w:unhideWhenUsed/>
    <w:rsid w:val="0046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0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A63B-0545-44AD-93FC-2A92D3BA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5</cp:revision>
  <dcterms:created xsi:type="dcterms:W3CDTF">2018-12-03T14:46:00Z</dcterms:created>
  <dcterms:modified xsi:type="dcterms:W3CDTF">2018-12-04T09:23:00Z</dcterms:modified>
</cp:coreProperties>
</file>