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37" w:rsidRDefault="009B5E26">
      <w:pPr>
        <w:rPr>
          <w:b/>
          <w:sz w:val="28"/>
          <w:szCs w:val="28"/>
        </w:rPr>
      </w:pPr>
      <w:r w:rsidRPr="009B5E26">
        <w:rPr>
          <w:b/>
          <w:sz w:val="28"/>
          <w:szCs w:val="28"/>
        </w:rPr>
        <w:t xml:space="preserve">               </w:t>
      </w:r>
      <w:r w:rsidR="007079A1">
        <w:rPr>
          <w:b/>
          <w:sz w:val="28"/>
          <w:szCs w:val="28"/>
        </w:rPr>
        <w:t xml:space="preserve">       </w:t>
      </w:r>
      <w:r w:rsidRPr="009B5E26">
        <w:rPr>
          <w:b/>
          <w:sz w:val="28"/>
          <w:szCs w:val="28"/>
        </w:rPr>
        <w:t xml:space="preserve">  Protokol</w:t>
      </w:r>
      <w:r w:rsidR="00004CE1">
        <w:rPr>
          <w:b/>
          <w:sz w:val="28"/>
          <w:szCs w:val="28"/>
        </w:rPr>
        <w:t xml:space="preserve"> </w:t>
      </w:r>
      <w:proofErr w:type="gramStart"/>
      <w:r w:rsidR="00004CE1">
        <w:rPr>
          <w:b/>
          <w:sz w:val="28"/>
          <w:szCs w:val="28"/>
        </w:rPr>
        <w:t xml:space="preserve">č.4 </w:t>
      </w:r>
      <w:r w:rsidRPr="009B5E26">
        <w:rPr>
          <w:b/>
          <w:sz w:val="28"/>
          <w:szCs w:val="28"/>
        </w:rPr>
        <w:t>: Hodnocení</w:t>
      </w:r>
      <w:proofErr w:type="gramEnd"/>
      <w:r w:rsidRPr="009B5E26">
        <w:rPr>
          <w:b/>
          <w:sz w:val="28"/>
          <w:szCs w:val="28"/>
        </w:rPr>
        <w:t xml:space="preserve"> nátěru kostní dřeně mikroskopicky</w:t>
      </w:r>
    </w:p>
    <w:p w:rsidR="007079A1" w:rsidRDefault="007079A1"/>
    <w:p w:rsidR="009B5E26" w:rsidRDefault="009B5E26">
      <w:r>
        <w:t>Datum:</w:t>
      </w:r>
      <w:r w:rsidR="00004CE1">
        <w:t xml:space="preserve"> </w:t>
      </w:r>
      <w:bookmarkStart w:id="0" w:name="_GoBack"/>
      <w:bookmarkEnd w:id="0"/>
    </w:p>
    <w:p w:rsidR="009B5E26" w:rsidRDefault="009B5E26">
      <w:r>
        <w:t>Vypracoval:</w:t>
      </w:r>
    </w:p>
    <w:p w:rsidR="009B5E26" w:rsidRDefault="009B5E26">
      <w:r>
        <w:t>Obor:</w:t>
      </w:r>
    </w:p>
    <w:p w:rsidR="009B5E26" w:rsidRDefault="009B5E26"/>
    <w:p w:rsidR="007079A1" w:rsidRPr="009B5E26" w:rsidRDefault="007079A1">
      <w:r>
        <w:t>Preparát č.:</w:t>
      </w:r>
    </w:p>
    <w:tbl>
      <w:tblPr>
        <w:tblStyle w:val="Mkatabulky"/>
        <w:tblW w:w="10430" w:type="dxa"/>
        <w:tblLook w:val="04A0" w:firstRow="1" w:lastRow="0" w:firstColumn="1" w:lastColumn="0" w:noHBand="0" w:noVBand="1"/>
      </w:tblPr>
      <w:tblGrid>
        <w:gridCol w:w="180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5E26" w:rsidTr="00894215">
        <w:trPr>
          <w:trHeight w:val="537"/>
        </w:trPr>
        <w:tc>
          <w:tcPr>
            <w:tcW w:w="1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Myeloblast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</w:tcBorders>
          </w:tcPr>
          <w:p w:rsidR="009B5E26" w:rsidRDefault="009B5E26"/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proofErr w:type="spellStart"/>
            <w:r>
              <w:t>Promyelocyt</w:t>
            </w:r>
            <w:proofErr w:type="spellEnd"/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Myelocyt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proofErr w:type="spellStart"/>
            <w:r>
              <w:t>Metamyelocyt</w:t>
            </w:r>
            <w:proofErr w:type="spellEnd"/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Tyč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Segment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Eozinofil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proofErr w:type="spellStart"/>
            <w:r>
              <w:t>Bazofil</w:t>
            </w:r>
            <w:proofErr w:type="spellEnd"/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Monocyt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vAlign w:val="center"/>
          </w:tcPr>
          <w:p w:rsidR="009B5E26" w:rsidRDefault="009B5E26" w:rsidP="007079A1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proofErr w:type="spellStart"/>
            <w:r>
              <w:t>Proerytroblast</w:t>
            </w:r>
            <w:proofErr w:type="spellEnd"/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Bazofilní normoblast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664FB1" w:rsidP="007079A1">
            <w:proofErr w:type="spellStart"/>
            <w:r>
              <w:t>Polychromatofilní</w:t>
            </w:r>
            <w:proofErr w:type="spellEnd"/>
            <w:r w:rsidR="009B5E26">
              <w:t xml:space="preserve"> normoblast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proofErr w:type="spellStart"/>
            <w:r>
              <w:t>Oxyfilní</w:t>
            </w:r>
            <w:proofErr w:type="spellEnd"/>
            <w:r>
              <w:t xml:space="preserve"> normoblast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Lymfocyt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Plazmatická buňka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/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9B5E26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E26" w:rsidRDefault="009B5E26" w:rsidP="007079A1">
            <w:r>
              <w:t>Megakaryocyt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</w:tcPr>
          <w:p w:rsidR="009B5E26" w:rsidRDefault="009B5E26"/>
        </w:tc>
        <w:tc>
          <w:tcPr>
            <w:tcW w:w="454" w:type="dxa"/>
            <w:tcBorders>
              <w:right w:val="single" w:sz="18" w:space="0" w:color="auto"/>
            </w:tcBorders>
          </w:tcPr>
          <w:p w:rsidR="009B5E26" w:rsidRDefault="009B5E26"/>
        </w:tc>
      </w:tr>
      <w:tr w:rsidR="007079A1" w:rsidTr="00894215">
        <w:trPr>
          <w:trHeight w:val="537"/>
        </w:trPr>
        <w:tc>
          <w:tcPr>
            <w:tcW w:w="1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79A1" w:rsidRDefault="007079A1" w:rsidP="007079A1">
            <w:r>
              <w:t>Makrofág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</w:tcBorders>
          </w:tcPr>
          <w:p w:rsidR="007079A1" w:rsidRDefault="007079A1"/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:rsidR="007079A1" w:rsidRDefault="007079A1"/>
        </w:tc>
      </w:tr>
    </w:tbl>
    <w:p w:rsidR="009B5E26" w:rsidRDefault="009B5E26"/>
    <w:p w:rsidR="009B5E26" w:rsidRDefault="009B5E26"/>
    <w:p w:rsidR="009B5E26" w:rsidRDefault="009B5E26"/>
    <w:p w:rsidR="009B5E26" w:rsidRDefault="009B5E26"/>
    <w:p w:rsidR="009B5E26" w:rsidRDefault="009B5E26"/>
    <w:p w:rsidR="009B5E26" w:rsidRPr="009B5427" w:rsidRDefault="009B5E26">
      <w:pPr>
        <w:rPr>
          <w:b/>
        </w:rPr>
      </w:pPr>
      <w:r w:rsidRPr="009B5427">
        <w:rPr>
          <w:b/>
        </w:rPr>
        <w:t>Relativní zastoupení jednotlivých buněk:</w:t>
      </w:r>
    </w:p>
    <w:p w:rsidR="009B5E26" w:rsidRDefault="009B5E26"/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3369"/>
        <w:gridCol w:w="1134"/>
      </w:tblGrid>
      <w:tr w:rsidR="009B5427" w:rsidTr="00894215">
        <w:trPr>
          <w:trHeight w:val="537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Myeloblast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Promyelocyt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Metamyelocyt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Tyč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Segment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Eozinofil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Bazofil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Monocyt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Proerytroblast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Bazofilní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664FB1">
            <w:proofErr w:type="spellStart"/>
            <w:r>
              <w:t>Polychrom</w:t>
            </w:r>
            <w:r w:rsidR="00664FB1">
              <w:t>atofilní</w:t>
            </w:r>
            <w:proofErr w:type="spellEnd"/>
            <w:r>
              <w:t xml:space="preserve">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Oxyfilní</w:t>
            </w:r>
            <w:proofErr w:type="spellEnd"/>
            <w:r>
              <w:t xml:space="preserve">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Lymfocyt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Plazmatická buňka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</w:tbl>
    <w:p w:rsidR="009B5E26" w:rsidRDefault="009B5E26"/>
    <w:p w:rsidR="009B5427" w:rsidRDefault="009B5427"/>
    <w:p w:rsidR="009B5427" w:rsidRDefault="009B5427">
      <w:pPr>
        <w:rPr>
          <w:b/>
        </w:rPr>
      </w:pPr>
      <w:r w:rsidRPr="009B5427">
        <w:rPr>
          <w:b/>
        </w:rPr>
        <w:t>Procentuální zastoupení jednotlivých řad:</w:t>
      </w:r>
    </w:p>
    <w:p w:rsidR="009B5427" w:rsidRDefault="009B5427">
      <w:proofErr w:type="spellStart"/>
      <w:r>
        <w:t>Erytrocytární</w:t>
      </w:r>
      <w:proofErr w:type="spellEnd"/>
      <w:r>
        <w:t xml:space="preserve"> řada:</w:t>
      </w:r>
    </w:p>
    <w:p w:rsidR="009B5427" w:rsidRDefault="009B5427">
      <w:proofErr w:type="spellStart"/>
      <w:r>
        <w:t>Granulocytární</w:t>
      </w:r>
      <w:proofErr w:type="spellEnd"/>
      <w:r>
        <w:t xml:space="preserve"> řada:</w:t>
      </w:r>
    </w:p>
    <w:p w:rsidR="009B5427" w:rsidRDefault="009B5427">
      <w:r>
        <w:t>Lymfocytární řada:</w:t>
      </w:r>
    </w:p>
    <w:p w:rsidR="009B5427" w:rsidRDefault="009B5427">
      <w:proofErr w:type="spellStart"/>
      <w:r>
        <w:t>Monocytární</w:t>
      </w:r>
      <w:proofErr w:type="spellEnd"/>
      <w:r>
        <w:t xml:space="preserve"> řada:</w:t>
      </w:r>
    </w:p>
    <w:p w:rsidR="009B5427" w:rsidRDefault="009B5427"/>
    <w:p w:rsidR="009B5427" w:rsidRDefault="009B5427"/>
    <w:p w:rsidR="009B5427" w:rsidRDefault="009B5427"/>
    <w:p w:rsidR="009B5427" w:rsidRDefault="009B5427">
      <w:pPr>
        <w:rPr>
          <w:b/>
        </w:rPr>
      </w:pPr>
      <w:r w:rsidRPr="009B5427">
        <w:rPr>
          <w:b/>
        </w:rPr>
        <w:t>Hodnocení</w:t>
      </w:r>
      <w:r w:rsidR="00E43DFD">
        <w:rPr>
          <w:b/>
        </w:rPr>
        <w:t xml:space="preserve"> nátěru kostní dřeně</w:t>
      </w:r>
      <w:r w:rsidRPr="009B5427">
        <w:rPr>
          <w:b/>
        </w:rPr>
        <w:t>:</w:t>
      </w: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Pr="009B5427" w:rsidRDefault="009B5427">
      <w:pPr>
        <w:rPr>
          <w:b/>
        </w:rPr>
      </w:pPr>
      <w:r>
        <w:rPr>
          <w:b/>
        </w:rPr>
        <w:t xml:space="preserve">Závěr: </w:t>
      </w:r>
    </w:p>
    <w:p w:rsidR="009B5427" w:rsidRDefault="009B5427"/>
    <w:sectPr w:rsidR="009B5427" w:rsidSect="009B5E2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A1" w:rsidRDefault="007079A1" w:rsidP="007079A1">
      <w:pPr>
        <w:spacing w:after="0" w:line="240" w:lineRule="auto"/>
      </w:pPr>
      <w:r>
        <w:separator/>
      </w:r>
    </w:p>
  </w:endnote>
  <w:end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869188"/>
      <w:docPartObj>
        <w:docPartGallery w:val="Page Numbers (Bottom of Page)"/>
        <w:docPartUnique/>
      </w:docPartObj>
    </w:sdtPr>
    <w:sdtEndPr/>
    <w:sdtContent>
      <w:p w:rsidR="007079A1" w:rsidRDefault="00707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E1">
          <w:rPr>
            <w:noProof/>
          </w:rPr>
          <w:t>1</w:t>
        </w:r>
        <w:r>
          <w:fldChar w:fldCharType="end"/>
        </w:r>
      </w:p>
    </w:sdtContent>
  </w:sdt>
  <w:p w:rsidR="007079A1" w:rsidRDefault="007079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A1" w:rsidRDefault="007079A1" w:rsidP="007079A1">
      <w:pPr>
        <w:spacing w:after="0" w:line="240" w:lineRule="auto"/>
      </w:pPr>
      <w:r>
        <w:separator/>
      </w:r>
    </w:p>
  </w:footnote>
  <w:foot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6"/>
    <w:rsid w:val="00004CE1"/>
    <w:rsid w:val="000C4B85"/>
    <w:rsid w:val="00280437"/>
    <w:rsid w:val="00664FB1"/>
    <w:rsid w:val="00700F2A"/>
    <w:rsid w:val="007079A1"/>
    <w:rsid w:val="00894215"/>
    <w:rsid w:val="009B5427"/>
    <w:rsid w:val="009B5E26"/>
    <w:rsid w:val="00D071F8"/>
    <w:rsid w:val="00E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A1"/>
  </w:style>
  <w:style w:type="paragraph" w:styleId="Zpat">
    <w:name w:val="footer"/>
    <w:basedOn w:val="Normln"/>
    <w:link w:val="Zpat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A1"/>
  </w:style>
  <w:style w:type="paragraph" w:styleId="Zpat">
    <w:name w:val="footer"/>
    <w:basedOn w:val="Normln"/>
    <w:link w:val="Zpat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2DCF-BF5D-4741-A14A-A6947D46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Kissova Jarmila</dc:creator>
  <cp:lastModifiedBy>Bourkova Ludmila</cp:lastModifiedBy>
  <cp:revision>3</cp:revision>
  <dcterms:created xsi:type="dcterms:W3CDTF">2016-02-24T08:35:00Z</dcterms:created>
  <dcterms:modified xsi:type="dcterms:W3CDTF">2016-02-24T08:46:00Z</dcterms:modified>
</cp:coreProperties>
</file>