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8095" w14:textId="77777777" w:rsidR="009757C6" w:rsidRPr="009757C6" w:rsidRDefault="009757C6" w:rsidP="009757C6">
      <w:pPr>
        <w:pStyle w:val="Nzev"/>
        <w:jc w:val="center"/>
        <w:rPr>
          <w:rFonts w:ascii="Arial" w:hAnsi="Arial" w:cs="Arial"/>
          <w:b/>
          <w:sz w:val="52"/>
        </w:rPr>
      </w:pPr>
      <w:r w:rsidRPr="009757C6">
        <w:rPr>
          <w:rFonts w:ascii="Arial" w:hAnsi="Arial" w:cs="Arial"/>
          <w:b/>
          <w:sz w:val="52"/>
        </w:rPr>
        <w:t>Zkušební otázky předmětu</w:t>
      </w:r>
    </w:p>
    <w:p w14:paraId="0672B9A9" w14:textId="77777777" w:rsidR="00500CCA" w:rsidRPr="009757C6" w:rsidRDefault="009757C6" w:rsidP="009757C6">
      <w:pPr>
        <w:pStyle w:val="Nzev"/>
        <w:spacing w:after="480"/>
        <w:jc w:val="center"/>
        <w:rPr>
          <w:rFonts w:ascii="Arial" w:hAnsi="Arial" w:cs="Arial"/>
          <w:b/>
          <w:sz w:val="52"/>
        </w:rPr>
      </w:pPr>
      <w:r w:rsidRPr="009757C6">
        <w:rPr>
          <w:rFonts w:ascii="Arial" w:hAnsi="Arial" w:cs="Arial"/>
          <w:b/>
          <w:sz w:val="52"/>
        </w:rPr>
        <w:t>Intenzivní ošetřovatelská péče v</w:t>
      </w:r>
      <w:r w:rsidRPr="009757C6">
        <w:rPr>
          <w:rFonts w:ascii="Arial" w:hAnsi="Arial" w:cs="Arial"/>
          <w:b/>
          <w:sz w:val="52"/>
        </w:rPr>
        <w:t> </w:t>
      </w:r>
      <w:r w:rsidRPr="009757C6">
        <w:rPr>
          <w:rFonts w:ascii="Arial" w:hAnsi="Arial" w:cs="Arial"/>
          <w:b/>
          <w:sz w:val="52"/>
        </w:rPr>
        <w:t>pediatrii</w:t>
      </w:r>
    </w:p>
    <w:p w14:paraId="7A494096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KPR: algoritmus základní podpory životních funkcí, léčebný algoritmus obstrukce dýchacích cest cizím tělesem, AED</w:t>
      </w:r>
    </w:p>
    <w:p w14:paraId="673FC389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KPR: algoritmus rozšířené podpory životních funkcí – PALS, NLS</w:t>
      </w:r>
    </w:p>
    <w:p w14:paraId="143D4127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 xml:space="preserve">Specifické algoritmy KPR dle </w:t>
      </w:r>
      <w:proofErr w:type="spellStart"/>
      <w:r w:rsidRPr="00C1061C">
        <w:rPr>
          <w:rFonts w:ascii="Arial" w:hAnsi="Arial" w:cs="Arial"/>
          <w:sz w:val="24"/>
          <w:szCs w:val="24"/>
        </w:rPr>
        <w:t>Guidelines</w:t>
      </w:r>
      <w:proofErr w:type="spellEnd"/>
      <w:r w:rsidRPr="00C1061C">
        <w:rPr>
          <w:rFonts w:ascii="Arial" w:hAnsi="Arial" w:cs="Arial"/>
          <w:sz w:val="24"/>
          <w:szCs w:val="24"/>
        </w:rPr>
        <w:t xml:space="preserve"> 2015</w:t>
      </w:r>
    </w:p>
    <w:p w14:paraId="0CF93B9B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061C">
        <w:rPr>
          <w:rFonts w:ascii="Arial" w:hAnsi="Arial" w:cs="Arial"/>
          <w:sz w:val="24"/>
          <w:szCs w:val="24"/>
        </w:rPr>
        <w:t>Zajištění dýchacích cest, zajištění žilního vstupu u pediatrických pacientů</w:t>
      </w:r>
    </w:p>
    <w:p w14:paraId="507052E5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Respirační selhání na pediatrické intenzivní péči – nejčastější příčiny, možnosti terapie</w:t>
      </w:r>
    </w:p>
    <w:p w14:paraId="0028EDC4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Možnosti umělé plicní ventilace a kyslíková terapie u pediatrických pacientů</w:t>
      </w:r>
    </w:p>
    <w:p w14:paraId="3D363220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Způsoby monitorování v intenzivní pediatrické péči</w:t>
      </w:r>
    </w:p>
    <w:p w14:paraId="632DB8C3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Šok a šokové stavy</w:t>
      </w:r>
    </w:p>
    <w:p w14:paraId="6C15EF79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Sepse, SIRS, MODS</w:t>
      </w:r>
    </w:p>
    <w:p w14:paraId="2090DE9C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Závažné infekce v intenzivní pediatrické péči</w:t>
      </w:r>
    </w:p>
    <w:p w14:paraId="70B8BEA4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Smrt mozku, péče o dárce</w:t>
      </w:r>
    </w:p>
    <w:p w14:paraId="7A768DB7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Renální selhání a eliminační metody u pacientů v intenzivní pediatrické péči</w:t>
      </w:r>
    </w:p>
    <w:p w14:paraId="3127944D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Nozokomiální nákazy. Základy strategie ATB léčby</w:t>
      </w:r>
    </w:p>
    <w:p w14:paraId="56711A53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ARDS u pacientů v intenzivní pediatrické péči</w:t>
      </w:r>
    </w:p>
    <w:p w14:paraId="4C0BBF83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Kraniocerebrální trauma v intenzivní pediatrické péči, mozkový edém</w:t>
      </w:r>
    </w:p>
    <w:p w14:paraId="79BEEADD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Trauma, polytrauma v intenzivní pediatrické péči</w:t>
      </w:r>
    </w:p>
    <w:p w14:paraId="2C451E2B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Možnosti infuzní léčby u pediatrických pacientů – krystaloidy, koloidy, použití, indikace, omezení</w:t>
      </w:r>
    </w:p>
    <w:p w14:paraId="72A31117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Zásady podpory krevního oběhu u pediatrických pacientů</w:t>
      </w:r>
    </w:p>
    <w:p w14:paraId="74D38568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Akutní intoxikace v intenzivní pediatrické péči</w:t>
      </w:r>
    </w:p>
    <w:p w14:paraId="71B1CFE7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Nutriční podpora v intenzivní pediatrické péči</w:t>
      </w:r>
    </w:p>
    <w:p w14:paraId="4D81CB20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Poruchy acidobazické rovnováhy, iontové poruchy u kriticky nemocných dětí</w:t>
      </w:r>
    </w:p>
    <w:p w14:paraId="075A6E5C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 xml:space="preserve">Poruchy vědomí, status </w:t>
      </w:r>
      <w:proofErr w:type="spellStart"/>
      <w:r w:rsidRPr="00C1061C">
        <w:rPr>
          <w:rFonts w:ascii="Arial" w:hAnsi="Arial" w:cs="Arial"/>
          <w:sz w:val="24"/>
          <w:szCs w:val="24"/>
        </w:rPr>
        <w:t>epilepticus</w:t>
      </w:r>
      <w:proofErr w:type="spellEnd"/>
      <w:r w:rsidRPr="00C1061C">
        <w:rPr>
          <w:rFonts w:ascii="Arial" w:hAnsi="Arial" w:cs="Arial"/>
          <w:sz w:val="24"/>
          <w:szCs w:val="24"/>
        </w:rPr>
        <w:t>, febrilní křeče</w:t>
      </w:r>
    </w:p>
    <w:p w14:paraId="334869D5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Analgosedace u pacientů v intenzivní pediatrické péči – možnosti, specifika, hodnocení</w:t>
      </w:r>
    </w:p>
    <w:p w14:paraId="7C10E2DF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Krevní náhrady, hematologické problematika v intenzivní pediatrické péči. (Akutní krvácení, DIK)</w:t>
      </w:r>
    </w:p>
    <w:p w14:paraId="2EDC84B1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Anafylaktický šok v intenzivní pediatrické péči</w:t>
      </w:r>
    </w:p>
    <w:p w14:paraId="5CDB418E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Dědičné poruchy v intenzivní pediatrické péči</w:t>
      </w:r>
    </w:p>
    <w:p w14:paraId="626EDAD2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Endokrinní poruchy v intenzivní pediatrické péči</w:t>
      </w:r>
    </w:p>
    <w:p w14:paraId="51CD9C41" w14:textId="77777777" w:rsidR="00C1061C" w:rsidRPr="00C1061C" w:rsidRDefault="00C1061C" w:rsidP="00C1061C">
      <w:pPr>
        <w:pStyle w:val="Odstavecseseznamem"/>
        <w:numPr>
          <w:ilvl w:val="0"/>
          <w:numId w:val="3"/>
        </w:numPr>
        <w:ind w:left="1560" w:hanging="480"/>
        <w:rPr>
          <w:rFonts w:ascii="Arial" w:hAnsi="Arial" w:cs="Arial"/>
          <w:sz w:val="24"/>
          <w:szCs w:val="24"/>
        </w:rPr>
      </w:pPr>
      <w:r w:rsidRPr="00C1061C">
        <w:rPr>
          <w:rFonts w:ascii="Arial" w:hAnsi="Arial" w:cs="Arial"/>
          <w:sz w:val="24"/>
          <w:szCs w:val="24"/>
        </w:rPr>
        <w:t>Příprava pacienta k anestezii, pooperační péče u pacientů v intenzivní pediatrické péči. Komplikace anestezie dětí</w:t>
      </w:r>
    </w:p>
    <w:sectPr w:rsidR="00C1061C" w:rsidRPr="00C1061C" w:rsidSect="00975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5E"/>
    <w:multiLevelType w:val="hybridMultilevel"/>
    <w:tmpl w:val="09902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22211"/>
    <w:multiLevelType w:val="hybridMultilevel"/>
    <w:tmpl w:val="28209B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E43047"/>
    <w:multiLevelType w:val="hybridMultilevel"/>
    <w:tmpl w:val="93F8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92"/>
    <w:rsid w:val="001B0192"/>
    <w:rsid w:val="003056E7"/>
    <w:rsid w:val="00500CCA"/>
    <w:rsid w:val="009757C6"/>
    <w:rsid w:val="00AF5860"/>
    <w:rsid w:val="00C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BA3"/>
  <w15:chartTrackingRefBased/>
  <w15:docId w15:val="{0CE043CF-B9CA-4768-AE46-0435B9B2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7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Štoudek</dc:creator>
  <cp:keywords/>
  <dc:description/>
  <cp:lastModifiedBy>Roman Štoudek</cp:lastModifiedBy>
  <cp:revision>2</cp:revision>
  <dcterms:created xsi:type="dcterms:W3CDTF">2017-03-06T10:00:00Z</dcterms:created>
  <dcterms:modified xsi:type="dcterms:W3CDTF">2017-03-06T10:14:00Z</dcterms:modified>
</cp:coreProperties>
</file>