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5F" w:rsidRPr="004158FA" w:rsidRDefault="0031395F" w:rsidP="0031395F">
      <w:pPr>
        <w:pStyle w:val="Podnadpis12b"/>
        <w:rPr>
          <w:sz w:val="28"/>
          <w:szCs w:val="28"/>
        </w:rPr>
      </w:pPr>
      <w:r w:rsidRPr="004158FA">
        <w:rPr>
          <w:sz w:val="28"/>
          <w:szCs w:val="28"/>
        </w:rPr>
        <w:t>Úvod</w:t>
      </w:r>
    </w:p>
    <w:p w:rsidR="0031395F" w:rsidRPr="008E75D9" w:rsidRDefault="0031395F" w:rsidP="0031395F">
      <w:r w:rsidRPr="00C853CA">
        <w:rPr>
          <w:b/>
          <w:bCs/>
        </w:rPr>
        <w:t>Ischemická choroba srdeční</w:t>
      </w:r>
      <w:r w:rsidRPr="008E75D9">
        <w:rPr>
          <w:bCs/>
        </w:rPr>
        <w:t xml:space="preserve"> (ICHS) a její akutní forma, </w:t>
      </w:r>
      <w:r w:rsidRPr="008E75D9">
        <w:rPr>
          <w:b/>
          <w:bCs/>
        </w:rPr>
        <w:t>infarkt myokardu</w:t>
      </w:r>
      <w:r w:rsidRPr="008E75D9">
        <w:rPr>
          <w:bCs/>
        </w:rPr>
        <w:t xml:space="preserve"> (IM)</w:t>
      </w:r>
      <w:r w:rsidRPr="008E75D9">
        <w:rPr>
          <w:b/>
          <w:bCs/>
        </w:rPr>
        <w:t>,</w:t>
      </w:r>
      <w:r w:rsidRPr="008E75D9">
        <w:t xml:space="preserve"> patří k nejzávažnějším onemocněním současné doby. Ischemie srdečního svalu vzniká jako výsledek disproporce mezi množstvím kyslíku buňce dodávaného a množstvím kyslíku, které buňka skutečně potřebuje. Rozsah poškození přitom závisí nejen na intenzitě a trvání ischemie, ale i na odolnosti srdečního svalu k nedostatku kyslíku</w:t>
      </w:r>
    </w:p>
    <w:p w:rsidR="0031395F" w:rsidRPr="008E75D9" w:rsidRDefault="0031395F" w:rsidP="0031395F">
      <w:r w:rsidRPr="008E75D9">
        <w:t xml:space="preserve">Hlavní příčinou ICHS je zúžení velkých, proximálních koronárních artérií aterosklerózou. Je-li průměr průsvitu velké koronární artérie zúžen o více než 60–70 % dochází již při velmi malé námaze nebo rozčilení k ischemii myokardu provázené bolestmi z nedostatku kyslíku. Jestliže bolest pomine, když zátěž skončí, hovoříme o </w:t>
      </w:r>
      <w:r w:rsidRPr="00C853CA">
        <w:rPr>
          <w:b/>
        </w:rPr>
        <w:t>angině pectoris</w:t>
      </w:r>
      <w:r w:rsidRPr="008E75D9">
        <w:t xml:space="preserve"> (AP). Jako </w:t>
      </w:r>
      <w:r w:rsidRPr="008E75D9">
        <w:rPr>
          <w:i/>
        </w:rPr>
        <w:t>nestabilní</w:t>
      </w:r>
      <w:r w:rsidRPr="008E75D9">
        <w:t xml:space="preserve"> anginu pectoris označujeme náhle vzniklou nebo progresivně se zhoršující AP, dále stav, kdy se objeví anginózní potíže v subakutním období po proběhlém infarktu myokardu a konečně tzv. </w:t>
      </w:r>
      <w:r w:rsidRPr="008E75D9">
        <w:rPr>
          <w:i/>
        </w:rPr>
        <w:t>klidovou</w:t>
      </w:r>
      <w:r w:rsidRPr="008E75D9">
        <w:t xml:space="preserve"> anginu pectoris, kdy typické bolesti vznikají v klidu. Nestabilní AP obvykle dříve či později vyústí v </w:t>
      </w:r>
      <w:r w:rsidRPr="008E75D9">
        <w:rPr>
          <w:i/>
        </w:rPr>
        <w:t xml:space="preserve">akutní infarkt myokardu </w:t>
      </w:r>
      <w:r w:rsidRPr="008E75D9">
        <w:t>(AIM). I v případech, kdy k tomu nedošlo, nachází se v myokardu často drobné ischemické nekrózy (</w:t>
      </w:r>
      <w:proofErr w:type="spellStart"/>
      <w:r w:rsidRPr="008E75D9">
        <w:t>mikroinfarkty</w:t>
      </w:r>
      <w:proofErr w:type="spellEnd"/>
      <w:r w:rsidRPr="008E75D9">
        <w:t xml:space="preserve">). Infarkt myokardu je akutní ložisková ischemická nekróza srdečního svalu vzniklá na podkladě náhlého uzávěru či progresivního extrémního zúžení věnčité tepny zásobující příslušnou oblast. Nejčastější příčinou IM je akutní vznik trombu v místě aterosklerotické stenózy. </w:t>
      </w:r>
    </w:p>
    <w:p w:rsidR="0031395F" w:rsidRPr="008E75D9" w:rsidRDefault="0031395F" w:rsidP="0031395F">
      <w:r w:rsidRPr="008E75D9">
        <w:t>Při ischemii je buňka nedostatečně zásobena kyslíkem a přechází na anaerobní metabolismus. Glykogen a glukosa jsou odbourávány na laktát. Množství ATP klesá, poněvadž není doplňováno aerobní fosforylací. Průtok krve stagnuje a v srdeční tkáni se akumulují kyselé metabolity (laktát). Zvyšuje se permeabilita buněčných membrán a z buňky mohou unikat bílkoviny obsažené v cytoplazmě. Pokud je přísun okysličené krve rychle obnoven (</w:t>
      </w:r>
      <w:proofErr w:type="spellStart"/>
      <w:r w:rsidRPr="008E75D9">
        <w:rPr>
          <w:i/>
        </w:rPr>
        <w:t>reperfuze</w:t>
      </w:r>
      <w:proofErr w:type="spellEnd"/>
      <w:r w:rsidRPr="008E75D9">
        <w:t>), stav se může reverzibilně upravit. Trvá-li ischemie déle, zastavuje se v důsledku acidózy také glykolýza a dochází k ireverzibilnímu poškození buněk a jejich nekróze (infarkt). Do krve se dostávají i bílkoviny tvořící strukturu fibrilárního kontraktilního komplexu a bílkoviny mitochondriální (především troponin T a I a mitochondriální frakce CK a AST).</w:t>
      </w:r>
    </w:p>
    <w:p w:rsidR="0031395F" w:rsidRPr="008E75D9" w:rsidRDefault="0031395F" w:rsidP="0031395F">
      <w:r w:rsidRPr="008E75D9">
        <w:t xml:space="preserve">Základem diagnostiky IM při prvním kontaktu s nemocným zůstává stále EKG, základem pro definitivní diagnózu je však průkaz biochemických </w:t>
      </w:r>
      <w:proofErr w:type="spellStart"/>
      <w:r w:rsidRPr="008E75D9">
        <w:t>markerů</w:t>
      </w:r>
      <w:proofErr w:type="spellEnd"/>
      <w:r w:rsidRPr="008E75D9">
        <w:rPr>
          <w:rStyle w:val="Znakapoznpodarou"/>
        </w:rPr>
        <w:footnoteReference w:id="1"/>
      </w:r>
      <w:r w:rsidRPr="008E75D9">
        <w:t xml:space="preserve">. </w:t>
      </w:r>
      <w:r>
        <w:t>V současnosti s</w:t>
      </w:r>
      <w:r w:rsidR="00056CD8">
        <w:t xml:space="preserve">e jednoznačně jako </w:t>
      </w:r>
      <w:proofErr w:type="spellStart"/>
      <w:r w:rsidR="00056CD8">
        <w:t>markery</w:t>
      </w:r>
      <w:proofErr w:type="spellEnd"/>
      <w:r w:rsidR="00056CD8">
        <w:t xml:space="preserve"> nekró</w:t>
      </w:r>
      <w:r>
        <w:t xml:space="preserve">zy myokardu používají </w:t>
      </w:r>
      <w:r w:rsidRPr="003A46CA">
        <w:rPr>
          <w:b/>
        </w:rPr>
        <w:t>srdeční troponiny</w:t>
      </w:r>
      <w:r>
        <w:rPr>
          <w:b/>
        </w:rPr>
        <w:t xml:space="preserve"> (</w:t>
      </w:r>
      <w:proofErr w:type="spellStart"/>
      <w:r>
        <w:rPr>
          <w:b/>
        </w:rPr>
        <w:t>T</w:t>
      </w:r>
      <w:r w:rsidR="00056CD8">
        <w:rPr>
          <w:b/>
        </w:rPr>
        <w:t>n</w:t>
      </w:r>
      <w:proofErr w:type="spellEnd"/>
      <w:r>
        <w:rPr>
          <w:b/>
        </w:rPr>
        <w:t xml:space="preserve"> T a </w:t>
      </w:r>
      <w:proofErr w:type="spellStart"/>
      <w:r>
        <w:rPr>
          <w:b/>
        </w:rPr>
        <w:t>T</w:t>
      </w:r>
      <w:r w:rsidR="00056CD8">
        <w:rPr>
          <w:b/>
        </w:rPr>
        <w:t>n</w:t>
      </w:r>
      <w:proofErr w:type="spellEnd"/>
      <w:r>
        <w:rPr>
          <w:b/>
        </w:rPr>
        <w:t xml:space="preserve"> I)</w:t>
      </w:r>
      <w:r>
        <w:t xml:space="preserve">. </w:t>
      </w:r>
      <w:r w:rsidRPr="003A46CA">
        <w:t>Pro doplnění informace získané stanovením srdečních troponinů</w:t>
      </w:r>
      <w:r>
        <w:t xml:space="preserve"> se vy</w:t>
      </w:r>
      <w:r w:rsidRPr="003A46CA">
        <w:t xml:space="preserve">užívají </w:t>
      </w:r>
      <w:r>
        <w:t xml:space="preserve">ve specifických situacích (např. </w:t>
      </w:r>
      <w:proofErr w:type="spellStart"/>
      <w:r>
        <w:t>reinfarkt</w:t>
      </w:r>
      <w:proofErr w:type="spellEnd"/>
      <w:r>
        <w:t xml:space="preserve">) </w:t>
      </w:r>
      <w:r w:rsidRPr="003A46CA">
        <w:t xml:space="preserve">další pomocné testy, a sice stanovení </w:t>
      </w:r>
      <w:r w:rsidRPr="0006166B">
        <w:rPr>
          <w:b/>
        </w:rPr>
        <w:t>myoglobinu</w:t>
      </w:r>
      <w:r w:rsidR="00056CD8">
        <w:rPr>
          <w:b/>
        </w:rPr>
        <w:t>, CK</w:t>
      </w:r>
      <w:r w:rsidRPr="0006166B">
        <w:rPr>
          <w:b/>
        </w:rPr>
        <w:t xml:space="preserve"> </w:t>
      </w:r>
      <w:r w:rsidRPr="003A46CA">
        <w:t xml:space="preserve">a </w:t>
      </w:r>
      <w:r w:rsidRPr="0006166B">
        <w:rPr>
          <w:b/>
        </w:rPr>
        <w:t>CK-MB</w:t>
      </w:r>
      <w:r>
        <w:rPr>
          <w:b/>
        </w:rPr>
        <w:t xml:space="preserve"> </w:t>
      </w:r>
      <w:proofErr w:type="spellStart"/>
      <w:r w:rsidRPr="0006166B">
        <w:rPr>
          <w:b/>
        </w:rPr>
        <w:t>mass</w:t>
      </w:r>
      <w:proofErr w:type="spellEnd"/>
      <w:r w:rsidR="00056CD8">
        <w:rPr>
          <w:b/>
        </w:rPr>
        <w:t>.</w:t>
      </w:r>
    </w:p>
    <w:p w:rsidR="0031395F" w:rsidRDefault="0031395F" w:rsidP="0031395F">
      <w:r w:rsidRPr="008E75D9">
        <w:rPr>
          <w:b/>
        </w:rPr>
        <w:t>Definitivní diagnóza IM</w:t>
      </w:r>
      <w:r w:rsidRPr="008E75D9">
        <w:t xml:space="preserve"> však musí být založena na typickém vzestupu biochemických </w:t>
      </w:r>
      <w:proofErr w:type="spellStart"/>
      <w:r w:rsidRPr="008E75D9">
        <w:t>markerů</w:t>
      </w:r>
      <w:proofErr w:type="spellEnd"/>
      <w:r w:rsidRPr="008E75D9">
        <w:t xml:space="preserve"> nekrózy myokardu (</w:t>
      </w:r>
      <w:r>
        <w:t xml:space="preserve">kardiální </w:t>
      </w:r>
      <w:r w:rsidRPr="008E75D9">
        <w:t>troponin</w:t>
      </w:r>
      <w:r>
        <w:t xml:space="preserve"> T nebo I</w:t>
      </w:r>
      <w:r w:rsidR="00056CD8">
        <w:t xml:space="preserve">) </w:t>
      </w:r>
      <w:r w:rsidRPr="008E75D9">
        <w:t>při současné přítomnosti alesp</w:t>
      </w:r>
      <w:r w:rsidR="00056CD8">
        <w:t>oň jednoho z následujících krité</w:t>
      </w:r>
      <w:r w:rsidRPr="008E75D9">
        <w:t xml:space="preserve">rií: klinické příznaky ischemie, vývoj patologických Q vln na EKG, EKG změny svědčící pro ischemii (ST elevace či deprese), souvislost s koronární intervencí (angioplastika, stent). </w:t>
      </w:r>
    </w:p>
    <w:p w:rsidR="0031395F" w:rsidRDefault="0031395F" w:rsidP="0031395F">
      <w:r>
        <w:t>Z hlediska laboratorních parametrů hodnotících nekrózu myokardu má tedy jednoznačně zásadní význam stanovení srdečních troponinů, které je již standardní součástí diagnostiky akutního infarktu myokardu.</w:t>
      </w:r>
    </w:p>
    <w:p w:rsidR="0031395F" w:rsidRPr="004158FA" w:rsidRDefault="0031395F" w:rsidP="0031395F">
      <w:pPr>
        <w:pStyle w:val="Podnadpis12b"/>
        <w:rPr>
          <w:sz w:val="28"/>
          <w:szCs w:val="28"/>
        </w:rPr>
      </w:pPr>
      <w:r w:rsidRPr="004158FA">
        <w:rPr>
          <w:sz w:val="28"/>
          <w:szCs w:val="28"/>
        </w:rPr>
        <w:lastRenderedPageBreak/>
        <w:t xml:space="preserve">Význam stanovení </w:t>
      </w:r>
      <w:proofErr w:type="spellStart"/>
      <w:r w:rsidRPr="004158FA">
        <w:rPr>
          <w:sz w:val="28"/>
          <w:szCs w:val="28"/>
        </w:rPr>
        <w:t>TnT</w:t>
      </w:r>
      <w:proofErr w:type="spellEnd"/>
      <w:r w:rsidRPr="004158FA">
        <w:rPr>
          <w:sz w:val="28"/>
          <w:szCs w:val="28"/>
        </w:rPr>
        <w:t xml:space="preserve"> pro diagnostiku infarktu myokardu</w:t>
      </w:r>
    </w:p>
    <w:p w:rsidR="0031395F" w:rsidRDefault="0031395F" w:rsidP="0031395F">
      <w:proofErr w:type="spellStart"/>
      <w:r w:rsidRPr="008E75D9">
        <w:t>TroponinT</w:t>
      </w:r>
      <w:proofErr w:type="spellEnd"/>
      <w:r w:rsidRPr="008E75D9">
        <w:t xml:space="preserve"> je strukturní bílkovinou a za fyziologických okolností se do plazmy může uvolnit jen při </w:t>
      </w:r>
      <w:proofErr w:type="spellStart"/>
      <w:r w:rsidRPr="008E75D9">
        <w:t>apoptóze</w:t>
      </w:r>
      <w:proofErr w:type="spellEnd"/>
      <w:r w:rsidRPr="008E75D9">
        <w:t xml:space="preserve"> </w:t>
      </w:r>
      <w:proofErr w:type="spellStart"/>
      <w:r w:rsidRPr="008E75D9">
        <w:t>myocytu</w:t>
      </w:r>
      <w:proofErr w:type="spellEnd"/>
      <w:r w:rsidRPr="008E75D9">
        <w:t xml:space="preserve"> a to v množství, které současnými metodami nedokážeme měřit. Z tohoto aspektu lze vyvodit, že v současné době není </w:t>
      </w:r>
      <w:proofErr w:type="spellStart"/>
      <w:r w:rsidRPr="008E75D9">
        <w:t>TnT</w:t>
      </w:r>
      <w:proofErr w:type="spellEnd"/>
      <w:r w:rsidRPr="008E75D9">
        <w:t xml:space="preserve"> u zdravých osob v plazmě</w:t>
      </w:r>
      <w:r w:rsidR="00056CD8">
        <w:t xml:space="preserve"> prokazatelný. Při AIM dochází až </w:t>
      </w:r>
      <w:r w:rsidRPr="003A46CA">
        <w:rPr>
          <w:b/>
        </w:rPr>
        <w:t>k</w:t>
      </w:r>
      <w:r w:rsidR="00056CD8">
        <w:rPr>
          <w:b/>
        </w:rPr>
        <w:t> sto i tisíci</w:t>
      </w:r>
      <w:r w:rsidRPr="003A46CA">
        <w:rPr>
          <w:b/>
        </w:rPr>
        <w:t>násobnému vzestupu hodnot</w:t>
      </w:r>
      <w:r w:rsidRPr="008E75D9">
        <w:t xml:space="preserve"> nad limit detekce. </w:t>
      </w:r>
    </w:p>
    <w:p w:rsidR="0031395F" w:rsidRPr="008E75D9" w:rsidRDefault="0031395F" w:rsidP="0031395F">
      <w:r w:rsidRPr="008E75D9">
        <w:t xml:space="preserve">Vysoká citlivost tak dovoluje najít mírně zvýšené hodnoty už i u nestabilní AP (tento nález svědčí o špatné prognóze onemocnění). Příčinou zvýšení </w:t>
      </w:r>
      <w:proofErr w:type="spellStart"/>
      <w:r w:rsidRPr="008E75D9">
        <w:t>TnT</w:t>
      </w:r>
      <w:proofErr w:type="spellEnd"/>
      <w:r w:rsidRPr="008E75D9">
        <w:t xml:space="preserve"> však mohou být i </w:t>
      </w:r>
      <w:r>
        <w:t xml:space="preserve">nekardiální </w:t>
      </w:r>
      <w:r w:rsidRPr="008E75D9">
        <w:t xml:space="preserve">stavy, kdy dospělý </w:t>
      </w:r>
      <w:proofErr w:type="spellStart"/>
      <w:r w:rsidRPr="008E75D9">
        <w:t>myocyt</w:t>
      </w:r>
      <w:proofErr w:type="spellEnd"/>
      <w:r w:rsidRPr="008E75D9">
        <w:t xml:space="preserve"> příčně pruhované svaloviny nabývá charakteru embryonálního, který má schopnost tvořit </w:t>
      </w:r>
      <w:proofErr w:type="spellStart"/>
      <w:r w:rsidRPr="008E75D9">
        <w:t>kardiospecifický</w:t>
      </w:r>
      <w:proofErr w:type="spellEnd"/>
      <w:r w:rsidRPr="008E75D9">
        <w:t xml:space="preserve"> </w:t>
      </w:r>
      <w:proofErr w:type="spellStart"/>
      <w:r w:rsidRPr="008E75D9">
        <w:t>cTnT</w:t>
      </w:r>
      <w:proofErr w:type="spellEnd"/>
      <w:r w:rsidRPr="008E75D9">
        <w:t xml:space="preserve">; např. </w:t>
      </w:r>
      <w:proofErr w:type="spellStart"/>
      <w:r w:rsidRPr="008E75D9">
        <w:t>dermatomyozitida</w:t>
      </w:r>
      <w:proofErr w:type="spellEnd"/>
      <w:r w:rsidRPr="008E75D9">
        <w:t>/</w:t>
      </w:r>
      <w:proofErr w:type="spellStart"/>
      <w:r w:rsidRPr="008E75D9">
        <w:t>polymyozitida</w:t>
      </w:r>
      <w:proofErr w:type="spellEnd"/>
      <w:r w:rsidRPr="008E75D9">
        <w:t xml:space="preserve"> nebo při </w:t>
      </w:r>
      <w:r w:rsidRPr="008E75D9">
        <w:rPr>
          <w:bCs/>
        </w:rPr>
        <w:t xml:space="preserve">regeneraci svalových vláken po úrazech. Zvýšení </w:t>
      </w:r>
      <w:proofErr w:type="spellStart"/>
      <w:r w:rsidRPr="008E75D9">
        <w:rPr>
          <w:bCs/>
        </w:rPr>
        <w:t>TnT</w:t>
      </w:r>
      <w:proofErr w:type="spellEnd"/>
      <w:r w:rsidRPr="008E75D9">
        <w:rPr>
          <w:bCs/>
        </w:rPr>
        <w:t xml:space="preserve"> také nacházíme až u třetiny dialyzovaných pacientů.</w:t>
      </w:r>
      <w:r w:rsidRPr="008E75D9">
        <w:t xml:space="preserve"> </w:t>
      </w:r>
      <w:r>
        <w:t xml:space="preserve">Zvýšení troponinu u těchto onemocnění bude mít jinou dynamiku, než je typická pro AIM a současně klinický stav pacienta neodpovídá </w:t>
      </w:r>
      <w:proofErr w:type="spellStart"/>
      <w:r>
        <w:t>diagnoze</w:t>
      </w:r>
      <w:proofErr w:type="spellEnd"/>
      <w:r>
        <w:t xml:space="preserve"> AIM</w:t>
      </w:r>
    </w:p>
    <w:p w:rsidR="0031395F" w:rsidRDefault="0031395F" w:rsidP="0031395F">
      <w:r w:rsidRPr="008E75D9">
        <w:t xml:space="preserve">Obdobné využití jako </w:t>
      </w:r>
      <w:proofErr w:type="spellStart"/>
      <w:r w:rsidRPr="008E75D9">
        <w:t>TnT</w:t>
      </w:r>
      <w:proofErr w:type="spellEnd"/>
      <w:r w:rsidRPr="008E75D9">
        <w:t xml:space="preserve"> při diagnostice AIM má i stanovení troponinu I (</w:t>
      </w:r>
      <w:proofErr w:type="spellStart"/>
      <w:r w:rsidRPr="008E75D9">
        <w:t>TnI</w:t>
      </w:r>
      <w:proofErr w:type="spellEnd"/>
      <w:r w:rsidRPr="008E75D9">
        <w:t xml:space="preserve">). </w:t>
      </w:r>
      <w:proofErr w:type="spellStart"/>
      <w:proofErr w:type="gramStart"/>
      <w:r w:rsidRPr="008E75D9">
        <w:t>TnI</w:t>
      </w:r>
      <w:proofErr w:type="spellEnd"/>
      <w:r w:rsidRPr="008E75D9">
        <w:t xml:space="preserve"> jeví</w:t>
      </w:r>
      <w:proofErr w:type="gramEnd"/>
      <w:r w:rsidRPr="008E75D9">
        <w:t xml:space="preserve"> v séru pacientů podobnou kinetiku jako </w:t>
      </w:r>
      <w:proofErr w:type="spellStart"/>
      <w:r w:rsidRPr="008E75D9">
        <w:t>TnT</w:t>
      </w:r>
      <w:proofErr w:type="spellEnd"/>
      <w:r w:rsidRPr="008E75D9">
        <w:t xml:space="preserve">. Jeho výhodou je, že </w:t>
      </w:r>
      <w:r w:rsidRPr="008E75D9">
        <w:rPr>
          <w:bCs/>
        </w:rPr>
        <w:t xml:space="preserve">není tvořen embryonálními buňkami kosterní svaloviny a u dialyzovaných pacientů je jeho vzestup méně častý než u </w:t>
      </w:r>
      <w:proofErr w:type="spellStart"/>
      <w:r w:rsidRPr="008E75D9">
        <w:rPr>
          <w:bCs/>
        </w:rPr>
        <w:t>TnT</w:t>
      </w:r>
      <w:proofErr w:type="spellEnd"/>
      <w:r w:rsidRPr="008E75D9">
        <w:rPr>
          <w:bCs/>
        </w:rPr>
        <w:t>. Naopak nevýhoda stanovení spočívá v chybění standardizace metody měření a z toho vyplývající obtížnosti při srovnávání výsledků.</w:t>
      </w:r>
      <w:r>
        <w:t xml:space="preserve"> </w:t>
      </w:r>
      <w:r w:rsidRPr="008E75D9">
        <w:t xml:space="preserve">Podle současných názorů se zdá, že úloha obou troponinů v diagnostice AIM je zaměnitelná. </w:t>
      </w:r>
    </w:p>
    <w:p w:rsidR="0031395F" w:rsidRDefault="0031395F" w:rsidP="0031395F">
      <w:r w:rsidRPr="008E75D9">
        <w:t>Ve</w:t>
      </w:r>
      <w:r>
        <w:t> </w:t>
      </w:r>
      <w:r w:rsidRPr="008E75D9">
        <w:t xml:space="preserve">srovnání s jinými ukazateli poškození myokardu je stanovení troponinů výrazně citlivější </w:t>
      </w:r>
      <w:r>
        <w:t xml:space="preserve">(zvláště </w:t>
      </w:r>
      <w:r w:rsidRPr="008E75D9">
        <w:t>a jen toto stanovení ukáže i velmi malé poškození myokardu, např. při nestabilní AP.</w:t>
      </w:r>
      <w:r>
        <w:t xml:space="preserve">). </w:t>
      </w:r>
    </w:p>
    <w:p w:rsidR="0031395F" w:rsidRDefault="0031395F" w:rsidP="0031395F">
      <w:r>
        <w:t>Srdeční troponiny (</w:t>
      </w:r>
      <w:proofErr w:type="spellStart"/>
      <w:r w:rsidR="00623206">
        <w:t>c</w:t>
      </w:r>
      <w:r>
        <w:t>T</w:t>
      </w:r>
      <w:r w:rsidR="00623206">
        <w:t>n</w:t>
      </w:r>
      <w:proofErr w:type="spellEnd"/>
      <w:r>
        <w:t xml:space="preserve"> T a I) v současné době patří </w:t>
      </w:r>
      <w:r w:rsidR="00056CD8">
        <w:rPr>
          <w:b/>
        </w:rPr>
        <w:t xml:space="preserve">jednoznačně k </w:t>
      </w:r>
      <w:r w:rsidRPr="003A46CA">
        <w:rPr>
          <w:b/>
        </w:rPr>
        <w:t>„zlatému standardu“</w:t>
      </w:r>
      <w:r>
        <w:t xml:space="preserve"> v diagnostice akutního infarktu myokardu (AIM). Jsou vysoce specifické, jejich stanovení vykazuje vysokou diagnostickou sensitivitu, jejich koncentrace mnohonásobně narůstají u AIM, vysoká citlivost stanovení umožnuje odhalit i minimální poškození myokardu a v neposlední řadě vlivem dlouhodobějšího přetrvávání zvýšených hodnot lze provést i pozdní diagnostiku AIM. Pro posouzení </w:t>
      </w:r>
      <w:proofErr w:type="spellStart"/>
      <w:r>
        <w:t>reinfarků</w:t>
      </w:r>
      <w:proofErr w:type="spellEnd"/>
      <w:r>
        <w:t xml:space="preserve"> se však kardiální troponiny využívají jen omezeně, což souvisí s jejich dlouhodobějším přetrváváním v krvi. V současné době trend diagnostiky AIM spočívá ve vývoji a zavádění nové generace metod stanovení troponinů-</w:t>
      </w:r>
      <w:proofErr w:type="spellStart"/>
      <w:r>
        <w:t>ultrasensitivních</w:t>
      </w:r>
      <w:proofErr w:type="spellEnd"/>
      <w:r w:rsidR="00056CD8">
        <w:t xml:space="preserve"> (</w:t>
      </w:r>
      <w:proofErr w:type="spellStart"/>
      <w:r w:rsidR="00056CD8">
        <w:t>hs</w:t>
      </w:r>
      <w:proofErr w:type="spellEnd"/>
      <w:r w:rsidR="00056CD8">
        <w:t xml:space="preserve"> </w:t>
      </w:r>
      <w:proofErr w:type="spellStart"/>
      <w:r w:rsidR="00056CD8">
        <w:t>cTnT</w:t>
      </w:r>
      <w:proofErr w:type="spellEnd"/>
      <w:r w:rsidR="00056CD8">
        <w:t xml:space="preserve">, </w:t>
      </w:r>
      <w:proofErr w:type="spellStart"/>
      <w:r w:rsidR="00056CD8">
        <w:t>hs</w:t>
      </w:r>
      <w:proofErr w:type="spellEnd"/>
      <w:r w:rsidR="00056CD8">
        <w:t xml:space="preserve"> </w:t>
      </w:r>
      <w:proofErr w:type="spellStart"/>
      <w:r w:rsidR="00056CD8">
        <w:t>cTnI</w:t>
      </w:r>
      <w:proofErr w:type="spellEnd"/>
      <w:r w:rsidR="00056CD8">
        <w:t>), což umožňuje</w:t>
      </w:r>
      <w:r>
        <w:t xml:space="preserve"> stanovit nejen nižší koncentrace troponinů</w:t>
      </w:r>
      <w:r w:rsidR="00056CD8">
        <w:t>,</w:t>
      </w:r>
      <w:r>
        <w:t xml:space="preserve"> ale i jejich časnější nástup po akutním infarktu.</w:t>
      </w:r>
    </w:p>
    <w:p w:rsidR="0031395F" w:rsidRPr="003A46CA" w:rsidRDefault="0031395F" w:rsidP="0031395F"/>
    <w:p w:rsidR="0031395F" w:rsidRDefault="0031395F" w:rsidP="004158FA">
      <w:pPr>
        <w:pStyle w:val="Nadpis2"/>
        <w:numPr>
          <w:ilvl w:val="0"/>
          <w:numId w:val="0"/>
        </w:numPr>
        <w:spacing w:after="120"/>
      </w:pPr>
      <w:bookmarkStart w:id="0" w:name="_Toc92961003"/>
      <w:bookmarkStart w:id="1" w:name="_Toc94079141"/>
      <w:bookmarkStart w:id="2" w:name="_Ref187232638"/>
      <w:bookmarkStart w:id="3" w:name="_Toc187640189"/>
      <w:bookmarkStart w:id="4" w:name="_Toc318374770"/>
      <w:proofErr w:type="spellStart"/>
      <w:r w:rsidRPr="008E75D9">
        <w:t>tanovení</w:t>
      </w:r>
      <w:proofErr w:type="spellEnd"/>
      <w:r w:rsidRPr="008E75D9">
        <w:t xml:space="preserve"> katalytické koncentrace CK-MB</w:t>
      </w:r>
      <w:bookmarkEnd w:id="0"/>
      <w:bookmarkEnd w:id="1"/>
      <w:r w:rsidRPr="008E75D9">
        <w:t xml:space="preserve"> v</w:t>
      </w:r>
      <w:r>
        <w:t> </w:t>
      </w:r>
      <w:r w:rsidRPr="008E75D9">
        <w:t>séru</w:t>
      </w:r>
      <w:bookmarkEnd w:id="2"/>
      <w:bookmarkEnd w:id="3"/>
      <w:bookmarkEnd w:id="4"/>
    </w:p>
    <w:p w:rsidR="0031395F" w:rsidRPr="008E75D9" w:rsidRDefault="0031395F" w:rsidP="0031395F">
      <w:proofErr w:type="spellStart"/>
      <w:r w:rsidRPr="008E75D9">
        <w:t>Kreatinkináza</w:t>
      </w:r>
      <w:proofErr w:type="spellEnd"/>
      <w:r w:rsidRPr="008E75D9">
        <w:t xml:space="preserve"> (CK) je cytoplazmatický enzym katalyzující fosforylaci kreatinu. Existují tři </w:t>
      </w:r>
      <w:proofErr w:type="spellStart"/>
      <w:r w:rsidRPr="008E75D9">
        <w:t>izoformy</w:t>
      </w:r>
      <w:proofErr w:type="spellEnd"/>
      <w:r w:rsidRPr="008E75D9">
        <w:t xml:space="preserve"> </w:t>
      </w:r>
      <w:proofErr w:type="spellStart"/>
      <w:r w:rsidRPr="008E75D9">
        <w:t>kreatinkinázy</w:t>
      </w:r>
      <w:proofErr w:type="spellEnd"/>
      <w:r w:rsidRPr="008E75D9">
        <w:t>, každá z nich je tvořena dvěma podjednotkami, buď typu B (</w:t>
      </w:r>
      <w:r w:rsidRPr="008E75D9">
        <w:rPr>
          <w:i/>
        </w:rPr>
        <w:t>brain</w:t>
      </w:r>
      <w:r w:rsidRPr="008E75D9">
        <w:t>) a/nebo typu M (</w:t>
      </w:r>
      <w:proofErr w:type="spellStart"/>
      <w:r w:rsidRPr="008E75D9">
        <w:rPr>
          <w:i/>
        </w:rPr>
        <w:t>muscle</w:t>
      </w:r>
      <w:proofErr w:type="spellEnd"/>
      <w:r w:rsidRPr="008E75D9">
        <w:t xml:space="preserve">). </w:t>
      </w:r>
      <w:proofErr w:type="spellStart"/>
      <w:r w:rsidRPr="008E75D9">
        <w:t>Izoforma</w:t>
      </w:r>
      <w:proofErr w:type="spellEnd"/>
      <w:r w:rsidRPr="008E75D9">
        <w:t xml:space="preserve"> CK-MM se nachází převážně v kosterním a srdečním svalstvu. </w:t>
      </w:r>
      <w:proofErr w:type="spellStart"/>
      <w:r w:rsidRPr="008E75D9">
        <w:t>Izoforma</w:t>
      </w:r>
      <w:proofErr w:type="spellEnd"/>
      <w:r w:rsidRPr="008E75D9">
        <w:t xml:space="preserve"> CK-BB se nalézá ve vyšších koncentracích především v mozku, ale je produkována i placentou a dalšími tkáněmi. </w:t>
      </w:r>
      <w:proofErr w:type="spellStart"/>
      <w:r w:rsidRPr="008E75D9">
        <w:t>Izoforma</w:t>
      </w:r>
      <w:proofErr w:type="spellEnd"/>
      <w:r w:rsidRPr="008E75D9">
        <w:t xml:space="preserve"> CK-MB tvoří asi 40 % z celkové CK v srdečním svalu, ale je obsažena i v kosterním svalu kde tvoří 1</w:t>
      </w:r>
      <w:r w:rsidRPr="008E75D9">
        <w:softHyphen/>
      </w:r>
      <w:r w:rsidRPr="008E75D9">
        <w:softHyphen/>
        <w:t>–2 % z</w:t>
      </w:r>
      <w:r>
        <w:t> celkové CK</w:t>
      </w:r>
      <w:r w:rsidRPr="008E75D9">
        <w:t xml:space="preserve"> </w:t>
      </w:r>
      <w:r>
        <w:t>Z</w:t>
      </w:r>
      <w:r w:rsidRPr="008E75D9">
        <w:t xml:space="preserve">výšená hladina </w:t>
      </w:r>
      <w:r>
        <w:t xml:space="preserve">CK-MB </w:t>
      </w:r>
      <w:r w:rsidRPr="008E75D9">
        <w:t xml:space="preserve">v séru je proto specifičtějším </w:t>
      </w:r>
      <w:proofErr w:type="spellStart"/>
      <w:r w:rsidRPr="008E75D9">
        <w:t>markerem</w:t>
      </w:r>
      <w:proofErr w:type="spellEnd"/>
      <w:r w:rsidRPr="008E75D9">
        <w:t xml:space="preserve"> poškození myokardu než celková CK. </w:t>
      </w:r>
    </w:p>
    <w:p w:rsidR="0031395F" w:rsidRPr="008E75D9" w:rsidRDefault="0031395F" w:rsidP="0031395F">
      <w:r w:rsidRPr="008E75D9">
        <w:rPr>
          <w:b/>
        </w:rPr>
        <w:lastRenderedPageBreak/>
        <w:t>Princip</w:t>
      </w:r>
      <w:r w:rsidRPr="008E75D9">
        <w:t>:</w:t>
      </w:r>
      <w:r w:rsidRPr="008E75D9">
        <w:rPr>
          <w:b/>
        </w:rPr>
        <w:t xml:space="preserve"> </w:t>
      </w:r>
      <w:proofErr w:type="spellStart"/>
      <w:r w:rsidRPr="008E75D9">
        <w:t>Izoforma</w:t>
      </w:r>
      <w:proofErr w:type="spellEnd"/>
      <w:r w:rsidRPr="008E75D9">
        <w:t xml:space="preserve"> CK-MB se skládá z podjednotky typu M a B.</w:t>
      </w:r>
      <w:r w:rsidRPr="008E75D9">
        <w:rPr>
          <w:b/>
        </w:rPr>
        <w:t xml:space="preserve"> </w:t>
      </w:r>
      <w:r w:rsidRPr="008E75D9">
        <w:t>Protilátka</w:t>
      </w:r>
      <w:r w:rsidRPr="008E75D9">
        <w:rPr>
          <w:b/>
        </w:rPr>
        <w:t xml:space="preserve"> s</w:t>
      </w:r>
      <w:r w:rsidRPr="008E75D9">
        <w:t>pecifická proti podjednotce M inhibuje kompletně katalytickou aktivitu celé frakce CK-MM a katalytickou aktivitu podjednotky M z frakce CK-MB. Měří se pouze katalytická koncentrace podjednotky B, která reprezentuje poloviční katalytickou koncentraci CK-MB v séru.</w:t>
      </w:r>
      <w:r w:rsidR="004158FA">
        <w:t xml:space="preserve"> Při stanovení se využije</w:t>
      </w:r>
      <w:r>
        <w:t xml:space="preserve"> sled tří na sebe navazujících reakcí.  </w:t>
      </w:r>
      <w:proofErr w:type="spellStart"/>
      <w:r w:rsidRPr="008E75D9">
        <w:t>Kreatinkináza</w:t>
      </w:r>
      <w:proofErr w:type="spellEnd"/>
      <w:r w:rsidRPr="008E75D9">
        <w:t xml:space="preserve"> katalyzuje reakci </w:t>
      </w:r>
      <w:proofErr w:type="spellStart"/>
      <w:r w:rsidRPr="008E75D9">
        <w:t>kreatinfosfátu</w:t>
      </w:r>
      <w:proofErr w:type="spellEnd"/>
      <w:r w:rsidRPr="008E75D9">
        <w:t xml:space="preserve"> s ADP za vzniku ATP a kreatinu. V následující enzymové reakci katalyzované </w:t>
      </w:r>
      <w:proofErr w:type="spellStart"/>
      <w:r w:rsidRPr="008E75D9">
        <w:t>hexokinázou</w:t>
      </w:r>
      <w:proofErr w:type="spellEnd"/>
      <w:r w:rsidRPr="008E75D9">
        <w:t xml:space="preserve"> ATP </w:t>
      </w:r>
      <w:proofErr w:type="spellStart"/>
      <w:r w:rsidRPr="008E75D9">
        <w:t>fosforyluje</w:t>
      </w:r>
      <w:proofErr w:type="spellEnd"/>
      <w:r w:rsidRPr="008E75D9">
        <w:t xml:space="preserve"> glukosu za vzniku glukosa-6-fosfátu. Další enzym glukosa-6-fosfátdehydrogenáza za účasti NADP</w:t>
      </w:r>
      <w:r w:rsidRPr="008E75D9">
        <w:rPr>
          <w:vertAlign w:val="superscript"/>
        </w:rPr>
        <w:t>+</w:t>
      </w:r>
      <w:r w:rsidRPr="008E75D9">
        <w:t xml:space="preserve"> oxiduje glukosa-6-fosfát za vzniku glukonát-6-fosfátu a NADPH. Vzrůst koncentrace NADPH (který je úměrný katalytické koncentraci CK) se projeví nárůstem absorbance reakční směsi při 340 </w:t>
      </w:r>
      <w:proofErr w:type="spellStart"/>
      <w:r w:rsidRPr="008E75D9">
        <w:t>nm</w:t>
      </w:r>
      <w:proofErr w:type="spellEnd"/>
      <w:r w:rsidRPr="008E75D9">
        <w:t>.</w:t>
      </w:r>
    </w:p>
    <w:p w:rsidR="0031395F" w:rsidRPr="008E75D9" w:rsidRDefault="0031395F" w:rsidP="0031395F">
      <w:pPr>
        <w:pStyle w:val="Reagencie"/>
        <w:rPr>
          <w:color w:val="auto"/>
        </w:rPr>
      </w:pPr>
      <w:r w:rsidRPr="008E75D9">
        <w:rPr>
          <w:b/>
          <w:color w:val="auto"/>
        </w:rPr>
        <w:t>Materiál</w:t>
      </w:r>
      <w:r w:rsidRPr="008E75D9">
        <w:rPr>
          <w:color w:val="auto"/>
        </w:rPr>
        <w:t xml:space="preserve">: </w:t>
      </w:r>
      <w:r w:rsidRPr="008E75D9">
        <w:rPr>
          <w:color w:val="auto"/>
        </w:rPr>
        <w:tab/>
        <w:t xml:space="preserve">Set </w:t>
      </w:r>
      <w:proofErr w:type="spellStart"/>
      <w:r w:rsidRPr="008E75D9">
        <w:rPr>
          <w:color w:val="auto"/>
        </w:rPr>
        <w:t>Kreatinki</w:t>
      </w:r>
      <w:r>
        <w:rPr>
          <w:color w:val="auto"/>
        </w:rPr>
        <w:t>náza</w:t>
      </w:r>
      <w:proofErr w:type="spellEnd"/>
      <w:r>
        <w:rPr>
          <w:color w:val="auto"/>
        </w:rPr>
        <w:t xml:space="preserve"> MB firmy Erba-</w:t>
      </w:r>
      <w:proofErr w:type="spellStart"/>
      <w:r w:rsidRPr="008E75D9">
        <w:rPr>
          <w:color w:val="auto"/>
        </w:rPr>
        <w:t>Lachema</w:t>
      </w:r>
      <w:proofErr w:type="spellEnd"/>
      <w:r w:rsidRPr="008E75D9">
        <w:rPr>
          <w:color w:val="auto"/>
          <w:vertAlign w:val="superscript"/>
        </w:rPr>
        <w:t>*</w:t>
      </w:r>
      <w:r w:rsidRPr="008E75D9">
        <w:rPr>
          <w:color w:val="auto"/>
        </w:rPr>
        <w:t xml:space="preserve">: </w:t>
      </w:r>
      <w:r w:rsidRPr="008E75D9">
        <w:rPr>
          <w:i/>
          <w:color w:val="auto"/>
        </w:rPr>
        <w:t>CK-činidlo</w:t>
      </w:r>
      <w:r w:rsidRPr="008E75D9">
        <w:rPr>
          <w:color w:val="auto"/>
        </w:rPr>
        <w:t xml:space="preserve"> (obsahujíc</w:t>
      </w:r>
      <w:r>
        <w:rPr>
          <w:color w:val="auto"/>
        </w:rPr>
        <w:t xml:space="preserve">í imidazolový tlumivý roztok 92,6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>/l pH 6,1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glukosa 19,2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octan hořečnatý 9,5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EDTA 1,5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AMP 5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r w:rsidRPr="008E75D9">
        <w:rPr>
          <w:i/>
          <w:color w:val="auto"/>
        </w:rPr>
        <w:t>N</w:t>
      </w:r>
      <w:r>
        <w:rPr>
          <w:color w:val="auto"/>
        </w:rPr>
        <w:noBreakHyphen/>
      </w:r>
      <w:proofErr w:type="spellStart"/>
      <w:r>
        <w:rPr>
          <w:color w:val="auto"/>
        </w:rPr>
        <w:t>acetylcystein</w:t>
      </w:r>
      <w:proofErr w:type="spellEnd"/>
      <w:r>
        <w:rPr>
          <w:color w:val="auto"/>
        </w:rPr>
        <w:t xml:space="preserve"> 19,2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diadenosinpentafosfát</w:t>
      </w:r>
      <w:proofErr w:type="spellEnd"/>
      <w:r>
        <w:rPr>
          <w:color w:val="auto"/>
        </w:rPr>
        <w:t xml:space="preserve"> 19,8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mol/l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AMP 4,8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NADP 1,85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hexokináza</w:t>
      </w:r>
      <w:proofErr w:type="spellEnd"/>
      <w:r>
        <w:rPr>
          <w:color w:val="auto"/>
        </w:rPr>
        <w:t xml:space="preserve"> &gt; 87,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kat/l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ADP 2</w:t>
      </w:r>
      <w:r>
        <w:rPr>
          <w:color w:val="auto"/>
        </w:rPr>
        <w:t>,9</w:t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mmol</w:t>
      </w:r>
      <w:proofErr w:type="spellEnd"/>
      <w:r w:rsidRPr="008E75D9">
        <w:rPr>
          <w:color w:val="auto"/>
        </w:rPr>
        <w:t>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r w:rsidRPr="008E75D9">
        <w:rPr>
          <w:smallCaps/>
          <w:color w:val="auto"/>
        </w:rPr>
        <w:t>d</w:t>
      </w:r>
      <w:r w:rsidRPr="008E75D9">
        <w:rPr>
          <w:color w:val="auto"/>
        </w:rPr>
        <w:t>-gluk</w:t>
      </w:r>
      <w:r>
        <w:rPr>
          <w:color w:val="auto"/>
        </w:rPr>
        <w:t>osa-6-fosfátdehydrogenáza &gt; 28</w:t>
      </w:r>
      <w:r w:rsidRPr="008E75D9">
        <w:rPr>
          <w:color w:val="auto"/>
        </w:rPr>
        <w:t xml:space="preserve">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kat/l</w:t>
      </w:r>
      <w:r w:rsidRPr="008E75D9">
        <w:rPr>
          <w:color w:val="auto"/>
        </w:rPr>
        <w:sym w:font="Symbol" w:char="F03B"/>
      </w:r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kreat</w:t>
      </w:r>
      <w:r>
        <w:rPr>
          <w:color w:val="auto"/>
        </w:rPr>
        <w:t>infosfát</w:t>
      </w:r>
      <w:proofErr w:type="spellEnd"/>
      <w:r>
        <w:rPr>
          <w:color w:val="auto"/>
        </w:rPr>
        <w:t xml:space="preserve"> 48 </w:t>
      </w:r>
      <w:proofErr w:type="spellStart"/>
      <w:r>
        <w:rPr>
          <w:color w:val="auto"/>
        </w:rPr>
        <w:t>mmol</w:t>
      </w:r>
      <w:proofErr w:type="spellEnd"/>
      <w:r>
        <w:rPr>
          <w:color w:val="auto"/>
        </w:rPr>
        <w:t xml:space="preserve">/l), protilátky z kozího séra blokující kapacitu do 33,3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>mol/l</w:t>
      </w:r>
      <w:r w:rsidRPr="008E75D9">
        <w:rPr>
          <w:color w:val="auto"/>
        </w:rPr>
        <w:sym w:font="Symbol" w:char="F03B"/>
      </w:r>
      <w:r>
        <w:rPr>
          <w:color w:val="auto"/>
        </w:rPr>
        <w:t xml:space="preserve"> </w:t>
      </w:r>
      <w:r w:rsidRPr="008E75D9">
        <w:rPr>
          <w:color w:val="auto"/>
        </w:rPr>
        <w:t xml:space="preserve"> Vzorky krevních sér; </w:t>
      </w:r>
      <w:proofErr w:type="spellStart"/>
      <w:r w:rsidRPr="008E75D9">
        <w:rPr>
          <w:color w:val="auto"/>
        </w:rPr>
        <w:t>mikropipetory</w:t>
      </w:r>
      <w:proofErr w:type="spellEnd"/>
      <w:r w:rsidRPr="008E75D9">
        <w:rPr>
          <w:color w:val="auto"/>
        </w:rPr>
        <w:t xml:space="preserve"> 25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 xml:space="preserve">l a 1000 </w:t>
      </w:r>
      <w:r w:rsidRPr="008E75D9">
        <w:rPr>
          <w:rFonts w:ascii="Symbol" w:hAnsi="Symbol"/>
          <w:color w:val="auto"/>
        </w:rPr>
        <w:t></w:t>
      </w:r>
      <w:r w:rsidRPr="008E75D9">
        <w:rPr>
          <w:color w:val="auto"/>
        </w:rPr>
        <w:t xml:space="preserve">l; spektrofotometr </w:t>
      </w:r>
      <w:proofErr w:type="spellStart"/>
      <w:r w:rsidRPr="008E75D9">
        <w:rPr>
          <w:color w:val="auto"/>
        </w:rPr>
        <w:t>Spekol</w:t>
      </w:r>
      <w:proofErr w:type="spellEnd"/>
      <w:r w:rsidRPr="008E75D9">
        <w:rPr>
          <w:color w:val="auto"/>
        </w:rPr>
        <w:t xml:space="preserve"> </w:t>
      </w:r>
      <w:smartTag w:uri="urn:schemas-microsoft-com:office:smarttags" w:element="metricconverter">
        <w:smartTagPr>
          <w:attr w:name="ProductID" w:val="1300 a"/>
        </w:smartTagPr>
        <w:r w:rsidRPr="008E75D9">
          <w:rPr>
            <w:color w:val="auto"/>
          </w:rPr>
          <w:t>1300 a</w:t>
        </w:r>
      </w:smartTag>
      <w:r w:rsidRPr="008E75D9">
        <w:rPr>
          <w:color w:val="auto"/>
        </w:rPr>
        <w:t xml:space="preserve"> software </w:t>
      </w:r>
      <w:proofErr w:type="spellStart"/>
      <w:r w:rsidRPr="008E75D9">
        <w:rPr>
          <w:color w:val="auto"/>
        </w:rPr>
        <w:t>WinAspect</w:t>
      </w:r>
      <w:proofErr w:type="spellEnd"/>
      <w:r w:rsidRPr="008E75D9">
        <w:rPr>
          <w:color w:val="auto"/>
        </w:rPr>
        <w:t xml:space="preserve"> (nebo spektrofotometr Helios Delta a software </w:t>
      </w:r>
      <w:proofErr w:type="spellStart"/>
      <w:r>
        <w:rPr>
          <w:color w:val="auto"/>
        </w:rPr>
        <w:t>VisionLite</w:t>
      </w:r>
      <w:proofErr w:type="spellEnd"/>
      <w:r>
        <w:rPr>
          <w:color w:val="auto"/>
        </w:rPr>
        <w:t xml:space="preserve"> </w:t>
      </w:r>
      <w:r w:rsidRPr="008E75D9">
        <w:rPr>
          <w:color w:val="auto"/>
        </w:rPr>
        <w:t xml:space="preserve"> </w:t>
      </w:r>
      <w:proofErr w:type="spellStart"/>
      <w:r>
        <w:rPr>
          <w:color w:val="auto"/>
        </w:rPr>
        <w:t>Rate</w:t>
      </w:r>
      <w:proofErr w:type="spellEnd"/>
      <w:r w:rsidRPr="008E75D9">
        <w:rPr>
          <w:color w:val="auto"/>
        </w:rPr>
        <w:t>) s temperovaným kyvetovým prostorem na 37 ºC (</w:t>
      </w:r>
      <w:proofErr w:type="spellStart"/>
      <w:r w:rsidRPr="008E75D9">
        <w:rPr>
          <w:color w:val="auto"/>
        </w:rPr>
        <w:t>Peltier</w:t>
      </w:r>
      <w:proofErr w:type="spellEnd"/>
      <w:r w:rsidRPr="008E75D9">
        <w:rPr>
          <w:color w:val="auto"/>
        </w:rPr>
        <w:t xml:space="preserve"> termostat nebo vodní lázeň). *Alternativně mohou být použity testy firmy </w:t>
      </w:r>
      <w:proofErr w:type="spellStart"/>
      <w:r w:rsidRPr="008E75D9">
        <w:rPr>
          <w:color w:val="auto"/>
        </w:rPr>
        <w:t>Roche</w:t>
      </w:r>
      <w:proofErr w:type="spellEnd"/>
      <w:r w:rsidRPr="008E75D9">
        <w:rPr>
          <w:color w:val="auto"/>
        </w:rPr>
        <w:t xml:space="preserve"> </w:t>
      </w:r>
      <w:proofErr w:type="spellStart"/>
      <w:r w:rsidRPr="008E75D9">
        <w:rPr>
          <w:color w:val="auto"/>
        </w:rPr>
        <w:t>Diagnostics</w:t>
      </w:r>
      <w:proofErr w:type="spellEnd"/>
      <w:r w:rsidRPr="008E75D9">
        <w:rPr>
          <w:color w:val="auto"/>
        </w:rPr>
        <w:t xml:space="preserve">, </w:t>
      </w:r>
      <w:proofErr w:type="spellStart"/>
      <w:r w:rsidRPr="008E75D9">
        <w:rPr>
          <w:color w:val="auto"/>
        </w:rPr>
        <w:t>BioVendor</w:t>
      </w:r>
      <w:proofErr w:type="spellEnd"/>
      <w:r w:rsidRPr="008E75D9">
        <w:rPr>
          <w:color w:val="auto"/>
        </w:rPr>
        <w:t>, pak složení činidla je odlišné.</w:t>
      </w:r>
    </w:p>
    <w:p w:rsidR="0031395F" w:rsidRPr="008E75D9" w:rsidRDefault="0031395F" w:rsidP="0031395F">
      <w:pPr>
        <w:pStyle w:val="Podnadpis12b"/>
      </w:pPr>
      <w:r w:rsidRPr="008E75D9">
        <w:t>Význam stanovení CK-MB pro diagnostiku infarktu myokardu</w:t>
      </w:r>
    </w:p>
    <w:p w:rsidR="0031395F" w:rsidRDefault="0031395F" w:rsidP="0031395F">
      <w:r>
        <w:t xml:space="preserve">Zvýšené hodnoty </w:t>
      </w:r>
      <w:r w:rsidRPr="008E75D9">
        <w:t>CK</w:t>
      </w:r>
      <w:r>
        <w:t>-MB</w:t>
      </w:r>
      <w:r w:rsidRPr="008E75D9">
        <w:t xml:space="preserve"> se při IM objevují po 3–6 hodinách, vrcholu je obvykle dosaženo po 24 hodinách. Časový průběh nárůstu aktivity v séru po IM je pro CK-MB obdobný jako u celkové CK. Zvýšení aktivity CK-MB v séru je specifičtějším </w:t>
      </w:r>
      <w:proofErr w:type="spellStart"/>
      <w:r w:rsidRPr="008E75D9">
        <w:t>markerem</w:t>
      </w:r>
      <w:proofErr w:type="spellEnd"/>
      <w:r w:rsidRPr="008E75D9">
        <w:t xml:space="preserve"> IM než zvýšení celkové aktivity CK. Protože však i kosterní sval obsahuje malý podíl CK-MB, může být příčinou vyšší aktivity tohoto izoenzymu i rozsáhlejší poškození kosterních svalů. Specifičnost stanovení vzroste, vyjádříme-li podíl aktivity CK</w:t>
      </w:r>
      <w:r>
        <w:noBreakHyphen/>
      </w:r>
      <w:r w:rsidRPr="008E75D9">
        <w:t xml:space="preserve">MB na aktivitě celkové CK. Hodnota nad 6 % zvyšuje pravděpodobnost správnosti úsudku, že CK-MB pochází z myokardu. </w:t>
      </w:r>
    </w:p>
    <w:p w:rsidR="0031395F" w:rsidRPr="008E75D9" w:rsidRDefault="0031395F" w:rsidP="0031395F">
      <w:pPr>
        <w:pStyle w:val="Nadpis2"/>
        <w:numPr>
          <w:ilvl w:val="0"/>
          <w:numId w:val="0"/>
        </w:numPr>
        <w:spacing w:after="120"/>
        <w:ind w:left="576" w:hanging="576"/>
      </w:pPr>
      <w:r w:rsidRPr="008E75D9">
        <w:t>Stanov</w:t>
      </w:r>
      <w:bookmarkStart w:id="5" w:name="_GoBack"/>
      <w:bookmarkEnd w:id="5"/>
      <w:r w:rsidRPr="008E75D9">
        <w:t xml:space="preserve">ení </w:t>
      </w:r>
      <w:r>
        <w:t xml:space="preserve">hmotnostní koncentrace CK-MB </w:t>
      </w:r>
      <w:proofErr w:type="spellStart"/>
      <w:r>
        <w:t>mass</w:t>
      </w:r>
      <w:proofErr w:type="spellEnd"/>
      <w:r>
        <w:t xml:space="preserve"> </w:t>
      </w:r>
      <w:r w:rsidRPr="008E75D9">
        <w:t>v</w:t>
      </w:r>
      <w:r>
        <w:t> krvi</w:t>
      </w:r>
    </w:p>
    <w:p w:rsidR="0031395F" w:rsidRDefault="0031395F" w:rsidP="0031395F">
      <w:r w:rsidRPr="008E75D9">
        <w:t xml:space="preserve">Namísto aktivity </w:t>
      </w:r>
      <w:proofErr w:type="spellStart"/>
      <w:r w:rsidRPr="008E75D9">
        <w:t>izoformy</w:t>
      </w:r>
      <w:proofErr w:type="spellEnd"/>
      <w:r w:rsidRPr="008E75D9">
        <w:t xml:space="preserve"> CK-MB lze hodnotit i je</w:t>
      </w:r>
      <w:r>
        <w:t>jí</w:t>
      </w:r>
      <w:r w:rsidRPr="008E75D9">
        <w:t xml:space="preserve"> hmotnostní koncentraci </w:t>
      </w:r>
      <w:r w:rsidRPr="008E75D9">
        <w:rPr>
          <w:b/>
        </w:rPr>
        <w:t xml:space="preserve">CK-MB </w:t>
      </w:r>
      <w:proofErr w:type="spellStart"/>
      <w:r w:rsidRPr="008E75D9">
        <w:rPr>
          <w:b/>
        </w:rPr>
        <w:t>mass</w:t>
      </w:r>
      <w:proofErr w:type="spellEnd"/>
      <w:r w:rsidR="004158FA">
        <w:t>, čehož je</w:t>
      </w:r>
      <w:r>
        <w:t xml:space="preserve"> </w:t>
      </w:r>
      <w:r w:rsidRPr="008E75D9">
        <w:t>v</w:t>
      </w:r>
      <w:r>
        <w:t> </w:t>
      </w:r>
      <w:r w:rsidRPr="008E75D9">
        <w:t xml:space="preserve">současné době </w:t>
      </w:r>
      <w:r>
        <w:t xml:space="preserve">využíváno a stanovení CK-MB </w:t>
      </w:r>
      <w:proofErr w:type="spellStart"/>
      <w:r>
        <w:t>mass</w:t>
      </w:r>
      <w:proofErr w:type="spellEnd"/>
      <w:r>
        <w:t xml:space="preserve"> patří k pomocným testům při diagnostice AIM. </w:t>
      </w:r>
    </w:p>
    <w:p w:rsidR="0031395F" w:rsidRDefault="0031395F" w:rsidP="0031395F">
      <w:r w:rsidRPr="008E75D9">
        <w:t>Stanovení se provádí imunoanalyticky</w:t>
      </w:r>
      <w:r>
        <w:t xml:space="preserve">, lze využívat systém POCT (diagnostické proužky) nebo stanovení v analyzátorech. </w:t>
      </w:r>
      <w:r w:rsidRPr="008E75D9">
        <w:t>Na rozdíl od stanovení aktivity</w:t>
      </w:r>
      <w:r>
        <w:t xml:space="preserve"> </w:t>
      </w:r>
      <w:proofErr w:type="spellStart"/>
      <w:r>
        <w:t>izoformy</w:t>
      </w:r>
      <w:proofErr w:type="spellEnd"/>
      <w:r w:rsidRPr="008E75D9">
        <w:t xml:space="preserve"> se v tomto případě prokáží i částečně degradované molekuly, které </w:t>
      </w:r>
      <w:r>
        <w:t xml:space="preserve">již </w:t>
      </w:r>
      <w:r w:rsidRPr="008E75D9">
        <w:t xml:space="preserve">enzymovou aktivitu ztratily, reagují však dosud se specifickou protilátkou. </w:t>
      </w:r>
    </w:p>
    <w:p w:rsidR="00463A30" w:rsidRDefault="00463A30" w:rsidP="0031395F"/>
    <w:p w:rsidR="00463A30" w:rsidRPr="00510550" w:rsidRDefault="00463A30" w:rsidP="00463A30">
      <w:pPr>
        <w:pStyle w:val="Nadpis2"/>
        <w:numPr>
          <w:ilvl w:val="0"/>
          <w:numId w:val="0"/>
        </w:numPr>
      </w:pPr>
      <w:r>
        <w:lastRenderedPageBreak/>
        <w:t>Biochemické ukazatele srdečn</w:t>
      </w:r>
      <w:r w:rsidR="008B7F55">
        <w:t>í</w:t>
      </w:r>
      <w:r>
        <w:t>ho</w:t>
      </w:r>
      <w:r w:rsidRPr="00510550">
        <w:t xml:space="preserve"> selhání</w:t>
      </w:r>
    </w:p>
    <w:p w:rsidR="00463A30" w:rsidRDefault="00463A30" w:rsidP="00463A30">
      <w:pPr>
        <w:spacing w:before="100" w:beforeAutospacing="1" w:after="0" w:line="360" w:lineRule="auto"/>
      </w:pPr>
      <w:r>
        <w:t xml:space="preserve">Srdeční selhání je syndrom subjektivních potíží a objektivních příznaků způsobených poklesem srdeční funkce. </w:t>
      </w:r>
      <w:r w:rsidR="008B7F55">
        <w:t>N</w:t>
      </w:r>
      <w:r>
        <w:t xml:space="preserve">edílnou součástí diagnostiky srdečního selhání </w:t>
      </w:r>
      <w:r w:rsidR="008B7F55">
        <w:t xml:space="preserve">je </w:t>
      </w:r>
      <w:r>
        <w:t xml:space="preserve">stanovení koncentrací </w:t>
      </w:r>
      <w:proofErr w:type="spellStart"/>
      <w:r>
        <w:t>natriuretických</w:t>
      </w:r>
      <w:proofErr w:type="spellEnd"/>
      <w:r>
        <w:t xml:space="preserve"> peptidů. Tak jako nás troponiny informují o poruše struktury </w:t>
      </w:r>
      <w:r w:rsidR="008B7F55">
        <w:t>buněk srdeční svaloviny</w:t>
      </w:r>
      <w:r>
        <w:t xml:space="preserve">, tak nás </w:t>
      </w:r>
      <w:proofErr w:type="spellStart"/>
      <w:r>
        <w:t>natriuretické</w:t>
      </w:r>
      <w:proofErr w:type="spellEnd"/>
      <w:r>
        <w:t xml:space="preserve"> peptidy informují o jeho přetížení (poruše funkce). </w:t>
      </w:r>
    </w:p>
    <w:p w:rsidR="00463A30" w:rsidRDefault="00463A30" w:rsidP="00463A30">
      <w:pPr>
        <w:spacing w:before="100" w:beforeAutospacing="1" w:after="0" w:line="360" w:lineRule="auto"/>
      </w:pPr>
      <w:bookmarkStart w:id="6" w:name="h.w5irnhut8a0"/>
      <w:bookmarkEnd w:id="6"/>
      <w:proofErr w:type="spellStart"/>
      <w:r w:rsidRPr="00510550">
        <w:rPr>
          <w:b/>
          <w:sz w:val="24"/>
          <w:szCs w:val="24"/>
        </w:rPr>
        <w:t>Natriuretické</w:t>
      </w:r>
      <w:proofErr w:type="spellEnd"/>
      <w:r w:rsidRPr="00510550">
        <w:rPr>
          <w:b/>
          <w:sz w:val="24"/>
          <w:szCs w:val="24"/>
        </w:rPr>
        <w:t xml:space="preserve"> peptidy</w:t>
      </w:r>
      <w:r>
        <w:t xml:space="preserve"> jsou vylučované převážně myokardem, dále také endotelovými buňkami a ledvinami. V organismu působí protektivně, podílí se na ochraně kardiovaskulárního systému před tlakovým a objemovým přetížením. Rozlišujeme čtyři </w:t>
      </w:r>
      <w:proofErr w:type="spellStart"/>
      <w:r>
        <w:t>natriuretické</w:t>
      </w:r>
      <w:proofErr w:type="spellEnd"/>
      <w:r>
        <w:t xml:space="preserve"> peptidy – ANP, BNP, CNP a </w:t>
      </w:r>
      <w:proofErr w:type="spellStart"/>
      <w:r>
        <w:t>urodilatin</w:t>
      </w:r>
      <w:proofErr w:type="spellEnd"/>
      <w:r>
        <w:t>.</w:t>
      </w:r>
      <w:r>
        <w:rPr>
          <w:b/>
          <w:bCs/>
        </w:rPr>
        <w:t xml:space="preserve"> </w:t>
      </w:r>
      <w:r>
        <w:t xml:space="preserve">ANP je </w:t>
      </w:r>
      <w:proofErr w:type="spellStart"/>
      <w:r w:rsidRPr="00962028">
        <w:t>secernován</w:t>
      </w:r>
      <w:proofErr w:type="spellEnd"/>
      <w:r w:rsidRPr="00962028">
        <w:t xml:space="preserve"> </w:t>
      </w:r>
      <w:proofErr w:type="spellStart"/>
      <w:r>
        <w:t>kardiomyocyty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</w:rPr>
        <w:t>srdečních</w:t>
      </w:r>
      <w:r>
        <w:rPr>
          <w:b/>
          <w:bCs/>
        </w:rPr>
        <w:t xml:space="preserve"> </w:t>
      </w:r>
      <w:r>
        <w:rPr>
          <w:bCs/>
        </w:rPr>
        <w:t xml:space="preserve">síní </w:t>
      </w:r>
      <w:r w:rsidR="008B7F55">
        <w:t>při</w:t>
      </w:r>
      <w:r>
        <w:t xml:space="preserve"> zvýšené</w:t>
      </w:r>
      <w:r w:rsidR="008B7F55">
        <w:t>m</w:t>
      </w:r>
      <w:r>
        <w:t xml:space="preserve"> napětí ve stěně srdečních síní. BNP (poprvé popsán v prasečím mozku - odtud název) je </w:t>
      </w:r>
      <w:proofErr w:type="spellStart"/>
      <w:r>
        <w:t>secernován</w:t>
      </w:r>
      <w:proofErr w:type="spellEnd"/>
      <w:r>
        <w:t xml:space="preserve"> především </w:t>
      </w:r>
      <w:proofErr w:type="spellStart"/>
      <w:r>
        <w:rPr>
          <w:bCs/>
        </w:rPr>
        <w:t>kardiomycyty</w:t>
      </w:r>
      <w:proofErr w:type="spellEnd"/>
      <w:r>
        <w:rPr>
          <w:bCs/>
        </w:rPr>
        <w:t xml:space="preserve"> srdečních komor</w:t>
      </w:r>
      <w:r>
        <w:t>, jakožto odpověď na zvýšené napětí ve stěně srdečních komor nebo při dilataci komorového myokardu. V </w:t>
      </w:r>
      <w:proofErr w:type="spellStart"/>
      <w:r>
        <w:t>kardiomyocytech</w:t>
      </w:r>
      <w:proofErr w:type="spellEnd"/>
      <w:r>
        <w:t xml:space="preserve"> je primárně syntetizován </w:t>
      </w:r>
      <w:proofErr w:type="spellStart"/>
      <w:r>
        <w:t>pre-proBNP</w:t>
      </w:r>
      <w:proofErr w:type="spellEnd"/>
      <w:r>
        <w:t xml:space="preserve">, po odštěpení signálního peptidu vzniká </w:t>
      </w:r>
      <w:proofErr w:type="spellStart"/>
      <w:r>
        <w:t>proBNP</w:t>
      </w:r>
      <w:proofErr w:type="spellEnd"/>
      <w:r>
        <w:t xml:space="preserve"> (108 aminokyselin) a ten je štěpen na 2 fragmenty – vlastní BNP (AK 77-108, biologicky aktivní) a N-terminální fragment (NT-</w:t>
      </w:r>
      <w:proofErr w:type="spellStart"/>
      <w:r>
        <w:t>proBNP</w:t>
      </w:r>
      <w:proofErr w:type="spellEnd"/>
      <w:r>
        <w:t>; AK 1-76, biologicky inaktivní), kter</w:t>
      </w:r>
      <w:r w:rsidR="008B7F55">
        <w:t xml:space="preserve">é jsou </w:t>
      </w:r>
      <w:proofErr w:type="spellStart"/>
      <w:r w:rsidR="008B7F55">
        <w:t>secernovány</w:t>
      </w:r>
      <w:proofErr w:type="spellEnd"/>
      <w:r w:rsidR="008B7F55">
        <w:t xml:space="preserve"> do cirkulace</w:t>
      </w:r>
      <w:r>
        <w:t xml:space="preserve">. Hlavním cílovým orgánem </w:t>
      </w:r>
      <w:proofErr w:type="spellStart"/>
      <w:r>
        <w:t>natriuretických</w:t>
      </w:r>
      <w:proofErr w:type="spellEnd"/>
      <w:r>
        <w:t xml:space="preserve"> peptidů je distální tubulus ledvin</w:t>
      </w:r>
      <w:r w:rsidR="008B7F55">
        <w:t xml:space="preserve">, </w:t>
      </w:r>
      <w:r>
        <w:t>vyvoláva</w:t>
      </w:r>
      <w:r w:rsidR="008B7F55">
        <w:t xml:space="preserve">jí </w:t>
      </w:r>
      <w:proofErr w:type="spellStart"/>
      <w:r w:rsidR="008B7F55">
        <w:t>natriurézu</w:t>
      </w:r>
      <w:proofErr w:type="spellEnd"/>
      <w:r w:rsidR="008B7F55">
        <w:t>, zvýšenou diurézu</w:t>
      </w:r>
      <w:r>
        <w:t>, a inhibují systém renin-</w:t>
      </w:r>
      <w:proofErr w:type="spellStart"/>
      <w:r>
        <w:t>angiotenzin</w:t>
      </w:r>
      <w:proofErr w:type="spellEnd"/>
      <w:r>
        <w:t xml:space="preserve">-aldosteron. Dále vyvolávají relaxaci hladké cévní svaloviny, inhibici sympatiku a mají </w:t>
      </w:r>
      <w:proofErr w:type="spellStart"/>
      <w:r>
        <w:t>antimitogenní</w:t>
      </w:r>
      <w:proofErr w:type="spellEnd"/>
      <w:r>
        <w:t xml:space="preserve"> a </w:t>
      </w:r>
      <w:proofErr w:type="spellStart"/>
      <w:r>
        <w:t>antiproliferativní</w:t>
      </w:r>
      <w:proofErr w:type="spellEnd"/>
      <w:r>
        <w:t xml:space="preserve"> účinek, čímž příznivě ovlivňují </w:t>
      </w:r>
      <w:proofErr w:type="spellStart"/>
      <w:r>
        <w:t>remodelaci</w:t>
      </w:r>
      <w:proofErr w:type="spellEnd"/>
      <w:r>
        <w:t xml:space="preserve"> stěny myokardu i periferních cév.</w:t>
      </w:r>
    </w:p>
    <w:p w:rsidR="00463A30" w:rsidRDefault="00463A30" w:rsidP="00463A30">
      <w:pPr>
        <w:spacing w:before="100" w:beforeAutospacing="1" w:after="0" w:line="360" w:lineRule="auto"/>
      </w:pPr>
      <w:r w:rsidRPr="00510550">
        <w:rPr>
          <w:b/>
        </w:rPr>
        <w:t>Mezi biochemické ukazatele srdečního selhání patří BNP a NT-</w:t>
      </w:r>
      <w:proofErr w:type="spellStart"/>
      <w:r w:rsidRPr="00510550">
        <w:rPr>
          <w:b/>
        </w:rPr>
        <w:t>proBNP</w:t>
      </w:r>
      <w:proofErr w:type="spellEnd"/>
      <w:r w:rsidRPr="00510550">
        <w:rPr>
          <w:b/>
        </w:rPr>
        <w:t>.</w:t>
      </w:r>
      <w:r>
        <w:t xml:space="preserve"> Oba dva peptidy se uplatňují nejen v diagnostice srdečního selhání, ale i při stanovení prognózy nemocných se srdečním selháním. V současné době se stanovuje především NT-</w:t>
      </w:r>
      <w:proofErr w:type="spellStart"/>
      <w:r>
        <w:t>proBNP</w:t>
      </w:r>
      <w:proofErr w:type="spellEnd"/>
      <w:r>
        <w:t>.</w:t>
      </w:r>
    </w:p>
    <w:p w:rsidR="00463A30" w:rsidRDefault="00463A30" w:rsidP="00463A30">
      <w:pPr>
        <w:spacing w:before="100" w:beforeAutospacing="1" w:after="0" w:line="360" w:lineRule="auto"/>
      </w:pPr>
      <w:bookmarkStart w:id="7" w:name="h.n35v9ppqng9l"/>
      <w:bookmarkEnd w:id="7"/>
      <w:r>
        <w:t>Hlavními klinickými oblastmi využití BNP a NT-</w:t>
      </w:r>
      <w:proofErr w:type="spellStart"/>
      <w:r>
        <w:t>proBNP</w:t>
      </w:r>
      <w:proofErr w:type="spellEnd"/>
      <w:r>
        <w:t xml:space="preserve"> jsou diferenciá</w:t>
      </w:r>
      <w:r w:rsidR="008B7F55">
        <w:t>lní diagnostika akutní dušnosti</w:t>
      </w:r>
      <w:bookmarkStart w:id="8" w:name="h.m2np1m86hkbb"/>
      <w:bookmarkEnd w:id="8"/>
      <w:r>
        <w:t xml:space="preserve">. Při nízké koncentraci </w:t>
      </w:r>
      <w:proofErr w:type="spellStart"/>
      <w:r>
        <w:t>natriuretických</w:t>
      </w:r>
      <w:proofErr w:type="spellEnd"/>
      <w:r>
        <w:t xml:space="preserve"> peptidů se jedná o dušnost nekardiálního původu a je nutné vyloučit plicní či jiné onemocnění, např. sepsi, embolus, renální selhání. Při středně zvýšených koncentracích je srdeční selhání pravděpodobné, ale stále je nutné vyloučit jinou příčinu dušnosti. Při vysokých koncentracích </w:t>
      </w:r>
      <w:proofErr w:type="spellStart"/>
      <w:r>
        <w:t>natriuretických</w:t>
      </w:r>
      <w:proofErr w:type="spellEnd"/>
      <w:r>
        <w:t xml:space="preserve"> peptidů je srdeční selhání velmi pravděpodobné. Podle doporučení Evropské kardiologické společnosti se uvádějí hodnoty </w:t>
      </w:r>
      <w:proofErr w:type="spellStart"/>
      <w:r>
        <w:t>cut-off</w:t>
      </w:r>
      <w:proofErr w:type="spellEnd"/>
      <w:r>
        <w:t xml:space="preserve"> pro NT-</w:t>
      </w:r>
      <w:proofErr w:type="spellStart"/>
      <w:r>
        <w:t>proBNP</w:t>
      </w:r>
      <w:proofErr w:type="spellEnd"/>
      <w:r>
        <w:t xml:space="preserve"> 125 </w:t>
      </w:r>
      <w:proofErr w:type="spellStart"/>
      <w:r>
        <w:t>ng</w:t>
      </w:r>
      <w:proofErr w:type="spellEnd"/>
      <w:r>
        <w:t xml:space="preserve">/l u chronické a 300 </w:t>
      </w:r>
      <w:proofErr w:type="spellStart"/>
      <w:r>
        <w:t>ng</w:t>
      </w:r>
      <w:proofErr w:type="spellEnd"/>
      <w:r>
        <w:t xml:space="preserve">/l u akutní srdeční slabosti, pro BNP 100 </w:t>
      </w:r>
      <w:proofErr w:type="spellStart"/>
      <w:r>
        <w:t>ng</w:t>
      </w:r>
      <w:proofErr w:type="spellEnd"/>
      <w:r>
        <w:t xml:space="preserve">/l u akutní i chronické srdeční slabosti; nicméně </w:t>
      </w:r>
      <w:proofErr w:type="spellStart"/>
      <w:r>
        <w:t>cut-off</w:t>
      </w:r>
      <w:proofErr w:type="spellEnd"/>
      <w:r>
        <w:t xml:space="preserve"> hodnoty uváděné některými laboratořemi se mohou lišit. </w:t>
      </w:r>
    </w:p>
    <w:p w:rsidR="0031395F" w:rsidRDefault="0031395F">
      <w:bookmarkStart w:id="9" w:name="h.9e2f7rxpdlvk"/>
      <w:bookmarkEnd w:id="9"/>
    </w:p>
    <w:sectPr w:rsidR="00313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DB" w:rsidRDefault="00666EDB" w:rsidP="0031395F">
      <w:pPr>
        <w:spacing w:after="0" w:line="240" w:lineRule="auto"/>
      </w:pPr>
      <w:r>
        <w:separator/>
      </w:r>
    </w:p>
  </w:endnote>
  <w:endnote w:type="continuationSeparator" w:id="0">
    <w:p w:rsidR="00666EDB" w:rsidRDefault="00666EDB" w:rsidP="0031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DB" w:rsidRDefault="00666EDB" w:rsidP="0031395F">
      <w:pPr>
        <w:spacing w:after="0" w:line="240" w:lineRule="auto"/>
      </w:pPr>
      <w:r>
        <w:separator/>
      </w:r>
    </w:p>
  </w:footnote>
  <w:footnote w:type="continuationSeparator" w:id="0">
    <w:p w:rsidR="00666EDB" w:rsidRDefault="00666EDB" w:rsidP="0031395F">
      <w:pPr>
        <w:spacing w:after="0" w:line="240" w:lineRule="auto"/>
      </w:pPr>
      <w:r>
        <w:continuationSeparator/>
      </w:r>
    </w:p>
  </w:footnote>
  <w:footnote w:id="1">
    <w:p w:rsidR="0031395F" w:rsidRDefault="0031395F" w:rsidP="0031395F">
      <w:pPr>
        <w:pStyle w:val="Normln9"/>
      </w:pPr>
      <w:r>
        <w:rPr>
          <w:rStyle w:val="Znakapoznpodarou"/>
        </w:rPr>
        <w:footnoteRef/>
      </w:r>
      <w:r>
        <w:t xml:space="preserve"> </w:t>
      </w:r>
      <w:r w:rsidRPr="00F64BBF">
        <w:t>V diagnostice srdečních onemocnění již nemá význam stanov</w:t>
      </w:r>
      <w:r>
        <w:t xml:space="preserve">ení </w:t>
      </w:r>
      <w:proofErr w:type="spellStart"/>
      <w:r>
        <w:t>laktátdehydrogenázy</w:t>
      </w:r>
      <w:proofErr w:type="spellEnd"/>
      <w:r>
        <w:t xml:space="preserve"> a jej</w:t>
      </w:r>
      <w:r w:rsidR="008B7F55">
        <w:t>i</w:t>
      </w:r>
      <w:r>
        <w:t>ch</w:t>
      </w:r>
      <w:r w:rsidRPr="00F64BBF">
        <w:t xml:space="preserve"> izoenzymů</w:t>
      </w:r>
      <w:r>
        <w:t xml:space="preserve"> a stanovení AST.</w:t>
      </w:r>
    </w:p>
    <w:p w:rsidR="0031395F" w:rsidRDefault="0031395F" w:rsidP="0031395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54D94"/>
    <w:multiLevelType w:val="multilevel"/>
    <w:tmpl w:val="E236C0AA"/>
    <w:lvl w:ilvl="0">
      <w:start w:val="6"/>
      <w:numFmt w:val="decimal"/>
      <w:pStyle w:val="Nadpis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5F"/>
    <w:rsid w:val="00056CD8"/>
    <w:rsid w:val="0031395F"/>
    <w:rsid w:val="004158FA"/>
    <w:rsid w:val="00463A30"/>
    <w:rsid w:val="00497979"/>
    <w:rsid w:val="00623206"/>
    <w:rsid w:val="00666EDB"/>
    <w:rsid w:val="00897487"/>
    <w:rsid w:val="008B7F55"/>
    <w:rsid w:val="00986CF7"/>
    <w:rsid w:val="00E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B8190"/>
  <w15:docId w15:val="{E6B8382F-C9DA-45F2-A603-BF7A8EA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95F"/>
    <w:pPr>
      <w:spacing w:after="120" w:line="32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395F"/>
    <w:pPr>
      <w:keepNext/>
      <w:pageBreakBefore/>
      <w:numPr>
        <w:numId w:val="1"/>
      </w:numPr>
      <w:pBdr>
        <w:bottom w:val="single" w:sz="8" w:space="1" w:color="auto"/>
      </w:pBdr>
      <w:spacing w:line="360" w:lineRule="auto"/>
      <w:jc w:val="left"/>
      <w:outlineLvl w:val="0"/>
    </w:pPr>
    <w:rPr>
      <w:b/>
      <w:caps/>
      <w:spacing w:val="40"/>
      <w:kern w:val="28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1395F"/>
    <w:pPr>
      <w:keepNext/>
      <w:numPr>
        <w:ilvl w:val="1"/>
        <w:numId w:val="1"/>
      </w:numPr>
      <w:spacing w:before="720" w:after="60" w:line="360" w:lineRule="auto"/>
      <w:outlineLvl w:val="1"/>
    </w:pPr>
    <w:rPr>
      <w:b/>
      <w:spacing w:val="3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395F"/>
    <w:pPr>
      <w:keepNext/>
      <w:numPr>
        <w:ilvl w:val="2"/>
        <w:numId w:val="1"/>
      </w:numPr>
      <w:spacing w:before="360"/>
      <w:outlineLvl w:val="2"/>
    </w:pPr>
    <w:rPr>
      <w:b/>
      <w:spacing w:val="1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2b">
    <w:name w:val="Podnadpis 12 b."/>
    <w:next w:val="Normln"/>
    <w:link w:val="Podnadpis12bChar"/>
    <w:rsid w:val="0031395F"/>
    <w:pPr>
      <w:keepNext/>
      <w:spacing w:before="480" w:after="120" w:line="320" w:lineRule="exac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12bChar">
    <w:name w:val="Podnadpis 12 b. Char"/>
    <w:basedOn w:val="Standardnpsmoodstavce"/>
    <w:link w:val="Podnadpis12b"/>
    <w:rsid w:val="00313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9">
    <w:name w:val="Normální 9"/>
    <w:basedOn w:val="Normln"/>
    <w:rsid w:val="0031395F"/>
    <w:pPr>
      <w:spacing w:after="60" w:line="240" w:lineRule="exact"/>
      <w:jc w:val="left"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31395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1395F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31395F"/>
    <w:rPr>
      <w:rFonts w:ascii="Times New Roman" w:eastAsia="Times New Roman" w:hAnsi="Times New Roman" w:cs="Times New Roman"/>
      <w:b/>
      <w:caps/>
      <w:spacing w:val="40"/>
      <w:kern w:val="28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1395F"/>
    <w:rPr>
      <w:rFonts w:ascii="Times New Roman" w:eastAsia="Times New Roman" w:hAnsi="Times New Roman" w:cs="Times New Roman"/>
      <w:b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1395F"/>
    <w:rPr>
      <w:rFonts w:ascii="Times New Roman" w:eastAsia="Times New Roman" w:hAnsi="Times New Roman" w:cs="Times New Roman"/>
      <w:b/>
      <w:spacing w:val="10"/>
      <w:sz w:val="24"/>
      <w:szCs w:val="24"/>
      <w:lang w:eastAsia="cs-CZ"/>
    </w:rPr>
  </w:style>
  <w:style w:type="paragraph" w:customStyle="1" w:styleId="Reagencie">
    <w:name w:val="Reagencie"/>
    <w:basedOn w:val="Normln"/>
    <w:next w:val="Normln"/>
    <w:rsid w:val="0031395F"/>
    <w:pPr>
      <w:pBdr>
        <w:top w:val="single" w:sz="6" w:space="1" w:color="auto"/>
        <w:bottom w:val="single" w:sz="6" w:space="1" w:color="auto"/>
      </w:pBdr>
      <w:spacing w:before="480" w:after="240" w:line="240" w:lineRule="exact"/>
      <w:ind w:left="851" w:hanging="851"/>
    </w:pPr>
    <w:rPr>
      <w:color w:val="000000"/>
      <w:sz w:val="18"/>
      <w:szCs w:val="18"/>
    </w:rPr>
  </w:style>
  <w:style w:type="character" w:styleId="Odkaznakoment">
    <w:name w:val="annotation reference"/>
    <w:basedOn w:val="Standardnpsmoodstavce"/>
    <w:rsid w:val="003139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39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3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9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taborska</dc:creator>
  <cp:lastModifiedBy>Michaela Králíková</cp:lastModifiedBy>
  <cp:revision>5</cp:revision>
  <dcterms:created xsi:type="dcterms:W3CDTF">2018-05-15T08:54:00Z</dcterms:created>
  <dcterms:modified xsi:type="dcterms:W3CDTF">2018-05-17T10:23:00Z</dcterms:modified>
</cp:coreProperties>
</file>