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5CBE">
      <w:pPr>
        <w:pStyle w:val="Nadpis2"/>
        <w:rPr>
          <w:rFonts w:ascii="Calibri" w:hAnsi="Calibri"/>
          <w:i w:val="0"/>
        </w:rPr>
      </w:pPr>
      <w:bookmarkStart w:id="0" w:name="_GoBack"/>
      <w:bookmarkEnd w:id="0"/>
      <w:r>
        <w:rPr>
          <w:rFonts w:ascii="Calibri" w:hAnsi="Calibri"/>
          <w:i w:val="0"/>
        </w:rPr>
        <w:t>Comparative of adjectives and adverbs: irregular and frequent forms</w:t>
      </w:r>
    </w:p>
    <w:p w:rsidR="00000000" w:rsidRDefault="001C5CBE"/>
    <w:tbl>
      <w:tblPr>
        <w:tblStyle w:val="Elegantntabulka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ADJECTIVES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COMPARATIVE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ADVERBS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COMPARATIV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dobrý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lepší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dobře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lépe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špatný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horší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špatně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hůře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krátký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kratší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krátce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kratčeji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dlouhý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delší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dlouho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déle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vysoký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vyšší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vysoko</w:t>
            </w:r>
            <w:r>
              <w:rPr>
                <w:b/>
              </w:rPr>
              <w:t xml:space="preserve">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výše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nízký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nižší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nízko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níže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malý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menší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málo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méně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velký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větší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hodně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více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hezký</w:t>
            </w:r>
            <w:r>
              <w:rPr>
                <w:b/>
              </w:rPr>
              <w:t xml:space="preserve">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hezčí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X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blízký</w:t>
            </w:r>
            <w:r>
              <w:rPr>
                <w:b/>
              </w:rPr>
              <w:t xml:space="preserve">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bližší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blízko</w:t>
            </w:r>
            <w:r>
              <w:rPr>
                <w:b/>
              </w:rPr>
              <w:t xml:space="preserve">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blíže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daleký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daleko</w:t>
            </w:r>
            <w:r>
              <w:rPr>
                <w:b/>
              </w:rPr>
              <w:t xml:space="preserve">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dále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brzo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dříve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těžký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těžší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těžko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tíže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lehký *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lehčí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lehko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lehčeji</w:t>
            </w:r>
          </w:p>
        </w:tc>
      </w:tr>
      <w:tr w:rsidR="00000000">
        <w:tc>
          <w:tcPr>
            <w:tcW w:w="9212" w:type="dxa"/>
            <w:gridSpan w:val="4"/>
            <w:shd w:val="nil"/>
          </w:tcPr>
          <w:p w:rsidR="00000000" w:rsidRDefault="001C5CB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Regular/frequen</w:t>
            </w:r>
            <w:r>
              <w:rPr>
                <w:b/>
              </w:rPr>
              <w:t>t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krásný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krásnější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krásně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krásněji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rychlý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rychlejší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rychle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rychleji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starý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starší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jc w:val="center"/>
            </w:pPr>
            <w:r>
              <w:t>X</w:t>
            </w:r>
          </w:p>
        </w:tc>
      </w:tr>
      <w:tr w:rsidR="00000000"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mladý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</w:pPr>
            <w:r>
              <w:t>mladší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303" w:type="dxa"/>
            <w:shd w:val="nil"/>
          </w:tcPr>
          <w:p w:rsidR="00000000" w:rsidRDefault="001C5CBE">
            <w:pPr>
              <w:pStyle w:val="ListParagraph"/>
              <w:ind w:left="0"/>
              <w:jc w:val="center"/>
            </w:pPr>
            <w:r>
              <w:t>X</w:t>
            </w:r>
          </w:p>
        </w:tc>
      </w:tr>
    </w:tbl>
    <w:p w:rsidR="00000000" w:rsidRDefault="001C5CBE">
      <w:pPr>
        <w:pStyle w:val="Nadpis2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Comparative of adjectives: regular forms</w:t>
      </w:r>
    </w:p>
    <w:p w:rsidR="00000000" w:rsidRDefault="001C5CBE">
      <w:pPr>
        <w:rPr>
          <w:caps/>
        </w:rPr>
      </w:pPr>
      <w:r>
        <w:rPr>
          <w:caps/>
        </w:rPr>
        <w:t xml:space="preserve">ý/í &gt; </w:t>
      </w:r>
      <w:r>
        <w:rPr>
          <w:b/>
          <w:caps/>
        </w:rPr>
        <w:t>ější</w:t>
      </w:r>
    </w:p>
    <w:p w:rsidR="00000000" w:rsidRDefault="001C5CBE">
      <w:pPr>
        <w:numPr>
          <w:ilvl w:val="0"/>
          <w:numId w:val="1"/>
        </w:numPr>
      </w:pPr>
      <w:r>
        <w:t>krásn</w:t>
      </w:r>
      <w:r>
        <w:rPr>
          <w:b/>
        </w:rPr>
        <w:t>ý</w:t>
      </w:r>
      <w:r>
        <w:t xml:space="preserve"> &gt; krásn</w:t>
      </w:r>
      <w:r>
        <w:rPr>
          <w:b/>
        </w:rPr>
        <w:t xml:space="preserve">ější; </w:t>
      </w:r>
      <w:r>
        <w:t>moderní &gt; modern</w:t>
      </w:r>
      <w:r>
        <w:rPr>
          <w:b/>
        </w:rPr>
        <w:t>ější</w:t>
      </w:r>
    </w:p>
    <w:p w:rsidR="00000000" w:rsidRDefault="001C5CBE">
      <w:pPr>
        <w:pStyle w:val="Nadpis2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Comparative of adverbs: regular forms</w:t>
      </w:r>
    </w:p>
    <w:p w:rsidR="00000000" w:rsidRDefault="001C5CBE">
      <w:pPr>
        <w:rPr>
          <w:caps/>
        </w:rPr>
      </w:pPr>
      <w:r>
        <w:rPr>
          <w:caps/>
        </w:rPr>
        <w:t xml:space="preserve">ě/o &gt; </w:t>
      </w:r>
      <w:r>
        <w:rPr>
          <w:b/>
          <w:caps/>
        </w:rPr>
        <w:t>ěji</w:t>
      </w:r>
    </w:p>
    <w:p w:rsidR="00000000" w:rsidRDefault="001C5CBE">
      <w:pPr>
        <w:numPr>
          <w:ilvl w:val="0"/>
          <w:numId w:val="1"/>
        </w:numPr>
      </w:pPr>
      <w:r>
        <w:t>krásn</w:t>
      </w:r>
      <w:r>
        <w:rPr>
          <w:b/>
        </w:rPr>
        <w:t>ě</w:t>
      </w:r>
      <w:r>
        <w:t xml:space="preserve"> &gt;</w:t>
      </w:r>
      <w:r>
        <w:t xml:space="preserve"> krásn</w:t>
      </w:r>
      <w:r>
        <w:rPr>
          <w:b/>
        </w:rPr>
        <w:t xml:space="preserve">ěji; </w:t>
      </w:r>
      <w:r>
        <w:t>moderně &gt; modern</w:t>
      </w:r>
      <w:r>
        <w:rPr>
          <w:b/>
        </w:rPr>
        <w:t xml:space="preserve">ěji; </w:t>
      </w:r>
      <w:r>
        <w:t>pomalu &gt; pomal</w:t>
      </w:r>
      <w:r>
        <w:rPr>
          <w:b/>
        </w:rPr>
        <w:t>eji</w:t>
      </w:r>
    </w:p>
    <w:p w:rsidR="00000000" w:rsidRDefault="001C5CBE">
      <w:pPr>
        <w:ind w:left="708"/>
      </w:pPr>
    </w:p>
    <w:p w:rsidR="00000000" w:rsidRDefault="001C5CBE">
      <w:r>
        <w:t xml:space="preserve">Comparative expresses comparison. It is always used with </w:t>
      </w:r>
      <w:r>
        <w:rPr>
          <w:b/>
        </w:rPr>
        <w:t>NEŽ</w:t>
      </w:r>
      <w:r>
        <w:t xml:space="preserve"> (for example: Brno je menší než Praha. = Brno is smaller than Prague.).</w:t>
      </w:r>
    </w:p>
    <w:p w:rsidR="00000000" w:rsidRDefault="001C5CBE">
      <w:pPr>
        <w:pStyle w:val="Nadpis2"/>
        <w:rPr>
          <w:rFonts w:ascii="Calibri" w:hAnsi="Calibri"/>
          <w:i w:val="0"/>
        </w:rPr>
      </w:pPr>
      <w:r>
        <w:rPr>
          <w:rFonts w:ascii="Calibri" w:hAnsi="Calibri"/>
          <w:i w:val="0"/>
        </w:rPr>
        <w:lastRenderedPageBreak/>
        <w:t>Superlative of adjectives and adverbs</w:t>
      </w:r>
    </w:p>
    <w:p w:rsidR="00000000" w:rsidRDefault="001C5CBE">
      <w:r>
        <w:t>simply put NEJ- to the comparative</w:t>
      </w:r>
      <w:r>
        <w:t xml:space="preserve"> form</w:t>
      </w:r>
    </w:p>
    <w:p w:rsidR="00000000" w:rsidRDefault="001C5CBE">
      <w:pPr>
        <w:numPr>
          <w:ilvl w:val="0"/>
          <w:numId w:val="2"/>
        </w:numPr>
      </w:pPr>
      <w:r>
        <w:t>lepší (better) &gt; NEJlepší (the best)</w:t>
      </w:r>
    </w:p>
    <w:p w:rsidR="00000000" w:rsidRDefault="001C5CBE">
      <w:pPr>
        <w:numPr>
          <w:ilvl w:val="0"/>
          <w:numId w:val="2"/>
        </w:numPr>
      </w:pPr>
      <w:r>
        <w:t>více (more) &gt; NEJvíce (the most)</w:t>
      </w:r>
    </w:p>
    <w:p w:rsidR="00000000" w:rsidRDefault="001C5CBE"/>
    <w:p w:rsidR="001C5CBE" w:rsidRDefault="001C5CBE">
      <w:r>
        <w:t>Superlative expresses the superiority (the best, the fastest tec.), usualy is followed by something like „na světě“ (in the world), „v Brně“ (in Brno), „ve třídě“ (in the class) o</w:t>
      </w:r>
      <w:r>
        <w:t>r „z nás“ (out of us), „ze všech“ (out of all).</w:t>
      </w:r>
    </w:p>
    <w:sectPr w:rsidR="001C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99A"/>
    <w:multiLevelType w:val="multilevel"/>
    <w:tmpl w:val="066F099A"/>
    <w:lvl w:ilvl="0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23877DF"/>
    <w:multiLevelType w:val="multilevel"/>
    <w:tmpl w:val="523877DF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03"/>
    <w:rsid w:val="00054283"/>
    <w:rsid w:val="000A3E0C"/>
    <w:rsid w:val="000E23E8"/>
    <w:rsid w:val="00136176"/>
    <w:rsid w:val="00195172"/>
    <w:rsid w:val="001C5CBE"/>
    <w:rsid w:val="001E7A42"/>
    <w:rsid w:val="00202822"/>
    <w:rsid w:val="00215DE0"/>
    <w:rsid w:val="00280165"/>
    <w:rsid w:val="002814B3"/>
    <w:rsid w:val="0028642A"/>
    <w:rsid w:val="0029025B"/>
    <w:rsid w:val="002D26E1"/>
    <w:rsid w:val="0031636A"/>
    <w:rsid w:val="00361EE3"/>
    <w:rsid w:val="0038467B"/>
    <w:rsid w:val="003C22E4"/>
    <w:rsid w:val="003D36E2"/>
    <w:rsid w:val="004635D4"/>
    <w:rsid w:val="0048161A"/>
    <w:rsid w:val="00486DDA"/>
    <w:rsid w:val="004D5BAF"/>
    <w:rsid w:val="004E38FC"/>
    <w:rsid w:val="004E3FE6"/>
    <w:rsid w:val="004E70C5"/>
    <w:rsid w:val="005C5F1D"/>
    <w:rsid w:val="005E2997"/>
    <w:rsid w:val="005F0E99"/>
    <w:rsid w:val="00602BE0"/>
    <w:rsid w:val="00612D6B"/>
    <w:rsid w:val="006331C4"/>
    <w:rsid w:val="006A4B03"/>
    <w:rsid w:val="0072486E"/>
    <w:rsid w:val="00726868"/>
    <w:rsid w:val="007528EC"/>
    <w:rsid w:val="007B54A6"/>
    <w:rsid w:val="007B630F"/>
    <w:rsid w:val="0085673A"/>
    <w:rsid w:val="008D41B6"/>
    <w:rsid w:val="00A9318B"/>
    <w:rsid w:val="00AC178F"/>
    <w:rsid w:val="00B22BB7"/>
    <w:rsid w:val="00B75B44"/>
    <w:rsid w:val="00BA67FE"/>
    <w:rsid w:val="00BD1BF7"/>
    <w:rsid w:val="00BF53AB"/>
    <w:rsid w:val="00C44EF4"/>
    <w:rsid w:val="00C653EA"/>
    <w:rsid w:val="00CC0E3D"/>
    <w:rsid w:val="00D564DD"/>
    <w:rsid w:val="00D627A4"/>
    <w:rsid w:val="00DC6BFD"/>
    <w:rsid w:val="00E57B83"/>
    <w:rsid w:val="00E6730E"/>
    <w:rsid w:val="00E80E50"/>
    <w:rsid w:val="00F13321"/>
    <w:rsid w:val="00F50510"/>
    <w:rsid w:val="00FA46EB"/>
    <w:rsid w:val="192F1E7B"/>
    <w:rsid w:val="35CE082E"/>
    <w:rsid w:val="3CFD0BE3"/>
    <w:rsid w:val="4FB34A3C"/>
    <w:rsid w:val="6B087101"/>
    <w:rsid w:val="72FA5B35"/>
    <w:rsid w:val="799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8E4B1-0852-4FDD-B776-294B16B9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  <w:sz w:val="22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spacing w:after="160" w:line="259" w:lineRule="auto"/>
      <w:ind w:left="720"/>
      <w:contextualSpacing/>
    </w:pPr>
    <w:rPr>
      <w:szCs w:val="22"/>
      <w:lang w:eastAsia="en-US"/>
    </w:rPr>
  </w:style>
  <w:style w:type="table" w:styleId="Elegantntabulka">
    <w:name w:val="Table Elegant"/>
    <w:basedOn w:val="Normlntabulk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1136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CJV MU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ADJECTIVES</dc:title>
  <dc:subject/>
  <dc:creator>uživatel</dc:creator>
  <cp:keywords/>
  <dc:description/>
  <cp:lastModifiedBy>Martin Punčochář</cp:lastModifiedBy>
  <cp:revision>2</cp:revision>
  <dcterms:created xsi:type="dcterms:W3CDTF">2017-12-04T15:28:00Z</dcterms:created>
  <dcterms:modified xsi:type="dcterms:W3CDTF">2017-12-04T15:28:00Z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