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B0" w:rsidRPr="00ED0A54" w:rsidRDefault="009A17C9" w:rsidP="00F062B0">
      <w:pPr>
        <w:jc w:val="center"/>
        <w:rPr>
          <w:b/>
          <w:lang w:val="en-US"/>
        </w:rPr>
      </w:pPr>
      <w:r w:rsidRPr="00ED0A54">
        <w:rPr>
          <w:b/>
          <w:lang w:val="en-US"/>
        </w:rPr>
        <w:t>Learning unit: Pharmaco</w:t>
      </w:r>
      <w:r w:rsidR="001B3E24" w:rsidRPr="00ED0A54">
        <w:rPr>
          <w:b/>
          <w:lang w:val="en-US"/>
        </w:rPr>
        <w:t>vigilance</w:t>
      </w:r>
    </w:p>
    <w:p w:rsidR="00F062B0" w:rsidRPr="00ED0A54" w:rsidRDefault="00F062B0" w:rsidP="00F062B0">
      <w:pPr>
        <w:rPr>
          <w:lang w:val="en-US"/>
        </w:rPr>
      </w:pPr>
    </w:p>
    <w:p w:rsidR="009A17C9" w:rsidRPr="00ED0A54" w:rsidRDefault="009A17C9" w:rsidP="009A17C9">
      <w:pPr>
        <w:rPr>
          <w:b/>
          <w:lang w:val="en-US"/>
        </w:rPr>
      </w:pPr>
      <w:r w:rsidRPr="00ED0A54">
        <w:rPr>
          <w:b/>
          <w:lang w:val="en-US"/>
        </w:rPr>
        <w:t>Impact of the learning unit:</w:t>
      </w:r>
    </w:p>
    <w:p w:rsidR="009A17C9" w:rsidRPr="00ED0A54" w:rsidRDefault="009A17C9" w:rsidP="004A708B">
      <w:pPr>
        <w:rPr>
          <w:lang w:val="en-US"/>
        </w:rPr>
      </w:pPr>
      <w:r w:rsidRPr="00ED0A54">
        <w:rPr>
          <w:lang w:val="en-US"/>
        </w:rPr>
        <w:t xml:space="preserve">The pharmacotherapy is associated with a risk of adverse effects. The aim of the learning unit is to familiarize the student with the generally valid and legally binding procedures of pharmacovigilance, </w:t>
      </w:r>
      <w:r w:rsidR="00ED0A54" w:rsidRPr="00ED0A54">
        <w:rPr>
          <w:lang w:val="en-US"/>
        </w:rPr>
        <w:t>i.e.</w:t>
      </w:r>
      <w:r w:rsidRPr="00ED0A54">
        <w:rPr>
          <w:lang w:val="en-US"/>
        </w:rPr>
        <w:t xml:space="preserve"> monitoring and reporting of adverse drug reactions.</w:t>
      </w:r>
    </w:p>
    <w:p w:rsidR="00E51FDB" w:rsidRPr="00ED0A54" w:rsidRDefault="00E51FDB" w:rsidP="00F062B0">
      <w:pPr>
        <w:rPr>
          <w:b/>
          <w:lang w:val="en-US"/>
        </w:rPr>
      </w:pPr>
    </w:p>
    <w:p w:rsidR="009A17C9" w:rsidRPr="00ED0A54" w:rsidRDefault="009A17C9" w:rsidP="009A17C9">
      <w:pPr>
        <w:rPr>
          <w:b/>
          <w:lang w:val="en-US"/>
        </w:rPr>
      </w:pPr>
      <w:r w:rsidRPr="00ED0A54">
        <w:rPr>
          <w:b/>
          <w:lang w:val="en-US"/>
        </w:rPr>
        <w:t>Relevant terms</w:t>
      </w:r>
    </w:p>
    <w:p w:rsidR="005F1753" w:rsidRPr="00ED0A54" w:rsidRDefault="00ED0A54" w:rsidP="00FD72AB">
      <w:pPr>
        <w:spacing w:after="0"/>
        <w:rPr>
          <w:lang w:val="en-US"/>
        </w:rPr>
      </w:pPr>
      <w:proofErr w:type="spellStart"/>
      <w:proofErr w:type="gramStart"/>
      <w:r>
        <w:rPr>
          <w:lang w:val="en-US"/>
        </w:rPr>
        <w:t>p</w:t>
      </w:r>
      <w:r w:rsidR="009A17C9" w:rsidRPr="00ED0A54">
        <w:rPr>
          <w:lang w:val="en-US"/>
        </w:rPr>
        <w:t>hamac</w:t>
      </w:r>
      <w:r w:rsidR="005F1753" w:rsidRPr="00ED0A54">
        <w:rPr>
          <w:lang w:val="en-US"/>
        </w:rPr>
        <w:t>ovigilance</w:t>
      </w:r>
      <w:proofErr w:type="spellEnd"/>
      <w:proofErr w:type="gramEnd"/>
    </w:p>
    <w:p w:rsidR="005F1753" w:rsidRPr="00ED0A54" w:rsidRDefault="00ED0A54" w:rsidP="00FD72AB">
      <w:pPr>
        <w:spacing w:after="0"/>
        <w:rPr>
          <w:lang w:val="en-US"/>
        </w:rPr>
      </w:pPr>
      <w:proofErr w:type="gramStart"/>
      <w:r>
        <w:rPr>
          <w:lang w:val="en-US"/>
        </w:rPr>
        <w:t>a</w:t>
      </w:r>
      <w:r w:rsidR="009A17C9" w:rsidRPr="00ED0A54">
        <w:rPr>
          <w:lang w:val="en-US"/>
        </w:rPr>
        <w:t>dverse</w:t>
      </w:r>
      <w:proofErr w:type="gramEnd"/>
      <w:r w:rsidR="009A17C9" w:rsidRPr="00ED0A54">
        <w:rPr>
          <w:lang w:val="en-US"/>
        </w:rPr>
        <w:t xml:space="preserve"> reaction</w:t>
      </w:r>
    </w:p>
    <w:p w:rsidR="009A17C9" w:rsidRPr="00ED0A54" w:rsidRDefault="00ED0A54" w:rsidP="00FD72AB">
      <w:pPr>
        <w:spacing w:after="0"/>
        <w:rPr>
          <w:lang w:val="en-US"/>
        </w:rPr>
      </w:pPr>
      <w:proofErr w:type="gramStart"/>
      <w:r>
        <w:rPr>
          <w:lang w:val="en-US"/>
        </w:rPr>
        <w:t>a</w:t>
      </w:r>
      <w:r w:rsidR="009A17C9" w:rsidRPr="00ED0A54">
        <w:rPr>
          <w:lang w:val="en-US"/>
        </w:rPr>
        <w:t>dverse</w:t>
      </w:r>
      <w:proofErr w:type="gramEnd"/>
      <w:r w:rsidR="009A17C9" w:rsidRPr="00ED0A54">
        <w:rPr>
          <w:lang w:val="en-US"/>
        </w:rPr>
        <w:t xml:space="preserve"> effect</w:t>
      </w:r>
    </w:p>
    <w:p w:rsidR="009A17C9" w:rsidRPr="00ED0A54" w:rsidRDefault="00ED0A54" w:rsidP="009A17C9">
      <w:pPr>
        <w:spacing w:after="0"/>
        <w:rPr>
          <w:lang w:val="en-US"/>
        </w:rPr>
      </w:pPr>
      <w:proofErr w:type="gramStart"/>
      <w:r>
        <w:rPr>
          <w:lang w:val="en-US"/>
        </w:rPr>
        <w:t>s</w:t>
      </w:r>
      <w:r w:rsidR="009A17C9" w:rsidRPr="00ED0A54">
        <w:rPr>
          <w:lang w:val="en-US"/>
        </w:rPr>
        <w:t>erious</w:t>
      </w:r>
      <w:proofErr w:type="gramEnd"/>
      <w:r w:rsidR="009A17C9" w:rsidRPr="00ED0A54">
        <w:rPr>
          <w:lang w:val="en-US"/>
        </w:rPr>
        <w:t xml:space="preserve"> adverse effect</w:t>
      </w:r>
    </w:p>
    <w:p w:rsidR="005F1753" w:rsidRPr="00ED0A54" w:rsidRDefault="00ED0A54" w:rsidP="00FD72AB">
      <w:pPr>
        <w:spacing w:after="0"/>
        <w:rPr>
          <w:lang w:val="en-US"/>
        </w:rPr>
      </w:pPr>
      <w:proofErr w:type="gramStart"/>
      <w:r>
        <w:rPr>
          <w:lang w:val="en-US"/>
        </w:rPr>
        <w:t>u</w:t>
      </w:r>
      <w:r w:rsidR="009A17C9" w:rsidRPr="00ED0A54">
        <w:rPr>
          <w:lang w:val="en-US"/>
        </w:rPr>
        <w:t>nexpected</w:t>
      </w:r>
      <w:proofErr w:type="gramEnd"/>
      <w:r w:rsidR="009A17C9" w:rsidRPr="00ED0A54">
        <w:rPr>
          <w:lang w:val="en-US"/>
        </w:rPr>
        <w:t xml:space="preserve"> adverse effect</w:t>
      </w:r>
    </w:p>
    <w:p w:rsidR="00424CCC" w:rsidRPr="00ED0A54" w:rsidRDefault="00ED0A54" w:rsidP="00FD72AB">
      <w:pPr>
        <w:spacing w:after="0"/>
        <w:rPr>
          <w:lang w:val="en-US"/>
        </w:rPr>
      </w:pPr>
      <w:proofErr w:type="gramStart"/>
      <w:r>
        <w:rPr>
          <w:lang w:val="en-US"/>
        </w:rPr>
        <w:t>s</w:t>
      </w:r>
      <w:r w:rsidR="00424CCC" w:rsidRPr="00ED0A54">
        <w:rPr>
          <w:lang w:val="en-US"/>
        </w:rPr>
        <w:t>uspicion</w:t>
      </w:r>
      <w:proofErr w:type="gramEnd"/>
      <w:r w:rsidR="00424CCC" w:rsidRPr="00ED0A54">
        <w:rPr>
          <w:lang w:val="en-US"/>
        </w:rPr>
        <w:t xml:space="preserve"> of severe and unexpected adverse effect</w:t>
      </w:r>
    </w:p>
    <w:p w:rsidR="005F1753" w:rsidRPr="00ED0A54" w:rsidRDefault="005F1753" w:rsidP="00FD72AB">
      <w:pPr>
        <w:spacing w:after="0"/>
        <w:rPr>
          <w:lang w:val="en-US"/>
        </w:rPr>
      </w:pPr>
      <w:proofErr w:type="spellStart"/>
      <w:r w:rsidRPr="00ED0A54">
        <w:rPr>
          <w:lang w:val="en-US"/>
        </w:rPr>
        <w:t>EudraVigilance</w:t>
      </w:r>
      <w:proofErr w:type="spellEnd"/>
    </w:p>
    <w:p w:rsidR="005F1753" w:rsidRPr="00ED0A54" w:rsidRDefault="00ED0A54" w:rsidP="00FD72AB">
      <w:pPr>
        <w:spacing w:after="0"/>
        <w:rPr>
          <w:lang w:val="en-US"/>
        </w:rPr>
      </w:pPr>
      <w:proofErr w:type="gramStart"/>
      <w:r>
        <w:rPr>
          <w:lang w:val="en-US"/>
        </w:rPr>
        <w:t>r</w:t>
      </w:r>
      <w:r w:rsidR="00424CCC" w:rsidRPr="00ED0A54">
        <w:rPr>
          <w:lang w:val="en-US"/>
        </w:rPr>
        <w:t>egulatory</w:t>
      </w:r>
      <w:proofErr w:type="gramEnd"/>
      <w:r w:rsidR="00424CCC" w:rsidRPr="00ED0A54">
        <w:rPr>
          <w:lang w:val="en-US"/>
        </w:rPr>
        <w:t xml:space="preserve"> authority</w:t>
      </w:r>
    </w:p>
    <w:p w:rsidR="005F1753" w:rsidRPr="00ED0A54" w:rsidRDefault="00ED0A54" w:rsidP="00FD72AB">
      <w:pPr>
        <w:spacing w:after="0"/>
        <w:rPr>
          <w:lang w:val="en-US"/>
        </w:rPr>
      </w:pPr>
      <w:proofErr w:type="gramStart"/>
      <w:r>
        <w:rPr>
          <w:lang w:val="en-US"/>
        </w:rPr>
        <w:t>c</w:t>
      </w:r>
      <w:r w:rsidR="00424CCC" w:rsidRPr="00ED0A54">
        <w:rPr>
          <w:lang w:val="en-US"/>
        </w:rPr>
        <w:t>linical</w:t>
      </w:r>
      <w:proofErr w:type="gramEnd"/>
      <w:r w:rsidR="00424CCC" w:rsidRPr="00ED0A54">
        <w:rPr>
          <w:lang w:val="en-US"/>
        </w:rPr>
        <w:t xml:space="preserve"> trial phase</w:t>
      </w:r>
      <w:r w:rsidR="005F1753" w:rsidRPr="00ED0A54">
        <w:rPr>
          <w:lang w:val="en-US"/>
        </w:rPr>
        <w:t xml:space="preserve"> IV</w:t>
      </w:r>
    </w:p>
    <w:p w:rsidR="00E51FDB" w:rsidRPr="00ED0A54" w:rsidRDefault="00E51FDB" w:rsidP="00E51FDB">
      <w:pPr>
        <w:rPr>
          <w:lang w:val="en-US"/>
        </w:rPr>
      </w:pPr>
    </w:p>
    <w:p w:rsidR="00424CCC" w:rsidRPr="00ED0A54" w:rsidRDefault="00424CCC" w:rsidP="00424CCC">
      <w:pPr>
        <w:rPr>
          <w:b/>
          <w:lang w:val="en-US"/>
        </w:rPr>
      </w:pPr>
      <w:r w:rsidRPr="00ED0A54">
        <w:rPr>
          <w:b/>
          <w:lang w:val="en-US"/>
        </w:rPr>
        <w:t>Learning outcomes</w:t>
      </w:r>
    </w:p>
    <w:p w:rsidR="003236C1" w:rsidRPr="00ED0A54" w:rsidRDefault="003236C1" w:rsidP="003236C1">
      <w:pPr>
        <w:spacing w:after="0"/>
        <w:rPr>
          <w:rFonts w:ascii="Calibri" w:hAnsi="Calibri" w:cs="DejaVuSerifCondensed"/>
          <w:lang w:val="en-US"/>
        </w:rPr>
      </w:pPr>
      <w:r w:rsidRPr="00ED0A54">
        <w:rPr>
          <w:rFonts w:ascii="Calibri" w:hAnsi="Calibri" w:cs="DejaVuSerifCondensed"/>
          <w:lang w:val="en-US"/>
        </w:rPr>
        <w:t>The student distinguishes between serious and non-serious, between expected and unexpected adverse effect of drugs.</w:t>
      </w:r>
    </w:p>
    <w:p w:rsidR="005F1753" w:rsidRPr="00ED0A54" w:rsidRDefault="003236C1" w:rsidP="003236C1">
      <w:pPr>
        <w:spacing w:after="0"/>
        <w:rPr>
          <w:rFonts w:ascii="Calibri" w:hAnsi="Calibri" w:cs="DejaVuSerifCondensed"/>
          <w:lang w:val="en-US"/>
        </w:rPr>
      </w:pPr>
      <w:r w:rsidRPr="00ED0A54">
        <w:rPr>
          <w:rFonts w:ascii="Calibri" w:hAnsi="Calibri" w:cs="DejaVuSerifCondensed"/>
          <w:lang w:val="en-US"/>
        </w:rPr>
        <w:t>The student is able to describe the characteristics of a phase IV clinical trial of medicinal products. The student enumerates subjects involved in the system of collecting and evaluating information about the adverse effects of drugs and can describe the role of the physician and his responsibilities in this system.</w:t>
      </w:r>
    </w:p>
    <w:p w:rsidR="005F1753" w:rsidRPr="00ED0A54" w:rsidRDefault="005F1753" w:rsidP="00F062B0">
      <w:pPr>
        <w:rPr>
          <w:b/>
          <w:lang w:val="en-US"/>
        </w:rPr>
      </w:pPr>
    </w:p>
    <w:p w:rsidR="003236C1" w:rsidRPr="00ED0A54" w:rsidRDefault="003236C1" w:rsidP="003236C1">
      <w:pPr>
        <w:rPr>
          <w:b/>
          <w:lang w:val="en-US"/>
        </w:rPr>
      </w:pPr>
      <w:r w:rsidRPr="00ED0A54">
        <w:rPr>
          <w:b/>
          <w:lang w:val="en-US"/>
        </w:rPr>
        <w:t>Study literature</w:t>
      </w:r>
    </w:p>
    <w:p w:rsidR="004B020C" w:rsidRPr="00ED0A54" w:rsidRDefault="00F13797" w:rsidP="00F57692">
      <w:pPr>
        <w:rPr>
          <w:color w:val="000000" w:themeColor="text1"/>
          <w:lang w:val="en-US"/>
        </w:rPr>
      </w:pPr>
      <w:hyperlink r:id="rId6" w:history="1">
        <w:r w:rsidR="004B020C" w:rsidRPr="00ED0A54">
          <w:rPr>
            <w:rStyle w:val="Hypertextovodkaz"/>
            <w:lang w:val="en-US"/>
          </w:rPr>
          <w:t>http://www.ema.europa.eu/ema/index.jsp?curl=pages/regulation/general/general_content_000679.jsp&amp;mid=WC0b01ac05800250b5</w:t>
        </w:r>
      </w:hyperlink>
      <w:r w:rsidR="004B020C" w:rsidRPr="00ED0A54">
        <w:rPr>
          <w:color w:val="000000" w:themeColor="text1"/>
          <w:lang w:val="en-US"/>
        </w:rPr>
        <w:t xml:space="preserve"> </w:t>
      </w:r>
    </w:p>
    <w:p w:rsidR="006178E0" w:rsidRPr="00ED0A54" w:rsidRDefault="00F13797" w:rsidP="00F57692">
      <w:pPr>
        <w:rPr>
          <w:color w:val="000000" w:themeColor="text1"/>
          <w:lang w:val="en-US"/>
        </w:rPr>
      </w:pPr>
      <w:hyperlink r:id="rId7" w:history="1">
        <w:r w:rsidR="006178E0" w:rsidRPr="00ED0A54">
          <w:rPr>
            <w:rStyle w:val="Hypertextovodkaz"/>
            <w:lang w:val="en-US"/>
          </w:rPr>
          <w:t>http</w:t>
        </w:r>
      </w:hyperlink>
      <w:hyperlink r:id="rId8" w:history="1">
        <w:proofErr w:type="gramStart"/>
        <w:r w:rsidR="006178E0" w:rsidRPr="00ED0A54">
          <w:rPr>
            <w:rStyle w:val="Hypertextovodkaz"/>
            <w:lang w:val="en-US"/>
          </w:rPr>
          <w:t>:/</w:t>
        </w:r>
        <w:proofErr w:type="gramEnd"/>
        <w:r w:rsidR="006178E0" w:rsidRPr="00ED0A54">
          <w:rPr>
            <w:rStyle w:val="Hypertextovodkaz"/>
            <w:lang w:val="en-US"/>
          </w:rPr>
          <w:t>/</w:t>
        </w:r>
      </w:hyperlink>
      <w:hyperlink r:id="rId9" w:history="1">
        <w:r w:rsidR="006178E0" w:rsidRPr="00ED0A54">
          <w:rPr>
            <w:rStyle w:val="Hypertextovodkaz"/>
            <w:lang w:val="en-US"/>
          </w:rPr>
          <w:t>www.sukl.eu/medicines/pharmacovigilance</w:t>
        </w:r>
      </w:hyperlink>
    </w:p>
    <w:p w:rsidR="00C75FC3" w:rsidRPr="00ED0A54" w:rsidRDefault="006178E0" w:rsidP="006178E0">
      <w:pPr>
        <w:rPr>
          <w:color w:val="000000" w:themeColor="text1"/>
          <w:lang w:val="en-US"/>
        </w:rPr>
      </w:pPr>
      <w:r w:rsidRPr="00ED0A54">
        <w:rPr>
          <w:color w:val="000000" w:themeColor="text1"/>
          <w:lang w:val="en-US"/>
        </w:rPr>
        <w:t xml:space="preserve">CIOMS form </w:t>
      </w:r>
      <w:hyperlink r:id="rId10" w:history="1">
        <w:r w:rsidRPr="00ED0A54">
          <w:rPr>
            <w:rStyle w:val="Hypertextovodkaz"/>
            <w:lang w:val="en-US"/>
          </w:rPr>
          <w:t>https://</w:t>
        </w:r>
      </w:hyperlink>
      <w:hyperlink r:id="rId11" w:history="1">
        <w:r w:rsidRPr="00ED0A54">
          <w:rPr>
            <w:rStyle w:val="Hypertextovodkaz"/>
            <w:lang w:val="en-US"/>
          </w:rPr>
          <w:t>cioms.ch/wp-content/uploads/2018/09/CIOMS-to-E2B-1.pdf</w:t>
        </w:r>
      </w:hyperlink>
      <w:r w:rsidRPr="00ED0A54">
        <w:rPr>
          <w:color w:val="000000" w:themeColor="text1"/>
          <w:lang w:val="en-US"/>
        </w:rPr>
        <w:t xml:space="preserve"> </w:t>
      </w:r>
    </w:p>
    <w:p w:rsidR="00C75FC3" w:rsidRDefault="006178E0" w:rsidP="006178E0">
      <w:pPr>
        <w:rPr>
          <w:color w:val="000000" w:themeColor="text1"/>
          <w:lang w:val="en-US"/>
        </w:rPr>
      </w:pPr>
      <w:r w:rsidRPr="00ED0A54">
        <w:rPr>
          <w:color w:val="000000" w:themeColor="text1"/>
          <w:lang w:val="en-US"/>
        </w:rPr>
        <w:t xml:space="preserve">FDA form </w:t>
      </w:r>
      <w:hyperlink r:id="rId12" w:history="1">
        <w:r w:rsidRPr="00ED0A54">
          <w:rPr>
            <w:rStyle w:val="Hypertextovodkaz"/>
            <w:lang w:val="en-US"/>
          </w:rPr>
          <w:t>https</w:t>
        </w:r>
      </w:hyperlink>
      <w:hyperlink r:id="rId13" w:history="1">
        <w:proofErr w:type="gramStart"/>
        <w:r w:rsidRPr="00ED0A54">
          <w:rPr>
            <w:rStyle w:val="Hypertextovodkaz"/>
            <w:lang w:val="en-US"/>
          </w:rPr>
          <w:t>:/</w:t>
        </w:r>
        <w:proofErr w:type="gramEnd"/>
        <w:r w:rsidRPr="00ED0A54">
          <w:rPr>
            <w:rStyle w:val="Hypertextovodkaz"/>
            <w:lang w:val="en-US"/>
          </w:rPr>
          <w:t>/</w:t>
        </w:r>
      </w:hyperlink>
      <w:hyperlink r:id="rId14" w:history="1">
        <w:r w:rsidRPr="00ED0A54">
          <w:rPr>
            <w:rStyle w:val="Hypertextovodkaz"/>
            <w:lang w:val="en-US"/>
          </w:rPr>
          <w:t>www.accessdata.fda.gov/scripts/MedWatchLearn/adverse_effects/default.htm</w:t>
        </w:r>
      </w:hyperlink>
      <w:r w:rsidRPr="00ED0A54">
        <w:rPr>
          <w:color w:val="000000" w:themeColor="text1"/>
          <w:lang w:val="en-US"/>
        </w:rPr>
        <w:t xml:space="preserve"> </w:t>
      </w:r>
    </w:p>
    <w:p w:rsidR="00F13797" w:rsidRDefault="00F13797" w:rsidP="006178E0">
      <w:pPr>
        <w:rPr>
          <w:color w:val="000000" w:themeColor="text1"/>
          <w:lang w:val="en-US"/>
        </w:rPr>
      </w:pPr>
    </w:p>
    <w:p w:rsidR="00F13797" w:rsidRPr="00291202" w:rsidRDefault="00F13797" w:rsidP="00F13797">
      <w:pPr>
        <w:rPr>
          <w:b/>
          <w:lang w:val="en-GB"/>
        </w:rPr>
      </w:pPr>
      <w:r w:rsidRPr="00291202">
        <w:rPr>
          <w:b/>
          <w:lang w:val="en-GB"/>
        </w:rPr>
        <w:t>Exam questions</w:t>
      </w:r>
    </w:p>
    <w:p w:rsidR="00F13797" w:rsidRPr="00291202" w:rsidRDefault="00F13797" w:rsidP="00F13797">
      <w:pPr>
        <w:rPr>
          <w:lang w:val="en-GB"/>
        </w:rPr>
      </w:pPr>
      <w:r w:rsidRPr="002B1BCB">
        <w:rPr>
          <w:i/>
          <w:lang w:val="en-GB"/>
        </w:rPr>
        <w:lastRenderedPageBreak/>
        <w:t>General pharmacology</w:t>
      </w:r>
      <w:r w:rsidRPr="00291202">
        <w:rPr>
          <w:lang w:val="en-GB"/>
        </w:rPr>
        <w:t xml:space="preserve">: </w:t>
      </w:r>
      <w:r w:rsidRPr="00F13797">
        <w:rPr>
          <w:lang w:val="en-GB"/>
        </w:rPr>
        <w:t>23. Pharmacovigilance, drug safety</w:t>
      </w:r>
      <w:bookmarkStart w:id="0" w:name="_GoBack"/>
      <w:bookmarkEnd w:id="0"/>
      <w:r w:rsidRPr="00F13797">
        <w:rPr>
          <w:lang w:val="en-GB"/>
        </w:rPr>
        <w:t>, advertisement and marketing on the field of therapeutics, ethical issues</w:t>
      </w:r>
    </w:p>
    <w:sectPr w:rsidR="00F13797" w:rsidRPr="00291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DejaVuSerifCondense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504"/>
    <w:multiLevelType w:val="hybridMultilevel"/>
    <w:tmpl w:val="932A5CB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68C0585C"/>
    <w:multiLevelType w:val="hybridMultilevel"/>
    <w:tmpl w:val="0EB20142"/>
    <w:lvl w:ilvl="0" w:tplc="8BF4B7C2">
      <w:start w:val="1"/>
      <w:numFmt w:val="bullet"/>
      <w:lvlText w:val="•"/>
      <w:lvlJc w:val="left"/>
      <w:pPr>
        <w:tabs>
          <w:tab w:val="num" w:pos="720"/>
        </w:tabs>
        <w:ind w:left="720" w:hanging="360"/>
      </w:pPr>
      <w:rPr>
        <w:rFonts w:ascii="Arial" w:hAnsi="Arial" w:hint="default"/>
      </w:rPr>
    </w:lvl>
    <w:lvl w:ilvl="1" w:tplc="285811C2">
      <w:start w:val="55"/>
      <w:numFmt w:val="bullet"/>
      <w:lvlText w:val="•"/>
      <w:lvlJc w:val="left"/>
      <w:pPr>
        <w:tabs>
          <w:tab w:val="num" w:pos="1440"/>
        </w:tabs>
        <w:ind w:left="1440" w:hanging="360"/>
      </w:pPr>
      <w:rPr>
        <w:rFonts w:ascii="Arial" w:hAnsi="Arial" w:hint="default"/>
      </w:rPr>
    </w:lvl>
    <w:lvl w:ilvl="2" w:tplc="A9280B3E" w:tentative="1">
      <w:start w:val="1"/>
      <w:numFmt w:val="bullet"/>
      <w:lvlText w:val="•"/>
      <w:lvlJc w:val="left"/>
      <w:pPr>
        <w:tabs>
          <w:tab w:val="num" w:pos="2160"/>
        </w:tabs>
        <w:ind w:left="2160" w:hanging="360"/>
      </w:pPr>
      <w:rPr>
        <w:rFonts w:ascii="Arial" w:hAnsi="Arial" w:hint="default"/>
      </w:rPr>
    </w:lvl>
    <w:lvl w:ilvl="3" w:tplc="A8BE21AE" w:tentative="1">
      <w:start w:val="1"/>
      <w:numFmt w:val="bullet"/>
      <w:lvlText w:val="•"/>
      <w:lvlJc w:val="left"/>
      <w:pPr>
        <w:tabs>
          <w:tab w:val="num" w:pos="2880"/>
        </w:tabs>
        <w:ind w:left="2880" w:hanging="360"/>
      </w:pPr>
      <w:rPr>
        <w:rFonts w:ascii="Arial" w:hAnsi="Arial" w:hint="default"/>
      </w:rPr>
    </w:lvl>
    <w:lvl w:ilvl="4" w:tplc="70B2C742" w:tentative="1">
      <w:start w:val="1"/>
      <w:numFmt w:val="bullet"/>
      <w:lvlText w:val="•"/>
      <w:lvlJc w:val="left"/>
      <w:pPr>
        <w:tabs>
          <w:tab w:val="num" w:pos="3600"/>
        </w:tabs>
        <w:ind w:left="3600" w:hanging="360"/>
      </w:pPr>
      <w:rPr>
        <w:rFonts w:ascii="Arial" w:hAnsi="Arial" w:hint="default"/>
      </w:rPr>
    </w:lvl>
    <w:lvl w:ilvl="5" w:tplc="AAB08E74" w:tentative="1">
      <w:start w:val="1"/>
      <w:numFmt w:val="bullet"/>
      <w:lvlText w:val="•"/>
      <w:lvlJc w:val="left"/>
      <w:pPr>
        <w:tabs>
          <w:tab w:val="num" w:pos="4320"/>
        </w:tabs>
        <w:ind w:left="4320" w:hanging="360"/>
      </w:pPr>
      <w:rPr>
        <w:rFonts w:ascii="Arial" w:hAnsi="Arial" w:hint="default"/>
      </w:rPr>
    </w:lvl>
    <w:lvl w:ilvl="6" w:tplc="A2E22C14" w:tentative="1">
      <w:start w:val="1"/>
      <w:numFmt w:val="bullet"/>
      <w:lvlText w:val="•"/>
      <w:lvlJc w:val="left"/>
      <w:pPr>
        <w:tabs>
          <w:tab w:val="num" w:pos="5040"/>
        </w:tabs>
        <w:ind w:left="5040" w:hanging="360"/>
      </w:pPr>
      <w:rPr>
        <w:rFonts w:ascii="Arial" w:hAnsi="Arial" w:hint="default"/>
      </w:rPr>
    </w:lvl>
    <w:lvl w:ilvl="7" w:tplc="603A049A" w:tentative="1">
      <w:start w:val="1"/>
      <w:numFmt w:val="bullet"/>
      <w:lvlText w:val="•"/>
      <w:lvlJc w:val="left"/>
      <w:pPr>
        <w:tabs>
          <w:tab w:val="num" w:pos="5760"/>
        </w:tabs>
        <w:ind w:left="5760" w:hanging="360"/>
      </w:pPr>
      <w:rPr>
        <w:rFonts w:ascii="Arial" w:hAnsi="Arial" w:hint="default"/>
      </w:rPr>
    </w:lvl>
    <w:lvl w:ilvl="8" w:tplc="07C6863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A0MDY3NjGzNDG0NDNS0lEKTi0uzszPAykwqQUAGZqTbCwAAAA="/>
  </w:docVars>
  <w:rsids>
    <w:rsidRoot w:val="00F062B0"/>
    <w:rsid w:val="00127FE0"/>
    <w:rsid w:val="00166E86"/>
    <w:rsid w:val="001B3E24"/>
    <w:rsid w:val="001E6EB5"/>
    <w:rsid w:val="003236C1"/>
    <w:rsid w:val="00356030"/>
    <w:rsid w:val="00424CCC"/>
    <w:rsid w:val="004A708B"/>
    <w:rsid w:val="004B020C"/>
    <w:rsid w:val="005816AF"/>
    <w:rsid w:val="00595F76"/>
    <w:rsid w:val="005C4750"/>
    <w:rsid w:val="005F1753"/>
    <w:rsid w:val="006178E0"/>
    <w:rsid w:val="007D1A11"/>
    <w:rsid w:val="009A17C9"/>
    <w:rsid w:val="00C10EBA"/>
    <w:rsid w:val="00C13072"/>
    <w:rsid w:val="00C75FC3"/>
    <w:rsid w:val="00D14F91"/>
    <w:rsid w:val="00E51FDB"/>
    <w:rsid w:val="00ED0A54"/>
    <w:rsid w:val="00F062B0"/>
    <w:rsid w:val="00F13797"/>
    <w:rsid w:val="00F53F50"/>
    <w:rsid w:val="00F57692"/>
    <w:rsid w:val="00FC56E5"/>
    <w:rsid w:val="00FD72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2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27FE0"/>
    <w:rPr>
      <w:sz w:val="16"/>
      <w:szCs w:val="16"/>
    </w:rPr>
  </w:style>
  <w:style w:type="paragraph" w:styleId="Textkomente">
    <w:name w:val="annotation text"/>
    <w:basedOn w:val="Normln"/>
    <w:link w:val="TextkomenteChar"/>
    <w:uiPriority w:val="99"/>
    <w:semiHidden/>
    <w:unhideWhenUsed/>
    <w:rsid w:val="00127FE0"/>
    <w:pPr>
      <w:spacing w:line="240" w:lineRule="auto"/>
    </w:pPr>
    <w:rPr>
      <w:sz w:val="20"/>
      <w:szCs w:val="20"/>
    </w:rPr>
  </w:style>
  <w:style w:type="character" w:customStyle="1" w:styleId="TextkomenteChar">
    <w:name w:val="Text komentáře Char"/>
    <w:basedOn w:val="Standardnpsmoodstavce"/>
    <w:link w:val="Textkomente"/>
    <w:uiPriority w:val="99"/>
    <w:semiHidden/>
    <w:rsid w:val="00127FE0"/>
    <w:rPr>
      <w:sz w:val="20"/>
      <w:szCs w:val="20"/>
    </w:rPr>
  </w:style>
  <w:style w:type="paragraph" w:styleId="Pedmtkomente">
    <w:name w:val="annotation subject"/>
    <w:basedOn w:val="Textkomente"/>
    <w:next w:val="Textkomente"/>
    <w:link w:val="PedmtkomenteChar"/>
    <w:uiPriority w:val="99"/>
    <w:semiHidden/>
    <w:unhideWhenUsed/>
    <w:rsid w:val="00127FE0"/>
    <w:rPr>
      <w:b/>
      <w:bCs/>
    </w:rPr>
  </w:style>
  <w:style w:type="character" w:customStyle="1" w:styleId="PedmtkomenteChar">
    <w:name w:val="Předmět komentáře Char"/>
    <w:basedOn w:val="TextkomenteChar"/>
    <w:link w:val="Pedmtkomente"/>
    <w:uiPriority w:val="99"/>
    <w:semiHidden/>
    <w:rsid w:val="00127FE0"/>
    <w:rPr>
      <w:b/>
      <w:bCs/>
      <w:sz w:val="20"/>
      <w:szCs w:val="20"/>
    </w:rPr>
  </w:style>
  <w:style w:type="paragraph" w:styleId="Textbubliny">
    <w:name w:val="Balloon Text"/>
    <w:basedOn w:val="Normln"/>
    <w:link w:val="TextbublinyChar"/>
    <w:uiPriority w:val="99"/>
    <w:semiHidden/>
    <w:unhideWhenUsed/>
    <w:rsid w:val="00127F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7FE0"/>
    <w:rPr>
      <w:rFonts w:ascii="Tahoma" w:hAnsi="Tahoma" w:cs="Tahoma"/>
      <w:sz w:val="16"/>
      <w:szCs w:val="16"/>
    </w:rPr>
  </w:style>
  <w:style w:type="paragraph" w:styleId="Odstavecseseznamem">
    <w:name w:val="List Paragraph"/>
    <w:basedOn w:val="Normln"/>
    <w:uiPriority w:val="34"/>
    <w:qFormat/>
    <w:rsid w:val="007D1A11"/>
    <w:pPr>
      <w:ind w:left="720"/>
      <w:contextualSpacing/>
    </w:pPr>
  </w:style>
  <w:style w:type="character" w:styleId="Zvraznn">
    <w:name w:val="Emphasis"/>
    <w:basedOn w:val="Standardnpsmoodstavce"/>
    <w:uiPriority w:val="20"/>
    <w:qFormat/>
    <w:rsid w:val="00356030"/>
    <w:rPr>
      <w:i/>
      <w:iCs/>
    </w:rPr>
  </w:style>
  <w:style w:type="character" w:styleId="Hypertextovodkaz">
    <w:name w:val="Hyperlink"/>
    <w:basedOn w:val="Standardnpsmoodstavce"/>
    <w:uiPriority w:val="99"/>
    <w:unhideWhenUsed/>
    <w:rsid w:val="003560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2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27FE0"/>
    <w:rPr>
      <w:sz w:val="16"/>
      <w:szCs w:val="16"/>
    </w:rPr>
  </w:style>
  <w:style w:type="paragraph" w:styleId="Textkomente">
    <w:name w:val="annotation text"/>
    <w:basedOn w:val="Normln"/>
    <w:link w:val="TextkomenteChar"/>
    <w:uiPriority w:val="99"/>
    <w:semiHidden/>
    <w:unhideWhenUsed/>
    <w:rsid w:val="00127FE0"/>
    <w:pPr>
      <w:spacing w:line="240" w:lineRule="auto"/>
    </w:pPr>
    <w:rPr>
      <w:sz w:val="20"/>
      <w:szCs w:val="20"/>
    </w:rPr>
  </w:style>
  <w:style w:type="character" w:customStyle="1" w:styleId="TextkomenteChar">
    <w:name w:val="Text komentáře Char"/>
    <w:basedOn w:val="Standardnpsmoodstavce"/>
    <w:link w:val="Textkomente"/>
    <w:uiPriority w:val="99"/>
    <w:semiHidden/>
    <w:rsid w:val="00127FE0"/>
    <w:rPr>
      <w:sz w:val="20"/>
      <w:szCs w:val="20"/>
    </w:rPr>
  </w:style>
  <w:style w:type="paragraph" w:styleId="Pedmtkomente">
    <w:name w:val="annotation subject"/>
    <w:basedOn w:val="Textkomente"/>
    <w:next w:val="Textkomente"/>
    <w:link w:val="PedmtkomenteChar"/>
    <w:uiPriority w:val="99"/>
    <w:semiHidden/>
    <w:unhideWhenUsed/>
    <w:rsid w:val="00127FE0"/>
    <w:rPr>
      <w:b/>
      <w:bCs/>
    </w:rPr>
  </w:style>
  <w:style w:type="character" w:customStyle="1" w:styleId="PedmtkomenteChar">
    <w:name w:val="Předmět komentáře Char"/>
    <w:basedOn w:val="TextkomenteChar"/>
    <w:link w:val="Pedmtkomente"/>
    <w:uiPriority w:val="99"/>
    <w:semiHidden/>
    <w:rsid w:val="00127FE0"/>
    <w:rPr>
      <w:b/>
      <w:bCs/>
      <w:sz w:val="20"/>
      <w:szCs w:val="20"/>
    </w:rPr>
  </w:style>
  <w:style w:type="paragraph" w:styleId="Textbubliny">
    <w:name w:val="Balloon Text"/>
    <w:basedOn w:val="Normln"/>
    <w:link w:val="TextbublinyChar"/>
    <w:uiPriority w:val="99"/>
    <w:semiHidden/>
    <w:unhideWhenUsed/>
    <w:rsid w:val="00127F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7FE0"/>
    <w:rPr>
      <w:rFonts w:ascii="Tahoma" w:hAnsi="Tahoma" w:cs="Tahoma"/>
      <w:sz w:val="16"/>
      <w:szCs w:val="16"/>
    </w:rPr>
  </w:style>
  <w:style w:type="paragraph" w:styleId="Odstavecseseznamem">
    <w:name w:val="List Paragraph"/>
    <w:basedOn w:val="Normln"/>
    <w:uiPriority w:val="34"/>
    <w:qFormat/>
    <w:rsid w:val="007D1A11"/>
    <w:pPr>
      <w:ind w:left="720"/>
      <w:contextualSpacing/>
    </w:pPr>
  </w:style>
  <w:style w:type="character" w:styleId="Zvraznn">
    <w:name w:val="Emphasis"/>
    <w:basedOn w:val="Standardnpsmoodstavce"/>
    <w:uiPriority w:val="20"/>
    <w:qFormat/>
    <w:rsid w:val="00356030"/>
    <w:rPr>
      <w:i/>
      <w:iCs/>
    </w:rPr>
  </w:style>
  <w:style w:type="character" w:styleId="Hypertextovodkaz">
    <w:name w:val="Hyperlink"/>
    <w:basedOn w:val="Standardnpsmoodstavce"/>
    <w:uiPriority w:val="99"/>
    <w:unhideWhenUsed/>
    <w:rsid w:val="00356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8686">
      <w:bodyDiv w:val="1"/>
      <w:marLeft w:val="0"/>
      <w:marRight w:val="0"/>
      <w:marTop w:val="0"/>
      <w:marBottom w:val="0"/>
      <w:divBdr>
        <w:top w:val="none" w:sz="0" w:space="0" w:color="auto"/>
        <w:left w:val="none" w:sz="0" w:space="0" w:color="auto"/>
        <w:bottom w:val="none" w:sz="0" w:space="0" w:color="auto"/>
        <w:right w:val="none" w:sz="0" w:space="0" w:color="auto"/>
      </w:divBdr>
      <w:divsChild>
        <w:div w:id="1453747642">
          <w:marLeft w:val="360"/>
          <w:marRight w:val="0"/>
          <w:marTop w:val="200"/>
          <w:marBottom w:val="0"/>
          <w:divBdr>
            <w:top w:val="none" w:sz="0" w:space="0" w:color="auto"/>
            <w:left w:val="none" w:sz="0" w:space="0" w:color="auto"/>
            <w:bottom w:val="none" w:sz="0" w:space="0" w:color="auto"/>
            <w:right w:val="none" w:sz="0" w:space="0" w:color="auto"/>
          </w:divBdr>
        </w:div>
        <w:div w:id="2016498021">
          <w:marLeft w:val="1080"/>
          <w:marRight w:val="0"/>
          <w:marTop w:val="100"/>
          <w:marBottom w:val="0"/>
          <w:divBdr>
            <w:top w:val="none" w:sz="0" w:space="0" w:color="auto"/>
            <w:left w:val="none" w:sz="0" w:space="0" w:color="auto"/>
            <w:bottom w:val="none" w:sz="0" w:space="0" w:color="auto"/>
            <w:right w:val="none" w:sz="0" w:space="0" w:color="auto"/>
          </w:divBdr>
        </w:div>
        <w:div w:id="720523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l.eu/medicines/pharmacovigilance" TargetMode="External"/><Relationship Id="rId13" Type="http://schemas.openxmlformats.org/officeDocument/2006/relationships/hyperlink" Target="https://www.accessdata.fda.gov/scripts/MedWatchLearn/adverse_effects/default.htm" TargetMode="External"/><Relationship Id="rId3" Type="http://schemas.microsoft.com/office/2007/relationships/stylesWithEffects" Target="stylesWithEffects.xml"/><Relationship Id="rId7" Type="http://schemas.openxmlformats.org/officeDocument/2006/relationships/hyperlink" Target="http://www.sukl.eu/medicines/pharmacovigilance" TargetMode="External"/><Relationship Id="rId12" Type="http://schemas.openxmlformats.org/officeDocument/2006/relationships/hyperlink" Target="https://www.accessdata.fda.gov/scripts/MedWatchLearn/adverse_effects/defaul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ma.europa.eu/ema/index.jsp?curl=pages/regulation/general/general_content_000679.jsp&amp;mid=WC0b01ac05800250b5" TargetMode="External"/><Relationship Id="rId11" Type="http://schemas.openxmlformats.org/officeDocument/2006/relationships/hyperlink" Target="https://cioms.ch/wp-content/uploads/2018/09/CIOMS-to-E2B-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ioms.ch/wp-content/uploads/2018/09/CIOMS-to-E2B-1.pdf" TargetMode="External"/><Relationship Id="rId4" Type="http://schemas.openxmlformats.org/officeDocument/2006/relationships/settings" Target="settings.xml"/><Relationship Id="rId9" Type="http://schemas.openxmlformats.org/officeDocument/2006/relationships/hyperlink" Target="http://www.sukl.eu/medicines/pharmacovigilance" TargetMode="External"/><Relationship Id="rId14" Type="http://schemas.openxmlformats.org/officeDocument/2006/relationships/hyperlink" Target="https://www.accessdata.fda.gov/scripts/MedWatchLearn/adverse_effects/default.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1933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zendulka</dc:creator>
  <cp:lastModifiedBy>zendulka</cp:lastModifiedBy>
  <cp:revision>4</cp:revision>
  <dcterms:created xsi:type="dcterms:W3CDTF">2018-11-07T07:32:00Z</dcterms:created>
  <dcterms:modified xsi:type="dcterms:W3CDTF">2019-03-26T15:34:00Z</dcterms:modified>
</cp:coreProperties>
</file>