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numPr>
          <w:ilvl w:val="0"/>
          <w:numId w:val="1"/>
        </w:numPr>
        <w:spacing w:before="240" w:after="120"/>
        <w:rPr/>
      </w:pPr>
      <w:r>
        <w:rPr/>
        <w:t>Požadavky k SZZ ze speciální didaktiky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Student zpracuje</w:t>
      </w:r>
      <w:r>
        <w:rPr/>
        <w:t xml:space="preserve"> písemnou přípravu na vyučovací hodinu na </w:t>
      </w:r>
      <w:r>
        <w:rPr/>
        <w:t>střední</w:t>
      </w:r>
      <w:r>
        <w:rPr/>
        <w:t xml:space="preserve"> škole nebo na </w:t>
      </w:r>
      <w:r>
        <w:rPr/>
        <w:t>vyš</w:t>
      </w:r>
      <w:r>
        <w:rPr/>
        <w:t xml:space="preserve">ším stupni gymnázia. </w:t>
      </w:r>
      <w:r>
        <w:rPr/>
        <w:t xml:space="preserve">Písemná příprava bude výchozím podkladem pro ústní zkoušku.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119"/>
        <w:jc w:val="both"/>
        <w:rPr/>
      </w:pPr>
      <w:r>
        <w:rPr/>
        <w:t xml:space="preserve">Student </w:t>
      </w:r>
      <w:r>
        <w:rPr/>
        <w:t>si vylosuje jedno z deseti témat:</w:t>
      </w:r>
    </w:p>
    <w:p>
      <w:pPr>
        <w:pStyle w:val="Normal"/>
        <w:numPr>
          <w:ilvl w:val="0"/>
          <w:numId w:val="2"/>
        </w:numPr>
        <w:spacing w:lineRule="auto" w:line="240" w:before="0" w:after="119"/>
        <w:rPr/>
      </w:pPr>
      <w:r>
        <w:rPr/>
        <w:t>Světlo jako elektromagnetické vlnění</w:t>
      </w:r>
    </w:p>
    <w:p>
      <w:pPr>
        <w:pStyle w:val="Normal"/>
        <w:numPr>
          <w:ilvl w:val="0"/>
          <w:numId w:val="2"/>
        </w:numPr>
        <w:spacing w:lineRule="auto" w:line="240" w:before="0" w:after="119"/>
        <w:rPr/>
      </w:pPr>
      <w:r>
        <w:rPr/>
        <w:t>Šíření světla</w:t>
      </w:r>
    </w:p>
    <w:p>
      <w:pPr>
        <w:pStyle w:val="Normal"/>
        <w:numPr>
          <w:ilvl w:val="0"/>
          <w:numId w:val="2"/>
        </w:numPr>
        <w:spacing w:lineRule="auto" w:line="240" w:before="0" w:after="119"/>
        <w:rPr/>
      </w:pPr>
      <w:r>
        <w:rPr/>
        <w:t>Odraz a lom světla</w:t>
      </w:r>
    </w:p>
    <w:p>
      <w:pPr>
        <w:pStyle w:val="Normal"/>
        <w:numPr>
          <w:ilvl w:val="0"/>
          <w:numId w:val="2"/>
        </w:numPr>
        <w:spacing w:lineRule="auto" w:line="240" w:before="0" w:after="119"/>
        <w:rPr/>
      </w:pPr>
      <w:r>
        <w:rPr/>
        <w:t>Disperze světla</w:t>
      </w:r>
    </w:p>
    <w:p>
      <w:pPr>
        <w:pStyle w:val="Normal"/>
        <w:numPr>
          <w:ilvl w:val="0"/>
          <w:numId w:val="2"/>
        </w:numPr>
        <w:spacing w:lineRule="auto" w:line="240" w:before="0" w:after="119"/>
        <w:rPr/>
      </w:pPr>
      <w:r>
        <w:rPr/>
        <w:t>Interference světla</w:t>
      </w:r>
    </w:p>
    <w:p>
      <w:pPr>
        <w:pStyle w:val="Normal"/>
        <w:numPr>
          <w:ilvl w:val="0"/>
          <w:numId w:val="2"/>
        </w:numPr>
        <w:spacing w:lineRule="auto" w:line="240" w:before="0" w:after="119"/>
        <w:rPr/>
      </w:pPr>
      <w:r>
        <w:rPr/>
        <w:t>Ohyb světla</w:t>
      </w:r>
    </w:p>
    <w:p>
      <w:pPr>
        <w:pStyle w:val="Normal"/>
        <w:numPr>
          <w:ilvl w:val="0"/>
          <w:numId w:val="2"/>
        </w:numPr>
        <w:spacing w:lineRule="auto" w:line="240" w:before="0" w:after="119"/>
        <w:rPr/>
      </w:pPr>
      <w:r>
        <w:rPr/>
        <w:t>Polarizace světla</w:t>
      </w:r>
    </w:p>
    <w:p>
      <w:pPr>
        <w:pStyle w:val="Normal"/>
        <w:numPr>
          <w:ilvl w:val="0"/>
          <w:numId w:val="2"/>
        </w:numPr>
        <w:spacing w:lineRule="auto" w:line="240" w:before="0" w:after="119"/>
        <w:rPr/>
      </w:pPr>
      <w:r>
        <w:rPr/>
        <w:t>Optické zobrazení zrcadly</w:t>
      </w:r>
    </w:p>
    <w:p>
      <w:pPr>
        <w:pStyle w:val="Normal"/>
        <w:numPr>
          <w:ilvl w:val="0"/>
          <w:numId w:val="2"/>
        </w:numPr>
        <w:spacing w:lineRule="auto" w:line="240" w:before="0" w:after="119"/>
        <w:rPr/>
      </w:pPr>
      <w:r>
        <w:rPr/>
        <w:t>Čočky</w:t>
      </w:r>
    </w:p>
    <w:p>
      <w:pPr>
        <w:pStyle w:val="Normal"/>
        <w:numPr>
          <w:ilvl w:val="0"/>
          <w:numId w:val="2"/>
        </w:numPr>
        <w:spacing w:lineRule="auto" w:line="240" w:before="0" w:after="119"/>
        <w:jc w:val="both"/>
        <w:rPr/>
      </w:pPr>
      <w:r>
        <w:rPr/>
        <w:t>Optické přístroje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119"/>
        <w:jc w:val="both"/>
        <w:rPr/>
      </w:pPr>
      <w:r>
        <w:rPr/>
        <w:t>Příprava má obsahovat všechny výukové fáze „klasické“ vyučovací hodiny (motivace, expozice, fixace, diagnostika, aplikace). Upřesnění obsahu písemné přípravy</w:t>
      </w:r>
      <w:r>
        <w:rPr/>
        <w:t>:</w:t>
      </w:r>
    </w:p>
    <w:p>
      <w:pPr>
        <w:pStyle w:val="Normal"/>
        <w:numPr>
          <w:ilvl w:val="0"/>
          <w:numId w:val="3"/>
        </w:numPr>
        <w:spacing w:before="0" w:after="119"/>
        <w:jc w:val="left"/>
        <w:rPr/>
      </w:pPr>
      <w:r>
        <w:rPr/>
        <w:t>Přibližné vymezení předpokládaných znalostí a empirických zkušeností u žáka.</w:t>
      </w:r>
    </w:p>
    <w:p>
      <w:pPr>
        <w:pStyle w:val="Normal"/>
        <w:numPr>
          <w:ilvl w:val="0"/>
          <w:numId w:val="3"/>
        </w:numPr>
        <w:spacing w:before="0" w:after="119"/>
        <w:jc w:val="left"/>
        <w:rPr/>
      </w:pPr>
      <w:r>
        <w:rPr/>
        <w:t xml:space="preserve">Základní pojmy a veličiny, příp. zákony, které má žák pochopit, včetně </w:t>
      </w:r>
      <w:r>
        <w:rPr/>
        <w:t>postupu</w:t>
      </w:r>
      <w:r>
        <w:rPr/>
        <w:t xml:space="preserve"> jejich zavedení.</w:t>
      </w:r>
    </w:p>
    <w:p>
      <w:pPr>
        <w:pStyle w:val="Normal"/>
        <w:numPr>
          <w:ilvl w:val="0"/>
          <w:numId w:val="3"/>
        </w:numPr>
        <w:spacing w:before="0" w:after="119"/>
        <w:jc w:val="left"/>
        <w:rPr/>
      </w:pPr>
      <w:r>
        <w:rPr/>
        <w:t>Popis, schémata a nákresy experimentů, které budou žákům demonstrovány (či budou žáci provádět) při objasňování učiva.</w:t>
      </w:r>
    </w:p>
    <w:p>
      <w:pPr>
        <w:pStyle w:val="Normal"/>
        <w:numPr>
          <w:ilvl w:val="0"/>
          <w:numId w:val="3"/>
        </w:numPr>
        <w:spacing w:before="0" w:after="119"/>
        <w:jc w:val="left"/>
        <w:rPr/>
      </w:pPr>
      <w:r>
        <w:rPr/>
        <w:t>Formulace a vzorové řešení alespoň jedné fyzikální úlohy s vazbou k tématu přípravy.</w:t>
      </w:r>
    </w:p>
    <w:p>
      <w:pPr>
        <w:pStyle w:val="Normal"/>
        <w:numPr>
          <w:ilvl w:val="0"/>
          <w:numId w:val="3"/>
        </w:numPr>
        <w:spacing w:before="0" w:after="119"/>
        <w:jc w:val="left"/>
        <w:rPr/>
      </w:pPr>
      <w:r>
        <w:rPr/>
        <w:t xml:space="preserve">Formulace alespoň </w:t>
      </w:r>
      <w:r>
        <w:rPr/>
        <w:t>tří</w:t>
      </w:r>
      <w:r>
        <w:rPr/>
        <w:t xml:space="preserve"> otázek, jež budou položeny žákům při procvičování učiva tématu přípravy (včetně očekávaných odpovědí).</w:t>
      </w:r>
    </w:p>
    <w:p>
      <w:pPr>
        <w:pStyle w:val="Normal"/>
        <w:numPr>
          <w:ilvl w:val="0"/>
          <w:numId w:val="3"/>
        </w:numPr>
        <w:spacing w:before="0" w:after="119"/>
        <w:jc w:val="left"/>
        <w:rPr/>
      </w:pPr>
      <w:r>
        <w:rPr/>
        <w:t>Příklady aplikací poznatků daného fyzikálního tématu ve vědě, technice a denním životě, s využitím mezipředmětových vazeb.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AR PL SungtiL GB" w:cs="Lohit Devanagari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144</TotalTime>
  <Application>LibreOffice/6.0.7.3$Linux_x86 LibreOffice_project/00m0$Build-3</Application>
  <Pages>1</Pages>
  <Words>178</Words>
  <Characters>1086</Characters>
  <CharactersWithSpaces>1229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2019-02-25T10:22:45Z</dcterms:created>
  <dc:creator>Tomáš Miléř</dc:creator>
  <dc:description/>
  <dc:language>cs-CZ</dc:language>
  <cp:lastModifiedBy>Tomáš Miléř</cp:lastModifiedBy>
  <dcterms:modified xsi:type="dcterms:W3CDTF">2019-02-25T12:48:11Z</dcterms:modified>
  <cp:revision>4</cp:revision>
  <dc:subject/>
  <dc:title/>
</cp:coreProperties>
</file>