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18" w:rsidRDefault="00E63718" w:rsidP="00BD70ED">
      <w:pPr>
        <w:pStyle w:val="Nadpis2"/>
      </w:pPr>
      <w:bookmarkStart w:id="0" w:name="_Toc298940606"/>
    </w:p>
    <w:p w:rsidR="00E63718" w:rsidRDefault="00E63718" w:rsidP="00BD70ED">
      <w:pPr>
        <w:pStyle w:val="Nadpis2"/>
      </w:pPr>
    </w:p>
    <w:p w:rsidR="008E2170" w:rsidRDefault="00B54037" w:rsidP="008E2170">
      <w:pPr>
        <w:pStyle w:val="Nadpis2"/>
      </w:pPr>
      <w:r>
        <w:t xml:space="preserve">12 </w:t>
      </w:r>
      <w:r w:rsidR="004057F4" w:rsidRPr="00A01770">
        <w:t>Poruchy spánku ve stáří</w:t>
      </w:r>
    </w:p>
    <w:p w:rsidR="008E2170" w:rsidRDefault="008E2170" w:rsidP="008E2170">
      <w:pPr>
        <w:pStyle w:val="Nadpis2"/>
      </w:pPr>
    </w:p>
    <w:p w:rsidR="008E2170" w:rsidRDefault="008E2170" w:rsidP="008E2170">
      <w:pPr>
        <w:pStyle w:val="Nadpis2"/>
      </w:pPr>
    </w:p>
    <w:p w:rsidR="008E2170" w:rsidRDefault="008E2170" w:rsidP="008E2170">
      <w:pPr>
        <w:pStyle w:val="Nadpis2"/>
        <w:rPr>
          <w:sz w:val="24"/>
          <w:szCs w:val="24"/>
        </w:rPr>
      </w:pPr>
      <w:r w:rsidRPr="008E2170">
        <w:rPr>
          <w:sz w:val="24"/>
          <w:szCs w:val="24"/>
        </w:rPr>
        <w:t>Po prostudování této kapitoly byste měli být schopni</w:t>
      </w:r>
      <w:r w:rsidR="00E63718" w:rsidRPr="008E21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</w:t>
      </w:r>
      <w:r>
        <w:rPr>
          <w:noProof/>
        </w:rPr>
        <w:drawing>
          <wp:inline distT="0" distB="0" distL="0" distR="0" wp14:anchorId="240193DE" wp14:editId="6B927D65">
            <wp:extent cx="446227" cy="435984"/>
            <wp:effectExtent l="114300" t="114300" r="106680" b="116840"/>
            <wp:docPr id="8" name="Obrázek 8" descr="C:\Users\Hana\Documents\NAP\e-learning\kom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\Documents\NAP\e-learning\komp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" cy="44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E2170" w:rsidRPr="008E2170" w:rsidRDefault="008E2170" w:rsidP="008E2170">
      <w:pPr>
        <w:pStyle w:val="Nadpis2"/>
        <w:numPr>
          <w:ilvl w:val="0"/>
          <w:numId w:val="1"/>
        </w:numPr>
        <w:rPr>
          <w:b w:val="0"/>
          <w:sz w:val="24"/>
          <w:szCs w:val="24"/>
        </w:rPr>
      </w:pPr>
      <w:r w:rsidRPr="008E2170">
        <w:rPr>
          <w:b w:val="0"/>
          <w:sz w:val="24"/>
          <w:szCs w:val="24"/>
        </w:rPr>
        <w:t>charakterizovat základní fáze spánku</w:t>
      </w:r>
    </w:p>
    <w:p w:rsidR="008E2170" w:rsidRPr="008E2170" w:rsidRDefault="008E2170" w:rsidP="008E2170">
      <w:pPr>
        <w:pStyle w:val="Odstavecseseznamem"/>
        <w:numPr>
          <w:ilvl w:val="0"/>
          <w:numId w:val="1"/>
        </w:numPr>
      </w:pPr>
      <w:r>
        <w:t>vyjmenovat rozdíly mezi spánkem ve starším věku a v mladším věku</w:t>
      </w:r>
    </w:p>
    <w:p w:rsidR="008E2170" w:rsidRDefault="008E2170" w:rsidP="008E2170">
      <w:pPr>
        <w:pStyle w:val="Odstavecseseznamem"/>
        <w:numPr>
          <w:ilvl w:val="0"/>
          <w:numId w:val="1"/>
        </w:numPr>
      </w:pPr>
      <w:r>
        <w:t>definovat insomnii a charakterizovat její nejčastější příčiny</w:t>
      </w:r>
    </w:p>
    <w:p w:rsidR="008E2170" w:rsidRDefault="008E2170" w:rsidP="008E2170">
      <w:pPr>
        <w:pStyle w:val="Odstavecseseznamem"/>
        <w:numPr>
          <w:ilvl w:val="0"/>
          <w:numId w:val="1"/>
        </w:numPr>
      </w:pPr>
      <w:r>
        <w:t>nastínit rozdíl mezi akutní a chronickou nespavostí</w:t>
      </w:r>
    </w:p>
    <w:p w:rsidR="008E2170" w:rsidRDefault="008E2170" w:rsidP="008E2170">
      <w:pPr>
        <w:pStyle w:val="Odstavecseseznamem"/>
        <w:numPr>
          <w:ilvl w:val="0"/>
          <w:numId w:val="1"/>
        </w:numPr>
      </w:pPr>
      <w:r>
        <w:t>vyjmenovat základní nefarmakologická opatření pro řešení insomnie</w:t>
      </w:r>
    </w:p>
    <w:p w:rsidR="00E63718" w:rsidRDefault="008E2170" w:rsidP="008E2170">
      <w:pPr>
        <w:pStyle w:val="Odstavecseseznamem"/>
        <w:numPr>
          <w:ilvl w:val="0"/>
          <w:numId w:val="1"/>
        </w:numPr>
      </w:pPr>
      <w:r>
        <w:t>pojednat o rizicích podávání hypnotik ve stáří</w:t>
      </w:r>
      <w:r w:rsidR="00E63718" w:rsidRPr="008E2170">
        <w:t xml:space="preserve">                                                                       </w:t>
      </w:r>
      <w:r w:rsidRPr="008E2170">
        <w:t xml:space="preserve">          </w:t>
      </w:r>
    </w:p>
    <w:p w:rsidR="00496948" w:rsidRDefault="00496948" w:rsidP="004057F4">
      <w:pPr>
        <w:jc w:val="right"/>
      </w:pPr>
      <w:r>
        <w:rPr>
          <w:b/>
          <w:noProof/>
        </w:rPr>
        <w:drawing>
          <wp:inline distT="0" distB="0" distL="0" distR="0" wp14:anchorId="38E9FCE4" wp14:editId="0397941E">
            <wp:extent cx="494861" cy="475488"/>
            <wp:effectExtent l="114300" t="114300" r="114935" b="115570"/>
            <wp:docPr id="5" name="Obrázek 5" descr="C:\Users\Hana\Documents\NAP\e-learning\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klí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79" cy="4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E2170" w:rsidRPr="008E2170" w:rsidRDefault="008E2170" w:rsidP="008E2170">
      <w:pPr>
        <w:rPr>
          <w:b/>
        </w:rPr>
      </w:pPr>
      <w:r>
        <w:rPr>
          <w:b/>
        </w:rPr>
        <w:t xml:space="preserve">Klíčová slova: </w:t>
      </w:r>
      <w:r w:rsidRPr="008E2170">
        <w:t>spánek – fáze spánku – insomnie – akutní insomnie – chronická insomnie – nefarmakologická léčba nespavosti</w:t>
      </w:r>
    </w:p>
    <w:p w:rsidR="00E63718" w:rsidRDefault="00E63718" w:rsidP="00BD70ED">
      <w:pPr>
        <w:pStyle w:val="Nadpis2"/>
      </w:pPr>
    </w:p>
    <w:p w:rsidR="00E63718" w:rsidRDefault="00E63718" w:rsidP="00BD70ED">
      <w:pPr>
        <w:pStyle w:val="Nadpis2"/>
      </w:pPr>
    </w:p>
    <w:p w:rsidR="00E63718" w:rsidRDefault="00B54037" w:rsidP="00BD70ED">
      <w:pPr>
        <w:pStyle w:val="Nadpis2"/>
      </w:pPr>
      <w:r>
        <w:t>12.1 Změny spánku ve stáří</w:t>
      </w:r>
    </w:p>
    <w:bookmarkEnd w:id="0"/>
    <w:p w:rsidR="00BD70ED" w:rsidRPr="00F63F2E" w:rsidRDefault="00BD70ED" w:rsidP="00BD70ED">
      <w:pPr>
        <w:pStyle w:val="Zkladntext"/>
        <w:spacing w:after="0"/>
        <w:jc w:val="both"/>
        <w:rPr>
          <w:b/>
          <w:sz w:val="24"/>
          <w:szCs w:val="24"/>
        </w:rPr>
      </w:pPr>
    </w:p>
    <w:p w:rsidR="00BD70ED" w:rsidRPr="00A01770" w:rsidRDefault="00BD70ED" w:rsidP="00BD70ED">
      <w:pPr>
        <w:pStyle w:val="Zkladntext"/>
        <w:spacing w:after="0"/>
        <w:jc w:val="both"/>
        <w:rPr>
          <w:sz w:val="24"/>
          <w:szCs w:val="24"/>
        </w:rPr>
      </w:pPr>
      <w:r w:rsidRPr="00A01770">
        <w:rPr>
          <w:sz w:val="24"/>
          <w:szCs w:val="24"/>
        </w:rPr>
        <w:t>Charakter spánku se mění s narůstajícím věkem a při individuálním hodnocení je někdy nesnadné</w:t>
      </w:r>
      <w:r w:rsidR="008E2170">
        <w:rPr>
          <w:sz w:val="24"/>
          <w:szCs w:val="24"/>
        </w:rPr>
        <w:t xml:space="preserve"> diferencovat, které změny jsou</w:t>
      </w:r>
      <w:r w:rsidRPr="00A01770">
        <w:rPr>
          <w:sz w:val="24"/>
          <w:szCs w:val="24"/>
        </w:rPr>
        <w:t xml:space="preserve"> „přirozené“ a které již patologické. Obecně platí, že senioři aktivní, zapojení do komunity spí lépe. Kvalitu spánku zhoršují faktory jako zármutek, osamocení, úzkost, nucený odchod do důchodu, </w:t>
      </w:r>
      <w:proofErr w:type="spellStart"/>
      <w:r w:rsidRPr="00A01770">
        <w:rPr>
          <w:sz w:val="24"/>
          <w:szCs w:val="24"/>
        </w:rPr>
        <w:t>potraumatické</w:t>
      </w:r>
      <w:proofErr w:type="spellEnd"/>
      <w:r w:rsidRPr="00A01770">
        <w:rPr>
          <w:sz w:val="24"/>
          <w:szCs w:val="24"/>
        </w:rPr>
        <w:t xml:space="preserve"> stavy. Obecně mají starší lidé tendenci chodit dříve spát, ale déle usínají, v noci se častěji probouzejí, ráno dříve vstávají a přes den několikrát zdřímnou.</w:t>
      </w:r>
    </w:p>
    <w:p w:rsidR="00BD70ED" w:rsidRPr="00A01770" w:rsidRDefault="00BD70ED" w:rsidP="00BD70ED">
      <w:pPr>
        <w:pStyle w:val="Zkladntext"/>
        <w:spacing w:after="0"/>
        <w:ind w:firstLine="539"/>
        <w:jc w:val="both"/>
        <w:rPr>
          <w:sz w:val="24"/>
          <w:szCs w:val="24"/>
        </w:rPr>
      </w:pPr>
      <w:r w:rsidRPr="00A01770">
        <w:rPr>
          <w:sz w:val="24"/>
          <w:szCs w:val="24"/>
        </w:rPr>
        <w:t>Odlišnosti spánku ve stáří - patofyziologické poznámky</w:t>
      </w:r>
    </w:p>
    <w:p w:rsidR="00BD70ED" w:rsidRPr="00A01770" w:rsidRDefault="00BD70ED" w:rsidP="00BD70ED">
      <w:pPr>
        <w:pStyle w:val="Zkladntext"/>
        <w:spacing w:after="0"/>
        <w:ind w:firstLine="539"/>
        <w:jc w:val="both"/>
        <w:rPr>
          <w:sz w:val="24"/>
          <w:szCs w:val="24"/>
        </w:rPr>
      </w:pPr>
      <w:r w:rsidRPr="00A01770">
        <w:rPr>
          <w:sz w:val="24"/>
          <w:szCs w:val="24"/>
        </w:rPr>
        <w:t xml:space="preserve">I ve vyšším věku probíhá spánek ve čtyřech fázích, přičemž hloubka spánku se zvětšuje od první do čtvrté fáze – tedy v 1. a 2. fázi se jedná o spánek lehký, ve třetí a čtvrté fázi o spánek hluboký. V čtvrté fázi je nejnižší svalový tonus, nejnižší krevní tlak a tepová frekvence. Poměr jednotlivých fází se s věkem mění. Například podíl první fáze u mladých jedinců činí 5% celkové délky spánku, zatímco u starších tento podíl narůstá až na 12-15%. Naopak – fáze 3. a 4. mohou u lidí velmi vysokého věku vymizet úplně – viz graf 2. </w:t>
      </w:r>
    </w:p>
    <w:p w:rsidR="00BD70ED" w:rsidRPr="00A01770" w:rsidRDefault="00BD70ED" w:rsidP="00BD70ED">
      <w:pPr>
        <w:pStyle w:val="Zkladntext"/>
        <w:spacing w:after="0"/>
      </w:pPr>
    </w:p>
    <w:p w:rsidR="00BD70ED" w:rsidRPr="00F63F2E" w:rsidRDefault="00BD70ED" w:rsidP="00BD70ED">
      <w:pPr>
        <w:pStyle w:val="Zkladntext"/>
        <w:spacing w:after="0"/>
        <w:rPr>
          <w:b/>
          <w:sz w:val="22"/>
          <w:szCs w:val="22"/>
        </w:rPr>
      </w:pPr>
      <w:r w:rsidRPr="00F63F2E">
        <w:rPr>
          <w:sz w:val="22"/>
          <w:szCs w:val="22"/>
        </w:rPr>
        <w:t>Graf 2. Zastoupení jednotlivých stadií spánku v různých věkových kategoriích (znázorněno v procentech celkové doby strávené na lůžku)</w:t>
      </w:r>
    </w:p>
    <w:p w:rsidR="00BD70ED" w:rsidRPr="00A01770" w:rsidRDefault="00BD70ED" w:rsidP="00BD70ED">
      <w:pPr>
        <w:pStyle w:val="Zkladntext"/>
        <w:spacing w:line="360" w:lineRule="auto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5572125</wp:posOffset>
            </wp:positionH>
            <wp:positionV relativeFrom="line">
              <wp:posOffset>33020</wp:posOffset>
            </wp:positionV>
            <wp:extent cx="450215" cy="441960"/>
            <wp:effectExtent l="114300" t="114300" r="121285" b="11049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3869690" cy="2516505"/>
            <wp:effectExtent l="0" t="0" r="0" b="0"/>
            <wp:docPr id="1" name="Obrázek 1" descr="gr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0ED" w:rsidRPr="00A01770" w:rsidRDefault="00BD70ED" w:rsidP="00BD70ED">
      <w:pPr>
        <w:pStyle w:val="Zkladntext"/>
        <w:spacing w:after="0"/>
        <w:jc w:val="both"/>
        <w:rPr>
          <w:sz w:val="24"/>
          <w:szCs w:val="24"/>
        </w:rPr>
      </w:pPr>
      <w:r w:rsidRPr="00A01770">
        <w:rPr>
          <w:sz w:val="24"/>
          <w:szCs w:val="24"/>
        </w:rPr>
        <w:t xml:space="preserve">Dalším parametrem popisovaným v souvislosti s posuzováním kvality spánku je REM fáze spánku (rapid </w:t>
      </w:r>
      <w:proofErr w:type="spellStart"/>
      <w:r w:rsidRPr="00A01770">
        <w:rPr>
          <w:sz w:val="24"/>
          <w:szCs w:val="24"/>
        </w:rPr>
        <w:t>eye</w:t>
      </w:r>
      <w:proofErr w:type="spellEnd"/>
      <w:r w:rsidRPr="00A01770">
        <w:rPr>
          <w:sz w:val="24"/>
          <w:szCs w:val="24"/>
        </w:rPr>
        <w:t xml:space="preserve"> </w:t>
      </w:r>
      <w:proofErr w:type="spellStart"/>
      <w:r w:rsidRPr="00A01770">
        <w:rPr>
          <w:sz w:val="24"/>
          <w:szCs w:val="24"/>
        </w:rPr>
        <w:t>movements</w:t>
      </w:r>
      <w:proofErr w:type="spellEnd"/>
      <w:r w:rsidRPr="00A01770">
        <w:rPr>
          <w:sz w:val="24"/>
          <w:szCs w:val="24"/>
        </w:rPr>
        <w:t xml:space="preserve">). Právě v obdobích REM spánku dochází nejčastěji k neadekvátním aktivitám -  RBD (REM </w:t>
      </w:r>
      <w:proofErr w:type="spellStart"/>
      <w:r w:rsidRPr="00A01770">
        <w:rPr>
          <w:sz w:val="24"/>
          <w:szCs w:val="24"/>
        </w:rPr>
        <w:t>sleep</w:t>
      </w:r>
      <w:proofErr w:type="spellEnd"/>
      <w:r w:rsidRPr="00A01770">
        <w:rPr>
          <w:sz w:val="24"/>
          <w:szCs w:val="24"/>
        </w:rPr>
        <w:t xml:space="preserve"> </w:t>
      </w:r>
      <w:proofErr w:type="spellStart"/>
      <w:r w:rsidRPr="00A01770">
        <w:rPr>
          <w:sz w:val="24"/>
          <w:szCs w:val="24"/>
        </w:rPr>
        <w:t>behavior</w:t>
      </w:r>
      <w:proofErr w:type="spellEnd"/>
      <w:r w:rsidRPr="00A01770">
        <w:rPr>
          <w:sz w:val="24"/>
          <w:szCs w:val="24"/>
        </w:rPr>
        <w:t xml:space="preserve"> </w:t>
      </w:r>
      <w:proofErr w:type="spellStart"/>
      <w:r w:rsidRPr="00A01770">
        <w:rPr>
          <w:sz w:val="24"/>
          <w:szCs w:val="24"/>
        </w:rPr>
        <w:t>disorders</w:t>
      </w:r>
      <w:proofErr w:type="spellEnd"/>
      <w:r w:rsidRPr="00A01770">
        <w:rPr>
          <w:sz w:val="24"/>
          <w:szCs w:val="24"/>
        </w:rPr>
        <w:t xml:space="preserve">) a vyskytuje se přibližně u </w:t>
      </w:r>
      <w:proofErr w:type="gramStart"/>
      <w:r w:rsidRPr="00A01770">
        <w:rPr>
          <w:sz w:val="24"/>
          <w:szCs w:val="24"/>
        </w:rPr>
        <w:t>15%</w:t>
      </w:r>
      <w:proofErr w:type="gramEnd"/>
      <w:r w:rsidRPr="00A01770">
        <w:rPr>
          <w:sz w:val="24"/>
          <w:szCs w:val="24"/>
        </w:rPr>
        <w:t xml:space="preserve"> seniorů. Vzhledem k možnosti úrazu jak seniora samotného tak poranění pečovatele je těmto poruchám věnována poměrně značná pozornost.</w:t>
      </w:r>
    </w:p>
    <w:p w:rsidR="00BD70ED" w:rsidRPr="00A01770" w:rsidRDefault="00BD70ED" w:rsidP="00BD70ED">
      <w:pPr>
        <w:pStyle w:val="Zkladntext"/>
        <w:spacing w:after="0"/>
        <w:ind w:firstLine="539"/>
        <w:jc w:val="both"/>
        <w:rPr>
          <w:sz w:val="24"/>
          <w:szCs w:val="24"/>
        </w:rPr>
      </w:pPr>
      <w:r w:rsidRPr="00A01770">
        <w:rPr>
          <w:sz w:val="24"/>
          <w:szCs w:val="24"/>
        </w:rPr>
        <w:t xml:space="preserve">V souvislosti s hodnocením spánku u starších se vyskytuje několik </w:t>
      </w:r>
      <w:r w:rsidRPr="00A01770">
        <w:rPr>
          <w:i/>
          <w:sz w:val="24"/>
          <w:szCs w:val="24"/>
        </w:rPr>
        <w:t>sporných tvrzení</w:t>
      </w:r>
      <w:r w:rsidRPr="00A01770">
        <w:rPr>
          <w:sz w:val="24"/>
          <w:szCs w:val="24"/>
        </w:rPr>
        <w:t xml:space="preserve">. Obecně panuje názor, že potřeba spánku s věkem klesá, tento parametr je však velmi individuální. Literární zdroje celkem jednotně vystupují proti vžitému názoru, že celková kratší délka nočního spánku u starších je způsobena rozdrobením spánku do menších úseků vlivem usínání během dne. Prostý součet intervalů spánku není možno přirovnat k dostatečně dlouhému kvalitnímu spánku v noci. </w:t>
      </w:r>
    </w:p>
    <w:p w:rsidR="00BD70ED" w:rsidRPr="00F63F2E" w:rsidRDefault="00BD70ED" w:rsidP="00BD70ED">
      <w:pPr>
        <w:pStyle w:val="Zkladntext"/>
        <w:spacing w:after="0"/>
        <w:jc w:val="both"/>
        <w:rPr>
          <w:sz w:val="24"/>
          <w:szCs w:val="24"/>
        </w:rPr>
      </w:pPr>
    </w:p>
    <w:p w:rsidR="00BD70ED" w:rsidRPr="00A01770" w:rsidRDefault="00B54037" w:rsidP="00BD70ED">
      <w:pPr>
        <w:pStyle w:val="Nadpis3"/>
      </w:pPr>
      <w:bookmarkStart w:id="1" w:name="_Toc298940607"/>
      <w:r>
        <w:t xml:space="preserve">12.2 </w:t>
      </w:r>
      <w:r w:rsidR="00BD70ED" w:rsidRPr="00A01770">
        <w:t xml:space="preserve"> Nespavost - insomnie</w:t>
      </w:r>
      <w:bookmarkEnd w:id="1"/>
    </w:p>
    <w:p w:rsidR="00BD70ED" w:rsidRPr="00F63F2E" w:rsidRDefault="00BD70ED" w:rsidP="00BD70ED">
      <w:pPr>
        <w:pStyle w:val="Zkladntext"/>
        <w:spacing w:after="0"/>
        <w:jc w:val="both"/>
        <w:rPr>
          <w:sz w:val="24"/>
          <w:szCs w:val="24"/>
        </w:rPr>
      </w:pPr>
    </w:p>
    <w:p w:rsidR="00BD70ED" w:rsidRPr="00A01770" w:rsidRDefault="00BD70ED" w:rsidP="00BD70ED">
      <w:pPr>
        <w:pStyle w:val="Zkladntext"/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0">
            <wp:simplePos x="0" y="0"/>
            <wp:positionH relativeFrom="margin">
              <wp:posOffset>5518150</wp:posOffset>
            </wp:positionH>
            <wp:positionV relativeFrom="line">
              <wp:posOffset>42545</wp:posOffset>
            </wp:positionV>
            <wp:extent cx="450850" cy="450850"/>
            <wp:effectExtent l="114300" t="114300" r="120650" b="1206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770">
        <w:rPr>
          <w:i/>
          <w:sz w:val="24"/>
          <w:szCs w:val="24"/>
        </w:rPr>
        <w:t>Definice:</w:t>
      </w:r>
      <w:r>
        <w:rPr>
          <w:i/>
          <w:sz w:val="24"/>
          <w:szCs w:val="24"/>
        </w:rPr>
        <w:t xml:space="preserve"> </w:t>
      </w:r>
      <w:r w:rsidRPr="00A01770">
        <w:rPr>
          <w:sz w:val="24"/>
          <w:szCs w:val="24"/>
        </w:rPr>
        <w:t xml:space="preserve">subjektivně negativně vnímané zkrácení doby nebo kvality spánku. </w:t>
      </w:r>
    </w:p>
    <w:p w:rsidR="00BD70ED" w:rsidRPr="00A01770" w:rsidRDefault="00BD70ED" w:rsidP="00BD70ED">
      <w:pPr>
        <w:pStyle w:val="Zkladntext"/>
        <w:spacing w:after="0"/>
        <w:jc w:val="both"/>
        <w:rPr>
          <w:sz w:val="24"/>
          <w:szCs w:val="24"/>
        </w:rPr>
      </w:pPr>
      <w:r w:rsidRPr="00A01770">
        <w:rPr>
          <w:i/>
          <w:sz w:val="24"/>
          <w:szCs w:val="24"/>
        </w:rPr>
        <w:t>Etiopatogeneze:</w:t>
      </w:r>
      <w:r w:rsidRPr="00A01770">
        <w:rPr>
          <w:sz w:val="24"/>
          <w:szCs w:val="24"/>
        </w:rPr>
        <w:t xml:space="preserve"> nespavost je vždy nutno považovat za symptom a snažit se vypátrat její příčinu. U krátkodobé nespavosti - hospitalizace, stav po chirurgickém zákroku, u aktivnějších seniorů i časový posun (jet </w:t>
      </w:r>
      <w:proofErr w:type="spellStart"/>
      <w:r w:rsidRPr="00A01770">
        <w:rPr>
          <w:sz w:val="24"/>
          <w:szCs w:val="24"/>
        </w:rPr>
        <w:t>lag</w:t>
      </w:r>
      <w:proofErr w:type="spellEnd"/>
      <w:r w:rsidRPr="00A01770">
        <w:rPr>
          <w:sz w:val="24"/>
          <w:szCs w:val="24"/>
        </w:rPr>
        <w:t>), stressové situace. Krátkodobá nespavost odeznívá obvykle do 1 týdne od ukončení vyvolávající příčiny.</w:t>
      </w:r>
    </w:p>
    <w:p w:rsidR="00BD70ED" w:rsidRPr="00920E0C" w:rsidRDefault="00BD70ED" w:rsidP="00BD70ED">
      <w:pPr>
        <w:pStyle w:val="Zkladntext"/>
        <w:spacing w:after="0"/>
        <w:jc w:val="both"/>
        <w:rPr>
          <w:sz w:val="24"/>
          <w:szCs w:val="24"/>
        </w:rPr>
      </w:pPr>
      <w:r w:rsidRPr="00A01770">
        <w:rPr>
          <w:sz w:val="24"/>
          <w:szCs w:val="24"/>
        </w:rPr>
        <w:t xml:space="preserve">Nejobvyklejší příčiny dlouhodobé nespavosti odhalíme většinou anamnesticky – špatné načasování jídla, užití kofeinu, alkoholu, medikace, nedostatek pohybu, nykturie, bolest hlavy, bolest jiného původu – je však nutno cíleně pátrat. Podrobnější vyšetření může odhalit somatické či </w:t>
      </w:r>
      <w:r w:rsidRPr="00920E0C">
        <w:rPr>
          <w:sz w:val="24"/>
          <w:szCs w:val="24"/>
        </w:rPr>
        <w:t xml:space="preserve">psychické onemocnění – hypertenze, </w:t>
      </w:r>
      <w:proofErr w:type="spellStart"/>
      <w:r w:rsidRPr="00920E0C">
        <w:rPr>
          <w:sz w:val="24"/>
          <w:szCs w:val="24"/>
        </w:rPr>
        <w:t>tyreopatie</w:t>
      </w:r>
      <w:proofErr w:type="spellEnd"/>
      <w:r w:rsidRPr="00920E0C">
        <w:rPr>
          <w:sz w:val="24"/>
          <w:szCs w:val="24"/>
        </w:rPr>
        <w:t xml:space="preserve">, demence, Parkinsonova choroba, deprese, spánková apnoe, syndrom hypersomnie, syndrom neklidných nohou, adipozita, kardiovaskulární onemocnění, stressové příčiny, poruchy nálady, požívání psychoaktivních látek. </w:t>
      </w:r>
    </w:p>
    <w:p w:rsidR="00BD70ED" w:rsidRPr="00920E0C" w:rsidRDefault="00BD70ED" w:rsidP="00BD70ED">
      <w:pPr>
        <w:pStyle w:val="Zkladntext"/>
        <w:spacing w:after="0"/>
        <w:jc w:val="both"/>
        <w:rPr>
          <w:sz w:val="24"/>
          <w:szCs w:val="24"/>
        </w:rPr>
      </w:pPr>
      <w:r w:rsidRPr="00920E0C">
        <w:rPr>
          <w:i/>
          <w:sz w:val="24"/>
          <w:szCs w:val="24"/>
        </w:rPr>
        <w:t>Příznaky:</w:t>
      </w:r>
      <w:r w:rsidRPr="00920E0C">
        <w:rPr>
          <w:sz w:val="24"/>
          <w:szCs w:val="24"/>
        </w:rPr>
        <w:t xml:space="preserve"> poruchy usínání, časté probouzení během noci, časné ranní probouzení, následně únava, nesoustředěnost, podrážděnost, krátké pospávání během dne, </w:t>
      </w:r>
      <w:proofErr w:type="spellStart"/>
      <w:r w:rsidRPr="00920E0C">
        <w:rPr>
          <w:sz w:val="24"/>
          <w:szCs w:val="24"/>
        </w:rPr>
        <w:t>anxieta</w:t>
      </w:r>
      <w:proofErr w:type="spellEnd"/>
      <w:r w:rsidRPr="00920E0C">
        <w:rPr>
          <w:sz w:val="24"/>
          <w:szCs w:val="24"/>
        </w:rPr>
        <w:t xml:space="preserve">, přecitlivělost na nespavost, ale také zvyšování krevního tlaku, zhoršení kardiopulmonální kompenzace, trávicí obtíže apod.. </w:t>
      </w:r>
    </w:p>
    <w:p w:rsidR="00BD70ED" w:rsidRPr="00920E0C" w:rsidRDefault="00BD70ED" w:rsidP="00BD70ED">
      <w:pPr>
        <w:pStyle w:val="Zkladntext"/>
        <w:spacing w:after="0"/>
        <w:jc w:val="both"/>
        <w:rPr>
          <w:sz w:val="24"/>
          <w:szCs w:val="24"/>
        </w:rPr>
      </w:pPr>
      <w:r w:rsidRPr="00920E0C">
        <w:rPr>
          <w:i/>
          <w:sz w:val="24"/>
          <w:szCs w:val="24"/>
        </w:rPr>
        <w:t xml:space="preserve">Diagnostika: </w:t>
      </w:r>
      <w:r w:rsidRPr="00920E0C">
        <w:rPr>
          <w:sz w:val="24"/>
          <w:szCs w:val="24"/>
        </w:rPr>
        <w:t xml:space="preserve">per </w:t>
      </w:r>
      <w:proofErr w:type="spellStart"/>
      <w:r w:rsidRPr="00920E0C">
        <w:rPr>
          <w:sz w:val="24"/>
          <w:szCs w:val="24"/>
        </w:rPr>
        <w:t>exclusionem</w:t>
      </w:r>
      <w:proofErr w:type="spellEnd"/>
      <w:r w:rsidRPr="00920E0C">
        <w:rPr>
          <w:sz w:val="24"/>
          <w:szCs w:val="24"/>
        </w:rPr>
        <w:t>.</w:t>
      </w:r>
    </w:p>
    <w:p w:rsidR="00BD70ED" w:rsidRPr="00920E0C" w:rsidRDefault="00BD70ED" w:rsidP="00BD70ED">
      <w:pPr>
        <w:pStyle w:val="Zkladntext"/>
        <w:spacing w:after="0"/>
        <w:jc w:val="both"/>
        <w:rPr>
          <w:sz w:val="24"/>
          <w:szCs w:val="24"/>
        </w:rPr>
      </w:pPr>
      <w:proofErr w:type="spellStart"/>
      <w:r w:rsidRPr="00920E0C">
        <w:rPr>
          <w:i/>
          <w:sz w:val="24"/>
          <w:szCs w:val="24"/>
        </w:rPr>
        <w:t>Diff</w:t>
      </w:r>
      <w:proofErr w:type="spellEnd"/>
      <w:r w:rsidRPr="00920E0C">
        <w:rPr>
          <w:i/>
          <w:sz w:val="24"/>
          <w:szCs w:val="24"/>
        </w:rPr>
        <w:t xml:space="preserve">. dg.: </w:t>
      </w:r>
      <w:r w:rsidRPr="00920E0C">
        <w:rPr>
          <w:sz w:val="24"/>
          <w:szCs w:val="24"/>
        </w:rPr>
        <w:t>psychická zátěž, chronická bolest, deprese, inverze spánku, syndrom neklidných nohou.</w:t>
      </w:r>
    </w:p>
    <w:p w:rsidR="00B54037" w:rsidRDefault="00B54037" w:rsidP="00BD70ED">
      <w:pPr>
        <w:pStyle w:val="Zkladntext"/>
        <w:spacing w:after="0"/>
        <w:jc w:val="both"/>
        <w:rPr>
          <w:i/>
          <w:sz w:val="24"/>
          <w:szCs w:val="24"/>
        </w:rPr>
      </w:pPr>
    </w:p>
    <w:p w:rsidR="00B54037" w:rsidRDefault="00B54037" w:rsidP="00BD70ED">
      <w:pPr>
        <w:pStyle w:val="Zkladntext"/>
        <w:spacing w:after="0"/>
        <w:jc w:val="both"/>
        <w:rPr>
          <w:i/>
          <w:sz w:val="24"/>
          <w:szCs w:val="24"/>
        </w:rPr>
      </w:pPr>
    </w:p>
    <w:p w:rsidR="00B54037" w:rsidRPr="00B54037" w:rsidRDefault="00B54037" w:rsidP="00BD70ED">
      <w:pPr>
        <w:pStyle w:val="Zkladntext"/>
        <w:spacing w:after="0"/>
        <w:jc w:val="both"/>
        <w:rPr>
          <w:b/>
          <w:sz w:val="28"/>
          <w:szCs w:val="28"/>
        </w:rPr>
      </w:pPr>
      <w:r w:rsidRPr="00B54037">
        <w:rPr>
          <w:b/>
          <w:sz w:val="28"/>
          <w:szCs w:val="28"/>
        </w:rPr>
        <w:lastRenderedPageBreak/>
        <w:t>12.3 Léčba</w:t>
      </w:r>
    </w:p>
    <w:p w:rsidR="00B54037" w:rsidRDefault="00B54037" w:rsidP="00BD70ED">
      <w:pPr>
        <w:pStyle w:val="Zkladntext"/>
        <w:spacing w:after="0"/>
        <w:jc w:val="both"/>
        <w:rPr>
          <w:i/>
          <w:sz w:val="24"/>
          <w:szCs w:val="24"/>
        </w:rPr>
      </w:pPr>
    </w:p>
    <w:p w:rsidR="00BD70ED" w:rsidRPr="00920E0C" w:rsidRDefault="00B54037" w:rsidP="00BD70ED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BD70ED" w:rsidRPr="00920E0C">
        <w:rPr>
          <w:sz w:val="24"/>
          <w:szCs w:val="24"/>
        </w:rPr>
        <w:t>ako první jsou uplatňována opatření nefarmakologická, k medikamentóznímu ovlivnění nespavosti přistupujeme až při neúspěchu metod nefarmakologických. Výčet opatření navrhovaných seniorům ke zlepše</w:t>
      </w:r>
      <w:r w:rsidR="004501B4">
        <w:rPr>
          <w:sz w:val="24"/>
          <w:szCs w:val="24"/>
        </w:rPr>
        <w:t>ní spánku je vypsán v tabulce</w:t>
      </w:r>
      <w:r w:rsidR="00BD70ED" w:rsidRPr="00920E0C">
        <w:rPr>
          <w:sz w:val="24"/>
          <w:szCs w:val="24"/>
        </w:rPr>
        <w:t>.</w:t>
      </w:r>
    </w:p>
    <w:p w:rsidR="00BD70ED" w:rsidRPr="00920E0C" w:rsidRDefault="00BD70ED" w:rsidP="00BD70ED">
      <w:pPr>
        <w:pStyle w:val="Zkladntext"/>
        <w:spacing w:after="0"/>
        <w:jc w:val="both"/>
        <w:rPr>
          <w:sz w:val="24"/>
          <w:szCs w:val="24"/>
        </w:rPr>
      </w:pPr>
    </w:p>
    <w:p w:rsidR="00BD70ED" w:rsidRPr="00920E0C" w:rsidRDefault="00BD70ED" w:rsidP="00BD70ED">
      <w:pPr>
        <w:pStyle w:val="Zkladntext"/>
        <w:spacing w:after="0"/>
        <w:rPr>
          <w:sz w:val="22"/>
          <w:szCs w:val="22"/>
        </w:rPr>
      </w:pPr>
      <w:r w:rsidRPr="00920E0C">
        <w:rPr>
          <w:sz w:val="22"/>
          <w:szCs w:val="22"/>
        </w:rPr>
        <w:t xml:space="preserve"> Nefarmakologická opatření ke zlepšení usínání a spánku ve vyšším věku</w:t>
      </w:r>
    </w:p>
    <w:p w:rsidR="00BD70ED" w:rsidRPr="00920E0C" w:rsidRDefault="00BD70ED" w:rsidP="00BD70ED">
      <w:pPr>
        <w:pStyle w:val="Zkladntext"/>
        <w:rPr>
          <w:b/>
          <w:sz w:val="18"/>
          <w:szCs w:val="18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0" allowOverlap="0">
            <wp:simplePos x="0" y="0"/>
            <wp:positionH relativeFrom="margin">
              <wp:posOffset>-1462405</wp:posOffset>
            </wp:positionH>
            <wp:positionV relativeFrom="line">
              <wp:posOffset>39370</wp:posOffset>
            </wp:positionV>
            <wp:extent cx="450215" cy="441960"/>
            <wp:effectExtent l="0" t="0" r="698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954" w:type="dxa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3523"/>
      </w:tblGrid>
      <w:tr w:rsidR="00BD70ED" w:rsidRPr="00920E0C" w:rsidTr="00746990">
        <w:tc>
          <w:tcPr>
            <w:tcW w:w="2431" w:type="dxa"/>
          </w:tcPr>
          <w:p w:rsidR="00BD70ED" w:rsidRPr="00920E0C" w:rsidRDefault="00BD70ED" w:rsidP="00746990">
            <w:pPr>
              <w:pStyle w:val="Zkladntext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>Pravidelný denní rozvrh i pro spánek</w:t>
            </w:r>
          </w:p>
        </w:tc>
        <w:tc>
          <w:tcPr>
            <w:tcW w:w="3523" w:type="dxa"/>
          </w:tcPr>
          <w:p w:rsidR="00BD70ED" w:rsidRPr="00920E0C" w:rsidRDefault="00BD70ED" w:rsidP="00746990">
            <w:pPr>
              <w:pStyle w:val="Zkladntext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>Chodit spát a vstávat denně ve stejnou hodinu</w:t>
            </w:r>
          </w:p>
        </w:tc>
      </w:tr>
      <w:tr w:rsidR="00BD70ED" w:rsidRPr="00920E0C" w:rsidTr="00746990">
        <w:tc>
          <w:tcPr>
            <w:tcW w:w="2431" w:type="dxa"/>
          </w:tcPr>
          <w:p w:rsidR="00BD70ED" w:rsidRPr="00920E0C" w:rsidRDefault="00BD70ED" w:rsidP="00746990">
            <w:pPr>
              <w:pStyle w:val="Zkladntext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>Pravidelný program těsně před spaním</w:t>
            </w:r>
          </w:p>
        </w:tc>
        <w:tc>
          <w:tcPr>
            <w:tcW w:w="3523" w:type="dxa"/>
          </w:tcPr>
          <w:p w:rsidR="00BD70ED" w:rsidRPr="00920E0C" w:rsidRDefault="00BD70ED" w:rsidP="00746990">
            <w:pPr>
              <w:pStyle w:val="Zkladntext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>Denně provádět činnosti předcházející spánku (čištění zubů, umývání, natahování budíku) ve stejném pořadí</w:t>
            </w:r>
          </w:p>
        </w:tc>
      </w:tr>
      <w:tr w:rsidR="00BD70ED" w:rsidRPr="00920E0C" w:rsidTr="00746990">
        <w:tc>
          <w:tcPr>
            <w:tcW w:w="2431" w:type="dxa"/>
          </w:tcPr>
          <w:p w:rsidR="00BD70ED" w:rsidRPr="00920E0C" w:rsidRDefault="00BD70ED" w:rsidP="00746990">
            <w:pPr>
              <w:pStyle w:val="Zkladntext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>Vytvořit a udržet prostředí přiměřené pro spánek</w:t>
            </w:r>
          </w:p>
        </w:tc>
        <w:tc>
          <w:tcPr>
            <w:tcW w:w="3523" w:type="dxa"/>
          </w:tcPr>
          <w:p w:rsidR="00BD70ED" w:rsidRPr="00920E0C" w:rsidRDefault="00BD70ED" w:rsidP="00746990">
            <w:pPr>
              <w:pStyle w:val="Zkladntext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>Ložnice by měla být klidná, minimálně osvětlená, přiměřeně vytopená</w:t>
            </w:r>
          </w:p>
        </w:tc>
      </w:tr>
      <w:tr w:rsidR="00BD70ED" w:rsidRPr="00920E0C" w:rsidTr="00746990">
        <w:tc>
          <w:tcPr>
            <w:tcW w:w="2431" w:type="dxa"/>
          </w:tcPr>
          <w:p w:rsidR="00BD70ED" w:rsidRPr="00920E0C" w:rsidRDefault="00BD70ED" w:rsidP="00746990">
            <w:pPr>
              <w:pStyle w:val="Zkladntext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>Využívat lůžko jen pro spánek a sex</w:t>
            </w:r>
          </w:p>
        </w:tc>
        <w:tc>
          <w:tcPr>
            <w:tcW w:w="3523" w:type="dxa"/>
          </w:tcPr>
          <w:p w:rsidR="00BD70ED" w:rsidRPr="00920E0C" w:rsidRDefault="00BD70ED" w:rsidP="00746990">
            <w:pPr>
              <w:pStyle w:val="Zkladntext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>Pokud jsou na lůžku prováděny činnosti vyžadující pozornost, je nepříznivě ovlivněno usínání i hloubka spánku</w:t>
            </w:r>
          </w:p>
        </w:tc>
      </w:tr>
      <w:tr w:rsidR="00BD70ED" w:rsidRPr="00920E0C" w:rsidTr="00746990">
        <w:tc>
          <w:tcPr>
            <w:tcW w:w="2431" w:type="dxa"/>
          </w:tcPr>
          <w:p w:rsidR="00BD70ED" w:rsidRPr="00920E0C" w:rsidRDefault="00BD70ED" w:rsidP="00746990">
            <w:pPr>
              <w:pStyle w:val="Zkladntext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 xml:space="preserve">Vynechat před spaním látky negativně ovlivňující spánek. </w:t>
            </w:r>
          </w:p>
        </w:tc>
        <w:tc>
          <w:tcPr>
            <w:tcW w:w="3523" w:type="dxa"/>
          </w:tcPr>
          <w:p w:rsidR="00BD70ED" w:rsidRPr="00920E0C" w:rsidRDefault="00BD70ED" w:rsidP="00746990">
            <w:pPr>
              <w:pStyle w:val="Zkladntext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>Kofein, alkohol, psychoaktivní látky, těžší strava</w:t>
            </w:r>
          </w:p>
        </w:tc>
      </w:tr>
      <w:tr w:rsidR="00BD70ED" w:rsidRPr="00920E0C" w:rsidTr="00746990">
        <w:tc>
          <w:tcPr>
            <w:tcW w:w="2431" w:type="dxa"/>
          </w:tcPr>
          <w:p w:rsidR="00BD70ED" w:rsidRPr="00920E0C" w:rsidRDefault="00BD70ED" w:rsidP="00746990">
            <w:pPr>
              <w:pStyle w:val="Zkladntext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>Zařadit pohyb do každodenního režimu</w:t>
            </w:r>
          </w:p>
        </w:tc>
        <w:tc>
          <w:tcPr>
            <w:tcW w:w="3523" w:type="dxa"/>
          </w:tcPr>
          <w:p w:rsidR="00BD70ED" w:rsidRPr="00920E0C" w:rsidRDefault="00BD70ED" w:rsidP="00746990">
            <w:pPr>
              <w:pStyle w:val="Zkladntext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>Necvičit těsně před spaním – pohyb aktivuje kardiovaskulární a nervový systém a zhoršuje usínání</w:t>
            </w:r>
          </w:p>
        </w:tc>
      </w:tr>
      <w:tr w:rsidR="00BD70ED" w:rsidRPr="00920E0C" w:rsidTr="00746990">
        <w:tc>
          <w:tcPr>
            <w:tcW w:w="2431" w:type="dxa"/>
          </w:tcPr>
          <w:p w:rsidR="00BD70ED" w:rsidRPr="00920E0C" w:rsidRDefault="00BD70ED" w:rsidP="00746990">
            <w:pPr>
              <w:pStyle w:val="Zkladntext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>Snaha o relaxaci před usnutím</w:t>
            </w:r>
          </w:p>
        </w:tc>
        <w:tc>
          <w:tcPr>
            <w:tcW w:w="3523" w:type="dxa"/>
          </w:tcPr>
          <w:p w:rsidR="00BD70ED" w:rsidRPr="00920E0C" w:rsidRDefault="00BD70ED" w:rsidP="00746990">
            <w:pPr>
              <w:pStyle w:val="Zkladntext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>Čtení, teplá koupel, „ponechat starosti před dveřmi ložnice“</w:t>
            </w:r>
          </w:p>
        </w:tc>
      </w:tr>
      <w:tr w:rsidR="00BD70ED" w:rsidRPr="00920E0C" w:rsidTr="00746990">
        <w:tc>
          <w:tcPr>
            <w:tcW w:w="2431" w:type="dxa"/>
          </w:tcPr>
          <w:p w:rsidR="00BD70ED" w:rsidRPr="00920E0C" w:rsidRDefault="00BD70ED" w:rsidP="00746990">
            <w:pPr>
              <w:pStyle w:val="Zkladntext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>Neusínat během dne</w:t>
            </w:r>
          </w:p>
        </w:tc>
        <w:tc>
          <w:tcPr>
            <w:tcW w:w="3523" w:type="dxa"/>
          </w:tcPr>
          <w:p w:rsidR="00BD70ED" w:rsidRPr="00920E0C" w:rsidRDefault="00BD70ED" w:rsidP="00746990">
            <w:pPr>
              <w:pStyle w:val="Zkladntext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>Snižuje pocit ospalosti večer</w:t>
            </w:r>
          </w:p>
        </w:tc>
      </w:tr>
      <w:tr w:rsidR="00BD70ED" w:rsidRPr="00920E0C" w:rsidTr="00746990">
        <w:tc>
          <w:tcPr>
            <w:tcW w:w="2431" w:type="dxa"/>
          </w:tcPr>
          <w:p w:rsidR="00BD70ED" w:rsidRPr="00920E0C" w:rsidRDefault="00BD70ED" w:rsidP="00746990">
            <w:pPr>
              <w:pStyle w:val="Zkladntext"/>
              <w:spacing w:after="0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 xml:space="preserve">Neuléhat příliš brzy, pokud se </w:t>
            </w:r>
            <w:proofErr w:type="gramStart"/>
            <w:r w:rsidRPr="00920E0C">
              <w:rPr>
                <w:b/>
                <w:sz w:val="18"/>
                <w:szCs w:val="18"/>
              </w:rPr>
              <w:t>spánek</w:t>
            </w:r>
            <w:proofErr w:type="gramEnd"/>
          </w:p>
          <w:p w:rsidR="00BD70ED" w:rsidRPr="00920E0C" w:rsidRDefault="00BD70ED" w:rsidP="00746990">
            <w:pPr>
              <w:pStyle w:val="Zkladntext"/>
              <w:spacing w:after="0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>nedostaví do 30 minut po ulehnutí, opustit lůžko.</w:t>
            </w:r>
          </w:p>
        </w:tc>
        <w:tc>
          <w:tcPr>
            <w:tcW w:w="3523" w:type="dxa"/>
          </w:tcPr>
          <w:p w:rsidR="00BD70ED" w:rsidRPr="00920E0C" w:rsidRDefault="00BD70ED" w:rsidP="00746990">
            <w:pPr>
              <w:pStyle w:val="Zkladntext"/>
              <w:rPr>
                <w:b/>
                <w:sz w:val="18"/>
                <w:szCs w:val="18"/>
              </w:rPr>
            </w:pPr>
            <w:r w:rsidRPr="00920E0C">
              <w:rPr>
                <w:b/>
                <w:sz w:val="18"/>
                <w:szCs w:val="18"/>
              </w:rPr>
              <w:t>Dlouhá doba bdělého stavu na lůžku spíše aktivizuje.</w:t>
            </w:r>
          </w:p>
        </w:tc>
      </w:tr>
    </w:tbl>
    <w:p w:rsidR="00BD70ED" w:rsidRPr="00920E0C" w:rsidRDefault="00BD70ED" w:rsidP="00BD70ED">
      <w:pPr>
        <w:pStyle w:val="Zkladntext"/>
        <w:spacing w:after="0"/>
        <w:rPr>
          <w:b/>
        </w:rPr>
      </w:pPr>
      <w:r w:rsidRPr="00920E0C">
        <w:rPr>
          <w:b/>
        </w:rPr>
        <w:t xml:space="preserve">                                                                    </w:t>
      </w:r>
    </w:p>
    <w:p w:rsidR="00BD70ED" w:rsidRPr="00A01770" w:rsidRDefault="00BD70ED" w:rsidP="00BD70ED">
      <w:pPr>
        <w:pStyle w:val="Zkladntext"/>
        <w:spacing w:after="0"/>
        <w:jc w:val="both"/>
        <w:rPr>
          <w:sz w:val="24"/>
          <w:szCs w:val="24"/>
        </w:rPr>
      </w:pPr>
      <w:r w:rsidRPr="00920E0C">
        <w:rPr>
          <w:sz w:val="24"/>
          <w:szCs w:val="24"/>
        </w:rPr>
        <w:t xml:space="preserve">Farmakologická terapie - v současné době jsou pro léčbu nespavosti u seniorů doporučována benzodiazepinová hypnotika, protože jejich nežádoucí účinky jsou </w:t>
      </w:r>
      <w:proofErr w:type="spellStart"/>
      <w:r w:rsidRPr="00920E0C">
        <w:rPr>
          <w:sz w:val="24"/>
          <w:szCs w:val="24"/>
        </w:rPr>
        <w:t>předpovídatelné</w:t>
      </w:r>
      <w:proofErr w:type="spellEnd"/>
      <w:r w:rsidRPr="00920E0C">
        <w:rPr>
          <w:sz w:val="24"/>
          <w:szCs w:val="24"/>
        </w:rPr>
        <w:t xml:space="preserve"> a závislé na dávkování - nitrazepam, flurazepam, temazepam. Obecně oblíbený </w:t>
      </w:r>
      <w:proofErr w:type="spellStart"/>
      <w:r w:rsidRPr="00920E0C">
        <w:rPr>
          <w:sz w:val="24"/>
          <w:szCs w:val="24"/>
        </w:rPr>
        <w:t>flunitrazepam</w:t>
      </w:r>
      <w:proofErr w:type="spellEnd"/>
      <w:r w:rsidRPr="00920E0C">
        <w:rPr>
          <w:sz w:val="24"/>
          <w:szCs w:val="24"/>
        </w:rPr>
        <w:t xml:space="preserve"> by starším nemocným neměl být podáván. Benzodiazepiny by měly být podávány krátkodobě a jejich vysazení by mělo být postupné pro možný </w:t>
      </w:r>
      <w:proofErr w:type="spellStart"/>
      <w:r w:rsidRPr="00920E0C">
        <w:rPr>
          <w:sz w:val="24"/>
          <w:szCs w:val="24"/>
        </w:rPr>
        <w:t>rebound</w:t>
      </w:r>
      <w:proofErr w:type="spellEnd"/>
      <w:r w:rsidRPr="00920E0C">
        <w:rPr>
          <w:sz w:val="24"/>
          <w:szCs w:val="24"/>
        </w:rPr>
        <w:t xml:space="preserve"> </w:t>
      </w:r>
      <w:proofErr w:type="spellStart"/>
      <w:r w:rsidRPr="00920E0C">
        <w:rPr>
          <w:sz w:val="24"/>
          <w:szCs w:val="24"/>
        </w:rPr>
        <w:t>fenomen</w:t>
      </w:r>
      <w:proofErr w:type="spellEnd"/>
      <w:r w:rsidRPr="00920E0C">
        <w:rPr>
          <w:sz w:val="24"/>
          <w:szCs w:val="24"/>
        </w:rPr>
        <w:t xml:space="preserve">. Z nebenzodiazepinových hypnotik lze předepsat pro starší nemocné </w:t>
      </w:r>
      <w:proofErr w:type="spellStart"/>
      <w:r w:rsidRPr="00920E0C">
        <w:rPr>
          <w:sz w:val="24"/>
          <w:szCs w:val="24"/>
        </w:rPr>
        <w:t>zopiclon</w:t>
      </w:r>
      <w:proofErr w:type="spellEnd"/>
      <w:r w:rsidRPr="00920E0C">
        <w:rPr>
          <w:sz w:val="24"/>
          <w:szCs w:val="24"/>
        </w:rPr>
        <w:t xml:space="preserve">, </w:t>
      </w:r>
      <w:proofErr w:type="spellStart"/>
      <w:r w:rsidRPr="00920E0C">
        <w:rPr>
          <w:sz w:val="24"/>
          <w:szCs w:val="24"/>
        </w:rPr>
        <w:t>zolpidem</w:t>
      </w:r>
      <w:proofErr w:type="spellEnd"/>
      <w:r w:rsidRPr="00920E0C">
        <w:rPr>
          <w:sz w:val="24"/>
          <w:szCs w:val="24"/>
        </w:rPr>
        <w:t xml:space="preserve"> – látky ovlivňující GABA receptory s menší návykovostí a nižším ovlivněním kognitivních funkcí. Obecně by měla být upřednostňována hypnotika s krátkým až středním poločasem vzhledem k omezené vylučovací funkci jater a ledvin ve vyšším věku a také s </w:t>
      </w:r>
      <w:proofErr w:type="gramStart"/>
      <w:r w:rsidRPr="00920E0C">
        <w:rPr>
          <w:sz w:val="24"/>
          <w:szCs w:val="24"/>
        </w:rPr>
        <w:t>ohledem  na</w:t>
      </w:r>
      <w:proofErr w:type="gramEnd"/>
      <w:r w:rsidRPr="00920E0C">
        <w:rPr>
          <w:sz w:val="24"/>
          <w:szCs w:val="24"/>
        </w:rPr>
        <w:t xml:space="preserve"> požadavek rychlosti probuzení a kvality vědomí po probuzení – je prokázáno, že s</w:t>
      </w:r>
      <w:r w:rsidRPr="00A01770">
        <w:rPr>
          <w:sz w:val="24"/>
          <w:szCs w:val="24"/>
        </w:rPr>
        <w:t xml:space="preserve">enioři nad 65 let užívající dlouhodobě působící hypnotika mají dvojnásobnou pravděpodobnost zlomeniny krčku kosti stehenní. Z dalších skupin je možno využít neuroleptik při snaze o současné ovlivnění nočních poruch chování </w:t>
      </w:r>
      <w:r>
        <w:rPr>
          <w:sz w:val="24"/>
          <w:szCs w:val="24"/>
        </w:rPr>
        <w:t xml:space="preserve">a dále antidepresiva </w:t>
      </w:r>
      <w:r w:rsidRPr="00A01770">
        <w:rPr>
          <w:sz w:val="24"/>
          <w:szCs w:val="24"/>
        </w:rPr>
        <w:t>u nemocných, kde podkladem insomnie je depresivní složka.</w:t>
      </w:r>
    </w:p>
    <w:p w:rsidR="003674F9" w:rsidRDefault="003674F9"/>
    <w:p w:rsidR="00624685" w:rsidRDefault="00624685" w:rsidP="003C56F2">
      <w:pPr>
        <w:jc w:val="right"/>
      </w:pPr>
    </w:p>
    <w:p w:rsidR="004501B4" w:rsidRDefault="00B54037" w:rsidP="003C5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542088A" wp14:editId="014E8B66">
            <wp:simplePos x="0" y="0"/>
            <wp:positionH relativeFrom="column">
              <wp:posOffset>5339715</wp:posOffset>
            </wp:positionH>
            <wp:positionV relativeFrom="paragraph">
              <wp:posOffset>29210</wp:posOffset>
            </wp:positionV>
            <wp:extent cx="489585" cy="483870"/>
            <wp:effectExtent l="114300" t="114300" r="120015" b="106680"/>
            <wp:wrapTight wrapText="bothSides">
              <wp:wrapPolygon edited="0">
                <wp:start x="-3362" y="-5102"/>
                <wp:lineTo x="-5043" y="-3402"/>
                <wp:lineTo x="-5043" y="19559"/>
                <wp:lineTo x="-3362" y="25512"/>
                <wp:lineTo x="24374" y="25512"/>
                <wp:lineTo x="24374" y="23811"/>
                <wp:lineTo x="26054" y="11055"/>
                <wp:lineTo x="26054" y="10205"/>
                <wp:lineTo x="24374" y="-2551"/>
                <wp:lineTo x="24374" y="-5102"/>
                <wp:lineTo x="-3362" y="-5102"/>
              </wp:wrapPolygon>
            </wp:wrapTight>
            <wp:docPr id="7" name="Obrázek 7" descr="C:\Users\Hana\Documents\NAP\e-learning\su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sum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1B4">
        <w:rPr>
          <w:b/>
          <w:sz w:val="28"/>
        </w:rPr>
        <w:t>Shrnutí kapitoly</w:t>
      </w:r>
      <w:r w:rsidR="003C56F2">
        <w:rPr>
          <w:b/>
          <w:sz w:val="28"/>
        </w:rPr>
        <w:t xml:space="preserve">                                                                                     </w:t>
      </w:r>
    </w:p>
    <w:p w:rsidR="004501B4" w:rsidRPr="003C56F2" w:rsidRDefault="004501B4" w:rsidP="003C5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3C56F2">
        <w:rPr>
          <w:color w:val="FF0000"/>
        </w:rPr>
        <w:t xml:space="preserve">nespavost je vždy nutno považovat za symptom a snažit se vypátrat její příčinu. Akutní nespavost má obvykle příčinu odhalitelnou v časové návaznosti na vznik nespavosti, chronická insomnie obvykle doprovází souběh více možných příčin. Příčina nespavosti obvykle ovlivňuje i její symptomatologii a časové souvislosti – obtížné </w:t>
      </w:r>
      <w:bookmarkStart w:id="2" w:name="_GoBack"/>
      <w:bookmarkEnd w:id="2"/>
      <w:r w:rsidRPr="003C56F2">
        <w:rPr>
          <w:color w:val="FF0000"/>
        </w:rPr>
        <w:lastRenderedPageBreak/>
        <w:t>usínání, probouzení během noci, časné probouzení. Nespavost zvláště charakteru časného probouzení může být příznakem deprese. Diagnostika nespavosti je obvykle vylučovací metodou.</w:t>
      </w:r>
    </w:p>
    <w:p w:rsidR="004501B4" w:rsidRPr="003C56F2" w:rsidRDefault="004501B4" w:rsidP="003C5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8"/>
        </w:rPr>
      </w:pPr>
      <w:r w:rsidRPr="003C56F2">
        <w:rPr>
          <w:color w:val="FF0000"/>
        </w:rPr>
        <w:t>Pro léčbu nespavosti je nutno uplatnit nejprve nefarmakologická opatření a teprve při jejich neúspěchu podáváme léčbu farmakologickou. Při jejím dlouhodobém podávání je nutno mít mna paměti rizika – tedy zhoršení kognitivních funkcí, riziko závratí a pádů, častější výskyt delirantních stavů.</w:t>
      </w:r>
    </w:p>
    <w:p w:rsidR="004501B4" w:rsidRDefault="008E2170">
      <w:pPr>
        <w:rPr>
          <w:b/>
          <w:sz w:val="28"/>
          <w:szCs w:val="20"/>
        </w:rPr>
      </w:pPr>
      <w:r w:rsidRPr="008E2170">
        <w:rPr>
          <w:b/>
          <w:sz w:val="28"/>
          <w:szCs w:val="28"/>
        </w:rPr>
        <w:t xml:space="preserve">Otázky a úkoly   </w:t>
      </w:r>
      <w:r>
        <w:rPr>
          <w:b/>
          <w:sz w:val="28"/>
          <w:szCs w:val="20"/>
        </w:rPr>
        <w:t xml:space="preserve">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24825965" wp14:editId="37AC4192">
            <wp:extent cx="475488" cy="475488"/>
            <wp:effectExtent l="114300" t="114300" r="115570" b="115570"/>
            <wp:docPr id="6" name="Obrázek 6" descr="C:\Users\Hana\Documents\NAP\e-learning\otazní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otazník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3" cy="47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b/>
          <w:sz w:val="28"/>
          <w:szCs w:val="20"/>
        </w:rPr>
        <w:t xml:space="preserve"> </w:t>
      </w:r>
    </w:p>
    <w:p w:rsidR="008E2170" w:rsidRPr="008E2170" w:rsidRDefault="008E2170">
      <w:p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</w:t>
      </w:r>
      <w:r w:rsidRPr="008E2170">
        <w:rPr>
          <w:b/>
          <w:sz w:val="28"/>
          <w:szCs w:val="20"/>
        </w:rPr>
        <w:t xml:space="preserve">                                                                                                                                      </w:t>
      </w:r>
    </w:p>
    <w:p w:rsidR="008E2170" w:rsidRPr="008E2170" w:rsidRDefault="008E2170" w:rsidP="004501B4">
      <w:pPr>
        <w:pStyle w:val="Nadpis2"/>
        <w:ind w:left="778"/>
        <w:rPr>
          <w:b w:val="0"/>
          <w:sz w:val="24"/>
          <w:szCs w:val="24"/>
        </w:rPr>
      </w:pPr>
      <w:r w:rsidRPr="008E2170">
        <w:rPr>
          <w:b w:val="0"/>
          <w:sz w:val="24"/>
          <w:szCs w:val="24"/>
        </w:rPr>
        <w:t>c</w:t>
      </w:r>
      <w:r w:rsidR="004501B4">
        <w:rPr>
          <w:b w:val="0"/>
          <w:sz w:val="24"/>
          <w:szCs w:val="24"/>
        </w:rPr>
        <w:t>harakterizujte</w:t>
      </w:r>
      <w:r w:rsidRPr="008E2170">
        <w:rPr>
          <w:b w:val="0"/>
          <w:sz w:val="24"/>
          <w:szCs w:val="24"/>
        </w:rPr>
        <w:t xml:space="preserve"> základní fáze spánku</w:t>
      </w:r>
    </w:p>
    <w:p w:rsidR="008E2170" w:rsidRPr="008E2170" w:rsidRDefault="008E2170" w:rsidP="004501B4">
      <w:pPr>
        <w:pStyle w:val="Odstavecseseznamem"/>
        <w:ind w:left="778"/>
      </w:pPr>
      <w:r>
        <w:t>vyjmen</w:t>
      </w:r>
      <w:r w:rsidR="004501B4">
        <w:t>ujte</w:t>
      </w:r>
      <w:r>
        <w:t xml:space="preserve"> rozdíly mezi spánkem ve starším věku a v mladším věku</w:t>
      </w:r>
    </w:p>
    <w:p w:rsidR="008E2170" w:rsidRDefault="008E2170" w:rsidP="004501B4">
      <w:pPr>
        <w:pStyle w:val="Odstavecseseznamem"/>
        <w:ind w:left="778"/>
      </w:pPr>
      <w:r>
        <w:t>defin</w:t>
      </w:r>
      <w:r w:rsidR="004501B4">
        <w:t>ujte</w:t>
      </w:r>
      <w:r>
        <w:t xml:space="preserve"> insomnii a charakterizovat její nejčastější příčiny</w:t>
      </w:r>
    </w:p>
    <w:p w:rsidR="008E2170" w:rsidRDefault="008E2170" w:rsidP="004501B4">
      <w:pPr>
        <w:pStyle w:val="Odstavecseseznamem"/>
        <w:ind w:left="778"/>
      </w:pPr>
      <w:r>
        <w:t>nast</w:t>
      </w:r>
      <w:r w:rsidR="004501B4">
        <w:t>iňte</w:t>
      </w:r>
      <w:r>
        <w:t xml:space="preserve"> rozdíl mezi akutní a chronickou nespavostí</w:t>
      </w:r>
    </w:p>
    <w:p w:rsidR="008E2170" w:rsidRDefault="008E2170" w:rsidP="004501B4">
      <w:pPr>
        <w:pStyle w:val="Odstavecseseznamem"/>
        <w:ind w:left="778"/>
      </w:pPr>
      <w:r>
        <w:t>vyjmen</w:t>
      </w:r>
      <w:r w:rsidR="004501B4">
        <w:t>ujte</w:t>
      </w:r>
      <w:r>
        <w:t xml:space="preserve"> základní nefarmakologická opatření pro řešení insomnie</w:t>
      </w:r>
    </w:p>
    <w:p w:rsidR="00350D60" w:rsidRDefault="008E2170" w:rsidP="004501B4">
      <w:pPr>
        <w:pStyle w:val="Odstavecseseznamem"/>
        <w:ind w:left="778"/>
      </w:pPr>
      <w:r>
        <w:t>pojedn</w:t>
      </w:r>
      <w:r w:rsidR="004501B4">
        <w:t>ejte</w:t>
      </w:r>
      <w:r>
        <w:t xml:space="preserve"> o rizicích podávání hypnotik ve stáří</w:t>
      </w:r>
      <w:r w:rsidRPr="008E2170">
        <w:t xml:space="preserve">          </w:t>
      </w:r>
    </w:p>
    <w:p w:rsidR="00350D60" w:rsidRDefault="00350D60" w:rsidP="00350D60"/>
    <w:p w:rsidR="00350D60" w:rsidRDefault="00350D60" w:rsidP="00350D60">
      <w:r>
        <w:t>Doporučená literatura:</w:t>
      </w:r>
    </w:p>
    <w:p w:rsidR="00350D60" w:rsidRPr="00C2261C" w:rsidRDefault="00350D60" w:rsidP="00350D60">
      <w:pPr>
        <w:pStyle w:val="Zkladntextodsazen"/>
        <w:spacing w:after="0"/>
        <w:ind w:left="0"/>
        <w:jc w:val="both"/>
      </w:pPr>
      <w:r w:rsidRPr="00C2261C">
        <w:t xml:space="preserve">           Topinková E. Geriatrie pro praxi. </w:t>
      </w:r>
      <w:proofErr w:type="spellStart"/>
      <w:r w:rsidRPr="00C2261C">
        <w:t>Galén</w:t>
      </w:r>
      <w:proofErr w:type="spellEnd"/>
      <w:r w:rsidRPr="00C2261C">
        <w:t xml:space="preserve"> 2005</w:t>
      </w:r>
    </w:p>
    <w:p w:rsidR="00350D60" w:rsidRPr="00C2261C" w:rsidRDefault="00350D60" w:rsidP="00350D60">
      <w:pPr>
        <w:pStyle w:val="Zkladntextodsazen"/>
        <w:spacing w:after="0"/>
        <w:jc w:val="both"/>
      </w:pPr>
      <w:r w:rsidRPr="00C2261C">
        <w:t xml:space="preserve">       </w:t>
      </w:r>
      <w:proofErr w:type="spellStart"/>
      <w:r w:rsidRPr="00C2261C">
        <w:t>Kalvach</w:t>
      </w:r>
      <w:proofErr w:type="spellEnd"/>
      <w:r w:rsidRPr="00C2261C">
        <w:t xml:space="preserve"> Z et al. Geriatrie a Gerontologie. </w:t>
      </w:r>
      <w:proofErr w:type="spellStart"/>
      <w:r w:rsidRPr="00C2261C">
        <w:t>Grada</w:t>
      </w:r>
      <w:proofErr w:type="spellEnd"/>
      <w:r w:rsidRPr="00C2261C">
        <w:t xml:space="preserve"> Avicenum 2004.</w:t>
      </w:r>
    </w:p>
    <w:p w:rsidR="00624685" w:rsidRDefault="008E2170">
      <w:r>
        <w:t xml:space="preserve">                                                                                                                                  </w:t>
      </w:r>
    </w:p>
    <w:sectPr w:rsidR="0062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449BC"/>
    <w:multiLevelType w:val="hybridMultilevel"/>
    <w:tmpl w:val="057E145E"/>
    <w:lvl w:ilvl="0" w:tplc="E736A84C">
      <w:start w:val="1"/>
      <w:numFmt w:val="bullet"/>
      <w:lvlText w:val="□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ED"/>
    <w:rsid w:val="00350D60"/>
    <w:rsid w:val="003674F9"/>
    <w:rsid w:val="003C56F2"/>
    <w:rsid w:val="003F1E61"/>
    <w:rsid w:val="004057F4"/>
    <w:rsid w:val="004501B4"/>
    <w:rsid w:val="00496948"/>
    <w:rsid w:val="00624685"/>
    <w:rsid w:val="00832560"/>
    <w:rsid w:val="008E2170"/>
    <w:rsid w:val="00934A06"/>
    <w:rsid w:val="00B54037"/>
    <w:rsid w:val="00BD70ED"/>
    <w:rsid w:val="00E6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D70ED"/>
    <w:pPr>
      <w:keepNext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BD70ED"/>
    <w:pPr>
      <w:keepNext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D70E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D70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D70ED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BD70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0E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E217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350D6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50D6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D70ED"/>
    <w:pPr>
      <w:keepNext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BD70ED"/>
    <w:pPr>
      <w:keepNext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D70E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D70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D70ED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BD70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0E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E217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350D6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50D6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1226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9</cp:revision>
  <dcterms:created xsi:type="dcterms:W3CDTF">2014-10-19T05:55:00Z</dcterms:created>
  <dcterms:modified xsi:type="dcterms:W3CDTF">2014-12-18T11:42:00Z</dcterms:modified>
</cp:coreProperties>
</file>