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D92910" w:rsidRDefault="004732B5">
      <w:pPr>
        <w:ind w:left="-570"/>
        <w:rPr>
          <w:b/>
          <w:sz w:val="34"/>
          <w:szCs w:val="34"/>
        </w:rPr>
      </w:pPr>
      <w:r>
        <w:rPr>
          <w:b/>
          <w:sz w:val="34"/>
          <w:szCs w:val="34"/>
        </w:rPr>
        <w:t>Colloquium test for DSMGT01 Modern Genomic Technologies (spring 2021)</w:t>
      </w:r>
    </w:p>
    <w:p w14:paraId="00000002" w14:textId="77777777" w:rsidR="00D92910" w:rsidRDefault="00D92910">
      <w:pPr>
        <w:ind w:left="-570"/>
      </w:pPr>
    </w:p>
    <w:p w14:paraId="00000003" w14:textId="77777777" w:rsidR="00D92910" w:rsidRDefault="00D92910">
      <w:pPr>
        <w:ind w:left="-570"/>
      </w:pPr>
    </w:p>
    <w:p w14:paraId="00000004" w14:textId="77777777" w:rsidR="00D92910" w:rsidRDefault="004732B5">
      <w:pPr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Questions for the after-alignment </w:t>
      </w:r>
      <w:proofErr w:type="spellStart"/>
      <w:r>
        <w:rPr>
          <w:b/>
          <w:sz w:val="24"/>
          <w:szCs w:val="24"/>
        </w:rPr>
        <w:t>multiQC</w:t>
      </w:r>
      <w:proofErr w:type="spellEnd"/>
      <w:r>
        <w:rPr>
          <w:b/>
          <w:sz w:val="24"/>
          <w:szCs w:val="24"/>
        </w:rPr>
        <w:t xml:space="preserve"> report (Alignment_MultiQC_Report.html):</w:t>
      </w:r>
      <w:r>
        <w:rPr>
          <w:b/>
          <w:sz w:val="24"/>
          <w:szCs w:val="24"/>
        </w:rPr>
        <w:br/>
      </w:r>
    </w:p>
    <w:p w14:paraId="00000005" w14:textId="4399CAFD" w:rsidR="00D92910" w:rsidRDefault="008968C9">
      <w:pPr>
        <w:numPr>
          <w:ilvl w:val="1"/>
          <w:numId w:val="1"/>
        </w:numPr>
        <w:ind w:left="-141" w:firstLine="0"/>
      </w:pPr>
      <w:r>
        <w:t xml:space="preserve">  </w:t>
      </w:r>
      <w:r w:rsidR="004732B5">
        <w:t>How many samples were in the library?</w:t>
      </w:r>
    </w:p>
    <w:p w14:paraId="00000006" w14:textId="77777777" w:rsidR="00D92910" w:rsidRDefault="00D92910">
      <w:pPr>
        <w:ind w:left="-141"/>
      </w:pPr>
    </w:p>
    <w:p w14:paraId="00000007" w14:textId="77777777" w:rsidR="00D92910" w:rsidRDefault="00D92910">
      <w:pPr>
        <w:ind w:left="-141"/>
      </w:pPr>
    </w:p>
    <w:p w14:paraId="00000008" w14:textId="77777777" w:rsidR="00D92910" w:rsidRDefault="00D92910">
      <w:pPr>
        <w:ind w:left="-141"/>
      </w:pPr>
    </w:p>
    <w:p w14:paraId="00000009" w14:textId="0DADF3B1" w:rsidR="00D92910" w:rsidRDefault="008968C9">
      <w:pPr>
        <w:numPr>
          <w:ilvl w:val="1"/>
          <w:numId w:val="1"/>
        </w:numPr>
        <w:ind w:left="-141" w:firstLine="0"/>
      </w:pPr>
      <w:r>
        <w:t xml:space="preserve">  </w:t>
      </w:r>
      <w:r w:rsidR="004732B5">
        <w:t>Was the sequencing paired-end or single-end?</w:t>
      </w:r>
    </w:p>
    <w:p w14:paraId="0000000A" w14:textId="77777777" w:rsidR="00D92910" w:rsidRDefault="00D92910">
      <w:pPr>
        <w:ind w:left="-141"/>
      </w:pPr>
    </w:p>
    <w:p w14:paraId="0000000B" w14:textId="77777777" w:rsidR="00D92910" w:rsidRDefault="00D92910">
      <w:pPr>
        <w:ind w:left="-141"/>
      </w:pPr>
    </w:p>
    <w:p w14:paraId="0000000C" w14:textId="77777777" w:rsidR="00D92910" w:rsidRDefault="00D92910">
      <w:pPr>
        <w:ind w:left="-141"/>
      </w:pPr>
    </w:p>
    <w:p w14:paraId="1A84EB1A" w14:textId="47B1F98A" w:rsidR="008968C9" w:rsidRDefault="008968C9" w:rsidP="008968C9">
      <w:pPr>
        <w:numPr>
          <w:ilvl w:val="1"/>
          <w:numId w:val="1"/>
        </w:numPr>
        <w:ind w:left="-141" w:firstLine="0"/>
      </w:pPr>
      <w:r>
        <w:t xml:space="preserve">  </w:t>
      </w:r>
      <w:r>
        <w:t>What type of the library is it for?</w:t>
      </w:r>
    </w:p>
    <w:p w14:paraId="783C039B" w14:textId="77777777" w:rsidR="008968C9" w:rsidRDefault="008968C9" w:rsidP="008968C9">
      <w:r>
        <w:t>a.)  RNA-seq</w:t>
      </w:r>
    </w:p>
    <w:p w14:paraId="3163563C" w14:textId="77777777" w:rsidR="008968C9" w:rsidRDefault="008968C9" w:rsidP="008968C9">
      <w:r>
        <w:t>b.)  Chip-seq</w:t>
      </w:r>
    </w:p>
    <w:p w14:paraId="4AEFF843" w14:textId="77777777" w:rsidR="008968C9" w:rsidRDefault="008968C9" w:rsidP="008968C9">
      <w:r>
        <w:t>c.)  whole genome DNA</w:t>
      </w:r>
    </w:p>
    <w:p w14:paraId="73141294" w14:textId="7E0D3209" w:rsidR="008968C9" w:rsidRDefault="008968C9" w:rsidP="008968C9">
      <w:r>
        <w:t>d.)  whole exome DNA</w:t>
      </w:r>
    </w:p>
    <w:p w14:paraId="5B457336" w14:textId="77777777" w:rsidR="008968C9" w:rsidRDefault="008968C9" w:rsidP="008968C9"/>
    <w:p w14:paraId="0A0CB3FC" w14:textId="186C0930" w:rsidR="008968C9" w:rsidRDefault="008968C9" w:rsidP="008968C9">
      <w:pPr>
        <w:numPr>
          <w:ilvl w:val="1"/>
          <w:numId w:val="1"/>
        </w:numPr>
        <w:ind w:left="-141" w:firstLine="0"/>
      </w:pPr>
      <w:r>
        <w:t xml:space="preserve">  </w:t>
      </w:r>
      <w:r>
        <w:t>Are they human samples? If so, what are the sexes of individual samples?</w:t>
      </w:r>
      <w:r>
        <w:br/>
      </w:r>
      <w:r>
        <w:br/>
      </w:r>
      <w:r>
        <w:br/>
      </w:r>
    </w:p>
    <w:p w14:paraId="3610B8DF" w14:textId="03A92559" w:rsidR="008968C9" w:rsidRDefault="008968C9" w:rsidP="008968C9">
      <w:pPr>
        <w:numPr>
          <w:ilvl w:val="1"/>
          <w:numId w:val="1"/>
        </w:numPr>
        <w:ind w:left="-141" w:firstLine="0"/>
      </w:pPr>
      <w:r>
        <w:t xml:space="preserve">  </w:t>
      </w:r>
      <w:r>
        <w:t>Which sample have the best coverage?</w:t>
      </w:r>
      <w:r>
        <w:br/>
      </w:r>
      <w:r>
        <w:br/>
      </w:r>
      <w:r>
        <w:br/>
      </w:r>
    </w:p>
    <w:p w14:paraId="16F8BA2D" w14:textId="19E2F017" w:rsidR="008968C9" w:rsidRDefault="008968C9" w:rsidP="008968C9">
      <w:pPr>
        <w:numPr>
          <w:ilvl w:val="1"/>
          <w:numId w:val="1"/>
        </w:numPr>
        <w:ind w:left="-141" w:firstLine="0"/>
      </w:pPr>
      <w:r>
        <w:t xml:space="preserve">  If </w:t>
      </w:r>
      <w:r>
        <w:t>the region of interest is 45326818 bp how many bp is covered by at least 60 reads in the best covered sample?</w:t>
      </w:r>
      <w:r>
        <w:br/>
      </w:r>
      <w:r>
        <w:br/>
      </w:r>
      <w:r>
        <w:br/>
      </w:r>
    </w:p>
    <w:p w14:paraId="61E15F43" w14:textId="45005160" w:rsidR="008968C9" w:rsidRDefault="008968C9" w:rsidP="008968C9">
      <w:pPr>
        <w:numPr>
          <w:ilvl w:val="1"/>
          <w:numId w:val="1"/>
        </w:numPr>
        <w:ind w:left="-141" w:firstLine="0"/>
      </w:pPr>
      <w:r>
        <w:t xml:space="preserve">  What </w:t>
      </w:r>
      <w:r>
        <w:t>is the approximate median distance in bp between paired reads in the best covered sample?</w:t>
      </w:r>
      <w:r>
        <w:br/>
      </w:r>
      <w:r>
        <w:br/>
      </w:r>
      <w:r>
        <w:br/>
      </w:r>
    </w:p>
    <w:p w14:paraId="0000001C" w14:textId="79A0A41D" w:rsidR="00D92910" w:rsidRDefault="008968C9" w:rsidP="008968C9">
      <w:pPr>
        <w:numPr>
          <w:ilvl w:val="1"/>
          <w:numId w:val="1"/>
        </w:numPr>
        <w:ind w:left="-141" w:firstLine="0"/>
      </w:pPr>
      <w:r>
        <w:t xml:space="preserve">  </w:t>
      </w:r>
      <w:r w:rsidR="004732B5">
        <w:t xml:space="preserve">Why is unique percentage of </w:t>
      </w:r>
      <w:r w:rsidR="004732B5" w:rsidRPr="008968C9">
        <w:rPr>
          <w:b/>
        </w:rPr>
        <w:t>Picard: Deduplication Stats</w:t>
      </w:r>
      <w:r w:rsidR="004732B5">
        <w:t xml:space="preserve"> higher (~95%) then in the </w:t>
      </w:r>
      <w:proofErr w:type="spellStart"/>
      <w:r w:rsidR="004732B5" w:rsidRPr="008968C9">
        <w:rPr>
          <w:b/>
        </w:rPr>
        <w:t>FastQC</w:t>
      </w:r>
      <w:proofErr w:type="spellEnd"/>
      <w:r w:rsidR="004732B5" w:rsidRPr="008968C9">
        <w:rPr>
          <w:b/>
        </w:rPr>
        <w:t xml:space="preserve">: Sequence Counts </w:t>
      </w:r>
      <w:r w:rsidR="004732B5">
        <w:t>plot (~75%)?</w:t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771147F6" w14:textId="1E5C8666" w:rsidR="008968C9" w:rsidRDefault="008968C9" w:rsidP="008968C9">
      <w:pPr>
        <w:numPr>
          <w:ilvl w:val="0"/>
          <w:numId w:val="1"/>
        </w:numPr>
      </w:pPr>
      <w:r w:rsidRPr="008968C9">
        <w:rPr>
          <w:b/>
          <w:sz w:val="24"/>
          <w:szCs w:val="24"/>
        </w:rPr>
        <w:lastRenderedPageBreak/>
        <w:t xml:space="preserve">   </w:t>
      </w:r>
      <w:r w:rsidR="004732B5" w:rsidRPr="008968C9">
        <w:rPr>
          <w:b/>
          <w:sz w:val="24"/>
          <w:szCs w:val="24"/>
        </w:rPr>
        <w:t xml:space="preserve">Questions for the </w:t>
      </w:r>
      <w:r w:rsidR="004732B5" w:rsidRPr="008968C9">
        <w:rPr>
          <w:b/>
          <w:sz w:val="24"/>
          <w:szCs w:val="24"/>
        </w:rPr>
        <w:t>RNA-Seq customer report (RNA-seq.customer_report.pdf):</w:t>
      </w:r>
    </w:p>
    <w:p w14:paraId="00000025" w14:textId="77777777" w:rsidR="00D92910" w:rsidRDefault="00D92910">
      <w:pPr>
        <w:pBdr>
          <w:top w:val="nil"/>
          <w:left w:val="nil"/>
          <w:bottom w:val="nil"/>
          <w:right w:val="nil"/>
          <w:between w:val="nil"/>
        </w:pBdr>
      </w:pPr>
    </w:p>
    <w:p w14:paraId="1886FD8C" w14:textId="617F0497" w:rsidR="008968C9" w:rsidRDefault="008968C9" w:rsidP="008968C9">
      <w:pPr>
        <w:numPr>
          <w:ilvl w:val="1"/>
          <w:numId w:val="1"/>
        </w:numPr>
        <w:tabs>
          <w:tab w:val="left" w:pos="0"/>
        </w:tabs>
        <w:ind w:left="-141" w:firstLine="0"/>
      </w:pPr>
      <w:r>
        <w:t xml:space="preserve">  </w:t>
      </w:r>
      <w:r w:rsidRPr="008968C9">
        <w:t>In the Alignment and splices section (from report), you will find the place marked in red. Select</w:t>
      </w:r>
      <w:r>
        <w:t xml:space="preserve"> o</w:t>
      </w:r>
      <w:r w:rsidRPr="008968C9">
        <w:t>ne of the following options:</w:t>
      </w:r>
      <w:r>
        <w:br/>
      </w:r>
      <w:r w:rsidRPr="008968C9">
        <w:t>a.)  pretty good for all</w:t>
      </w:r>
      <w:r>
        <w:br/>
      </w:r>
      <w:r w:rsidRPr="008968C9">
        <w:t>b.)  pretty good for some</w:t>
      </w:r>
      <w:r>
        <w:br/>
      </w:r>
      <w:r w:rsidRPr="008968C9">
        <w:t>c.)  not very good for some</w:t>
      </w:r>
      <w:r>
        <w:br/>
      </w:r>
      <w:r w:rsidRPr="008968C9">
        <w:t>d.)  not very good for all</w:t>
      </w:r>
      <w:r>
        <w:br/>
      </w:r>
    </w:p>
    <w:p w14:paraId="10B97537" w14:textId="6083BC67" w:rsidR="008968C9" w:rsidRDefault="004732B5" w:rsidP="008968C9">
      <w:pPr>
        <w:numPr>
          <w:ilvl w:val="1"/>
          <w:numId w:val="1"/>
        </w:numPr>
        <w:ind w:left="-141" w:firstLine="0"/>
      </w:pPr>
      <w:r>
        <w:t xml:space="preserve">  </w:t>
      </w:r>
      <w:r>
        <w:t xml:space="preserve">In the </w:t>
      </w:r>
      <w:r w:rsidRPr="008968C9">
        <w:rPr>
          <w:b/>
        </w:rPr>
        <w:t>Mapped regions</w:t>
      </w:r>
      <w:r>
        <w:t xml:space="preserve"> section (from report), you will find the places marked in red. Select</w:t>
      </w:r>
      <w:r>
        <w:t xml:space="preserve"> one of the following options:</w:t>
      </w:r>
      <w:r w:rsidR="008968C9">
        <w:br/>
      </w:r>
      <w:r w:rsidR="008968C9">
        <w:t>a.)  ~22</w:t>
      </w:r>
      <w:proofErr w:type="gramStart"/>
      <w:r w:rsidR="008968C9">
        <w:t>% ;</w:t>
      </w:r>
      <w:proofErr w:type="gramEnd"/>
      <w:r w:rsidR="008968C9">
        <w:t xml:space="preserve"> ~23%</w:t>
      </w:r>
      <w:r w:rsidR="008968C9">
        <w:br/>
      </w:r>
      <w:r w:rsidR="008968C9" w:rsidRPr="008968C9">
        <w:t>b.)  ~60</w:t>
      </w:r>
      <w:proofErr w:type="gramStart"/>
      <w:r w:rsidR="008968C9" w:rsidRPr="008968C9">
        <w:t>% ;</w:t>
      </w:r>
      <w:proofErr w:type="gramEnd"/>
      <w:r w:rsidR="008968C9" w:rsidRPr="008968C9">
        <w:t xml:space="preserve"> ~5%</w:t>
      </w:r>
      <w:r w:rsidR="008968C9">
        <w:br/>
      </w:r>
      <w:r w:rsidR="008968C9" w:rsidRPr="008968C9">
        <w:t>c.)  ~72</w:t>
      </w:r>
      <w:proofErr w:type="gramStart"/>
      <w:r w:rsidR="008968C9" w:rsidRPr="008968C9">
        <w:t>% ;</w:t>
      </w:r>
      <w:proofErr w:type="gramEnd"/>
      <w:r w:rsidR="008968C9" w:rsidRPr="008968C9">
        <w:t xml:space="preserve"> ~47%</w:t>
      </w:r>
      <w:r w:rsidR="008968C9">
        <w:br/>
      </w:r>
      <w:r w:rsidR="008968C9" w:rsidRPr="008968C9">
        <w:t>d.)  ~82</w:t>
      </w:r>
      <w:proofErr w:type="gramStart"/>
      <w:r w:rsidR="008968C9" w:rsidRPr="008968C9">
        <w:t>% ;</w:t>
      </w:r>
      <w:proofErr w:type="gramEnd"/>
      <w:r w:rsidR="008968C9" w:rsidRPr="008968C9">
        <w:t xml:space="preserve"> ~73%</w:t>
      </w:r>
      <w:r w:rsidR="008968C9">
        <w:br/>
      </w:r>
    </w:p>
    <w:p w14:paraId="33D5D0C6" w14:textId="7F4BF783" w:rsidR="008968C9" w:rsidRDefault="008968C9">
      <w:pPr>
        <w:numPr>
          <w:ilvl w:val="1"/>
          <w:numId w:val="1"/>
        </w:numPr>
        <w:ind w:left="-141" w:firstLine="0"/>
      </w:pPr>
      <w:r>
        <w:t xml:space="preserve">  </w:t>
      </w:r>
      <w:r w:rsidRPr="008968C9">
        <w:t xml:space="preserve">It is typical for </w:t>
      </w:r>
      <w:proofErr w:type="spellStart"/>
      <w:r w:rsidRPr="008968C9">
        <w:t>QuantSeq</w:t>
      </w:r>
      <w:proofErr w:type="spellEnd"/>
      <w:r w:rsidRPr="008968C9">
        <w:t xml:space="preserve"> that the peak is at the end (around 100 %) of the graph (Figure 5). Why?</w:t>
      </w:r>
      <w:r>
        <w:br/>
      </w:r>
      <w:r>
        <w:br/>
      </w:r>
      <w:r>
        <w:br/>
      </w:r>
    </w:p>
    <w:p w14:paraId="25434633" w14:textId="149E9FE5" w:rsidR="008968C9" w:rsidRDefault="008968C9" w:rsidP="008968C9">
      <w:pPr>
        <w:numPr>
          <w:ilvl w:val="1"/>
          <w:numId w:val="1"/>
        </w:numPr>
        <w:ind w:left="-141" w:firstLine="0"/>
      </w:pPr>
      <w:r>
        <w:t xml:space="preserve">  </w:t>
      </w:r>
      <w:r>
        <w:t xml:space="preserve">In the </w:t>
      </w:r>
      <w:r w:rsidRPr="008968C9">
        <w:rPr>
          <w:b/>
        </w:rPr>
        <w:t>Read count assignment to genes</w:t>
      </w:r>
      <w:r>
        <w:t xml:space="preserve"> section (from report), you will find the place marked in red. Select one of the following options:</w:t>
      </w:r>
      <w:r>
        <w:br/>
      </w:r>
      <w:r>
        <w:t>a.)  from all reads</w:t>
      </w:r>
      <w:r>
        <w:br/>
      </w:r>
      <w:r>
        <w:t xml:space="preserve">b.)  from all mapped reads </w:t>
      </w:r>
      <w:r>
        <w:br/>
      </w:r>
      <w:r>
        <w:t>c.)  only from uniquely mapped reads</w:t>
      </w:r>
      <w:r>
        <w:br/>
      </w:r>
      <w:r>
        <w:t>d.)  only from unmapped reads</w:t>
      </w:r>
      <w:r>
        <w:br/>
      </w:r>
    </w:p>
    <w:p w14:paraId="63D1F96D" w14:textId="789BA04C" w:rsidR="008968C9" w:rsidRDefault="008968C9" w:rsidP="008968C9">
      <w:pPr>
        <w:numPr>
          <w:ilvl w:val="1"/>
          <w:numId w:val="1"/>
        </w:numPr>
        <w:ind w:left="-141" w:firstLine="0"/>
      </w:pPr>
      <w:r>
        <w:t xml:space="preserve">  </w:t>
      </w:r>
      <w:r w:rsidR="004732B5">
        <w:t>What is the approximate average percentage of reads that map to both human and mouse (Figure 9)?</w:t>
      </w:r>
      <w:r>
        <w:br/>
      </w:r>
      <w:r>
        <w:br/>
      </w:r>
      <w:r>
        <w:br/>
      </w:r>
    </w:p>
    <w:p w14:paraId="7F097F27" w14:textId="05616ADD" w:rsidR="008968C9" w:rsidRDefault="008968C9" w:rsidP="008968C9">
      <w:pPr>
        <w:numPr>
          <w:ilvl w:val="1"/>
          <w:numId w:val="1"/>
        </w:numPr>
        <w:ind w:left="-141" w:firstLine="0"/>
      </w:pPr>
      <w:r>
        <w:t xml:space="preserve">  </w:t>
      </w:r>
      <w:r w:rsidR="004732B5">
        <w:t xml:space="preserve">In the </w:t>
      </w:r>
      <w:r w:rsidR="004732B5" w:rsidRPr="008968C9">
        <w:rPr>
          <w:b/>
        </w:rPr>
        <w:t>DE analysis</w:t>
      </w:r>
      <w:r w:rsidR="004732B5">
        <w:t xml:space="preserve"> section (from report), you will find the place marked in red. Select one of the following options:</w:t>
      </w:r>
      <w:r>
        <w:br/>
      </w:r>
      <w:r w:rsidR="004732B5">
        <w:t>a.)  gene editing</w:t>
      </w:r>
      <w:r>
        <w:br/>
      </w:r>
      <w:r w:rsidR="004732B5">
        <w:t xml:space="preserve">b.)  gene </w:t>
      </w:r>
      <w:r w:rsidR="004732B5" w:rsidRPr="008968C9">
        <w:rPr>
          <w:color w:val="00000A"/>
        </w:rPr>
        <w:t>expression</w:t>
      </w:r>
      <w:r w:rsidR="004732B5">
        <w:t xml:space="preserve"> </w:t>
      </w:r>
      <w:r>
        <w:br/>
      </w:r>
      <w:r w:rsidR="004732B5">
        <w:t>c.)  gene splicing</w:t>
      </w:r>
      <w:r>
        <w:br/>
      </w:r>
      <w:r w:rsidR="004732B5">
        <w:t>d.)  sequencing quality</w:t>
      </w:r>
      <w:r>
        <w:br/>
      </w:r>
    </w:p>
    <w:p w14:paraId="0000003B" w14:textId="1FFB07C1" w:rsidR="00D92910" w:rsidRDefault="008968C9" w:rsidP="008968C9">
      <w:pPr>
        <w:numPr>
          <w:ilvl w:val="1"/>
          <w:numId w:val="1"/>
        </w:numPr>
        <w:ind w:left="-141" w:firstLine="0"/>
      </w:pPr>
      <w:r>
        <w:t xml:space="preserve">  </w:t>
      </w:r>
      <w:r w:rsidR="004732B5">
        <w:t>PCA (Figure 12) plot shows nice clustering of samples with the same co</w:t>
      </w:r>
      <w:r w:rsidR="004732B5">
        <w:t>ndition. Can this be inferred also from heatmap plot (Figure 11)?  How?</w:t>
      </w:r>
      <w:r>
        <w:br/>
      </w:r>
      <w:r>
        <w:br/>
      </w:r>
      <w:r>
        <w:br/>
      </w:r>
    </w:p>
    <w:p w14:paraId="0000003C" w14:textId="044C7C48" w:rsidR="00D92910" w:rsidRDefault="004732B5" w:rsidP="008968C9">
      <w:pPr>
        <w:numPr>
          <w:ilvl w:val="1"/>
          <w:numId w:val="1"/>
        </w:numPr>
        <w:ind w:left="-141" w:firstLine="0"/>
      </w:pPr>
      <w:r>
        <w:t xml:space="preserve">  Do you think we need to use batch effect removal for the analysis (Figure 12)? Why?</w:t>
      </w:r>
      <w:r w:rsidR="008968C9">
        <w:br/>
      </w:r>
      <w:r w:rsidR="008968C9">
        <w:br/>
      </w:r>
      <w:r w:rsidR="008968C9">
        <w:lastRenderedPageBreak/>
        <w:br/>
      </w:r>
    </w:p>
    <w:p w14:paraId="0000003D" w14:textId="7B79FC85" w:rsidR="00D92910" w:rsidRDefault="008968C9" w:rsidP="008968C9">
      <w:pPr>
        <w:numPr>
          <w:ilvl w:val="1"/>
          <w:numId w:val="1"/>
        </w:numPr>
        <w:ind w:left="-141" w:firstLine="0"/>
      </w:pPr>
      <w:r>
        <w:t xml:space="preserve">  </w:t>
      </w:r>
      <w:r w:rsidR="004732B5">
        <w:t>Calculate the relative difference of average expression (in %) between wild type and mutat</w:t>
      </w:r>
      <w:r w:rsidR="004732B5">
        <w:t>ed gene CCDC80 in this experiment (Figure 13).</w:t>
      </w:r>
      <w:r w:rsidR="004732B5">
        <w:br/>
      </w:r>
      <w:r w:rsidR="004732B5">
        <w:br/>
      </w:r>
      <w:r w:rsidR="004732B5">
        <w:br/>
      </w:r>
    </w:p>
    <w:p w14:paraId="0000003E" w14:textId="60BB6A11" w:rsidR="00D92910" w:rsidRDefault="004732B5" w:rsidP="008968C9">
      <w:pPr>
        <w:numPr>
          <w:ilvl w:val="1"/>
          <w:numId w:val="1"/>
        </w:numPr>
        <w:ind w:left="-141" w:firstLine="0"/>
      </w:pPr>
      <w:r>
        <w:t xml:space="preserve"> </w:t>
      </w:r>
      <w:r>
        <w:t xml:space="preserve"> Which two samples have the most similar expression (Figure 15)?</w:t>
      </w:r>
      <w:r>
        <w:br/>
      </w:r>
      <w:r>
        <w:br/>
      </w:r>
      <w:r>
        <w:br/>
      </w:r>
    </w:p>
    <w:p w14:paraId="0000003F" w14:textId="05487C39" w:rsidR="00D92910" w:rsidRDefault="004732B5" w:rsidP="008968C9">
      <w:pPr>
        <w:numPr>
          <w:ilvl w:val="1"/>
          <w:numId w:val="1"/>
        </w:numPr>
        <w:ind w:left="-141" w:firstLine="0"/>
      </w:pPr>
      <w:r>
        <w:t xml:space="preserve">  Which gene is most significantly overexpressed (Figure 15, Figure 13)?</w:t>
      </w:r>
      <w:r>
        <w:br/>
      </w:r>
      <w:r w:rsidR="008968C9">
        <w:br/>
      </w:r>
    </w:p>
    <w:sectPr w:rsidR="00D92910">
      <w:pgSz w:w="12240" w:h="15840"/>
      <w:pgMar w:top="566" w:right="1440" w:bottom="1440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B11BE"/>
    <w:multiLevelType w:val="multilevel"/>
    <w:tmpl w:val="971CA762"/>
    <w:lvl w:ilvl="0">
      <w:start w:val="1"/>
      <w:numFmt w:val="decimal"/>
      <w:lvlText w:val="%1."/>
      <w:lvlJc w:val="right"/>
      <w:pPr>
        <w:ind w:left="-708" w:firstLine="0"/>
      </w:pPr>
      <w:rPr>
        <w:b/>
        <w:bCs/>
        <w:u w:val="none"/>
      </w:rPr>
    </w:lvl>
    <w:lvl w:ilvl="1">
      <w:start w:val="1"/>
      <w:numFmt w:val="decimal"/>
      <w:lvlText w:val="%1.%2."/>
      <w:lvlJc w:val="right"/>
      <w:pPr>
        <w:ind w:left="3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910"/>
    <w:rsid w:val="004732B5"/>
    <w:rsid w:val="008968C9"/>
    <w:rsid w:val="00D9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41402F6"/>
  <w15:docId w15:val="{29A667D3-5A33-3441-B4F0-E4C23FD9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Vojtěch Bystrý</cp:lastModifiedBy>
  <cp:revision>2</cp:revision>
  <dcterms:created xsi:type="dcterms:W3CDTF">2021-07-07T12:38:00Z</dcterms:created>
  <dcterms:modified xsi:type="dcterms:W3CDTF">2021-07-07T12:56:00Z</dcterms:modified>
</cp:coreProperties>
</file>