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0E" w:rsidRDefault="00EB5A0E" w:rsidP="00CC2DAE">
      <w:pPr>
        <w:pStyle w:val="Nadpis2"/>
      </w:pPr>
      <w:bookmarkStart w:id="0" w:name="_Toc298940603"/>
    </w:p>
    <w:p w:rsidR="00EB5A0E" w:rsidRDefault="00EB5A0E" w:rsidP="00CC2DAE">
      <w:pPr>
        <w:pStyle w:val="Nadpis2"/>
      </w:pPr>
    </w:p>
    <w:p w:rsidR="00824DB2" w:rsidRPr="00A82F37" w:rsidRDefault="00392CB2" w:rsidP="00824DB2">
      <w:pPr>
        <w:rPr>
          <w:b/>
        </w:rPr>
      </w:pPr>
      <w:proofErr w:type="gramStart"/>
      <w:r>
        <w:rPr>
          <w:b/>
        </w:rPr>
        <w:t xml:space="preserve">14  </w:t>
      </w:r>
      <w:r w:rsidR="00824DB2" w:rsidRPr="00824DB2">
        <w:rPr>
          <w:b/>
        </w:rPr>
        <w:t>Poruchy</w:t>
      </w:r>
      <w:proofErr w:type="gramEnd"/>
      <w:r w:rsidR="00824DB2" w:rsidRPr="00824DB2">
        <w:rPr>
          <w:b/>
        </w:rPr>
        <w:t xml:space="preserve"> výživy a příjmu tekutin ve stáří</w:t>
      </w:r>
    </w:p>
    <w:p w:rsidR="00A82F37" w:rsidRDefault="00A82F37" w:rsidP="00CC2DAE">
      <w:pPr>
        <w:pStyle w:val="Nadpis2"/>
      </w:pPr>
      <w:r>
        <w:t xml:space="preserve"> </w:t>
      </w:r>
    </w:p>
    <w:p w:rsidR="00EB5A0E" w:rsidRDefault="00EB5A0E" w:rsidP="00CC2DAE">
      <w:pPr>
        <w:pStyle w:val="Nadpis2"/>
      </w:pPr>
      <w:r>
        <w:t xml:space="preserve">                                                                                                         </w:t>
      </w:r>
      <w:r>
        <w:rPr>
          <w:b w:val="0"/>
          <w:noProof/>
        </w:rPr>
        <w:drawing>
          <wp:inline distT="0" distB="0" distL="0" distR="0" wp14:anchorId="55E7BF3A" wp14:editId="369FF7CD">
            <wp:extent cx="446227" cy="435984"/>
            <wp:effectExtent l="114300" t="114300" r="106680" b="116840"/>
            <wp:docPr id="8" name="Obrázek 8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82F37" w:rsidRDefault="00A82F37" w:rsidP="00A82F37">
      <w:pPr>
        <w:rPr>
          <w:b/>
        </w:rPr>
      </w:pPr>
      <w:r w:rsidRPr="00A82F37">
        <w:rPr>
          <w:b/>
        </w:rPr>
        <w:t>Po prostudování této kapitoly byste měli být schopni</w:t>
      </w:r>
      <w:r>
        <w:rPr>
          <w:b/>
        </w:rPr>
        <w:t>.</w:t>
      </w:r>
    </w:p>
    <w:p w:rsidR="00A82F37" w:rsidRDefault="00A82F37" w:rsidP="00A82F37">
      <w:pPr>
        <w:pStyle w:val="Odstavecseseznamem"/>
        <w:numPr>
          <w:ilvl w:val="0"/>
          <w:numId w:val="1"/>
        </w:numPr>
      </w:pPr>
      <w:r>
        <w:t xml:space="preserve">vyjmenovat změny </w:t>
      </w:r>
      <w:proofErr w:type="spellStart"/>
      <w:r>
        <w:t>gastrointestináílního</w:t>
      </w:r>
      <w:proofErr w:type="spellEnd"/>
      <w:r>
        <w:t xml:space="preserve"> traktu ve stáří</w:t>
      </w:r>
    </w:p>
    <w:p w:rsidR="00A82F37" w:rsidRDefault="00A82F37" w:rsidP="00A82F37">
      <w:pPr>
        <w:pStyle w:val="Odstavecseseznamem"/>
        <w:numPr>
          <w:ilvl w:val="0"/>
          <w:numId w:val="1"/>
        </w:numPr>
      </w:pPr>
      <w:r>
        <w:t>popsat důsledky těchto změn na proces trávení a využití živin z potravy</w:t>
      </w:r>
    </w:p>
    <w:p w:rsidR="00A82F37" w:rsidRDefault="00A82F37" w:rsidP="00A82F37">
      <w:pPr>
        <w:pStyle w:val="Odstavecseseznamem"/>
        <w:numPr>
          <w:ilvl w:val="0"/>
          <w:numId w:val="1"/>
        </w:numPr>
      </w:pPr>
      <w:r>
        <w:t xml:space="preserve">popsat obecné důsledky snížené dostupnosti živin </w:t>
      </w:r>
    </w:p>
    <w:p w:rsidR="00A82F37" w:rsidRDefault="00A82F37" w:rsidP="00A82F37">
      <w:pPr>
        <w:pStyle w:val="Odstavecseseznamem"/>
        <w:numPr>
          <w:ilvl w:val="0"/>
          <w:numId w:val="1"/>
        </w:numPr>
      </w:pPr>
      <w:r>
        <w:t>definovat malnutrici</w:t>
      </w:r>
    </w:p>
    <w:p w:rsidR="00A82F37" w:rsidRDefault="00A82F37" w:rsidP="00A82F37">
      <w:pPr>
        <w:pStyle w:val="Odstavecseseznamem"/>
        <w:numPr>
          <w:ilvl w:val="0"/>
          <w:numId w:val="1"/>
        </w:numPr>
      </w:pPr>
      <w:r>
        <w:t>pojednat o diagnostice poruch výživy ve stáří</w:t>
      </w:r>
    </w:p>
    <w:p w:rsidR="00A82F37" w:rsidRDefault="00A82F37" w:rsidP="00A82F37">
      <w:pPr>
        <w:pStyle w:val="Odstavecseseznamem"/>
        <w:numPr>
          <w:ilvl w:val="0"/>
          <w:numId w:val="1"/>
        </w:numPr>
      </w:pPr>
      <w:r>
        <w:t xml:space="preserve">vyjmenovat nejvýznamnější </w:t>
      </w:r>
      <w:proofErr w:type="spellStart"/>
      <w:r>
        <w:t>mikronutrienty</w:t>
      </w:r>
      <w:proofErr w:type="spellEnd"/>
      <w:r>
        <w:t xml:space="preserve"> a možné důsledky jejich deficitů</w:t>
      </w:r>
    </w:p>
    <w:p w:rsidR="00A82F37" w:rsidRDefault="00A82F37" w:rsidP="00A82F37">
      <w:pPr>
        <w:pStyle w:val="Odstavecseseznamem"/>
        <w:numPr>
          <w:ilvl w:val="0"/>
          <w:numId w:val="1"/>
        </w:numPr>
      </w:pPr>
      <w:r>
        <w:t xml:space="preserve">popsat patofyziologii s důsledky </w:t>
      </w:r>
      <w:proofErr w:type="spellStart"/>
      <w:r w:rsidR="00B2253D">
        <w:t>gastroez</w:t>
      </w:r>
      <w:r>
        <w:t>ofageálního</w:t>
      </w:r>
      <w:proofErr w:type="spellEnd"/>
      <w:r>
        <w:t xml:space="preserve"> refluxu</w:t>
      </w:r>
    </w:p>
    <w:p w:rsidR="00B2253D" w:rsidRDefault="00B2253D" w:rsidP="00A82F37">
      <w:pPr>
        <w:pStyle w:val="Odstavecseseznamem"/>
        <w:numPr>
          <w:ilvl w:val="0"/>
          <w:numId w:val="1"/>
        </w:numPr>
      </w:pPr>
      <w:r>
        <w:t>vyjmenovat možnosti řešení malnutrice u seniorů</w:t>
      </w:r>
    </w:p>
    <w:p w:rsidR="004470D5" w:rsidRDefault="004470D5" w:rsidP="00A82F37">
      <w:pPr>
        <w:pStyle w:val="Odstavecseseznamem"/>
        <w:numPr>
          <w:ilvl w:val="0"/>
          <w:numId w:val="1"/>
        </w:numPr>
      </w:pPr>
      <w:r>
        <w:t xml:space="preserve">popsat možné změny vodního a </w:t>
      </w:r>
      <w:proofErr w:type="spellStart"/>
      <w:r>
        <w:t>minerálového</w:t>
      </w:r>
      <w:proofErr w:type="spellEnd"/>
      <w:r>
        <w:t xml:space="preserve"> metabolizmu ve stáří a jejich řešení</w:t>
      </w:r>
    </w:p>
    <w:p w:rsidR="00A82F37" w:rsidRPr="00A82F37" w:rsidRDefault="00A82F37" w:rsidP="00A82F37">
      <w:pPr>
        <w:pStyle w:val="Odstavecseseznamem"/>
      </w:pPr>
    </w:p>
    <w:p w:rsidR="003E6B6F" w:rsidRPr="003E6B6F" w:rsidRDefault="003E6B6F" w:rsidP="003E6B6F">
      <w:r>
        <w:t xml:space="preserve">                    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31F2443F" wp14:editId="3630F762">
            <wp:extent cx="494861" cy="475488"/>
            <wp:effectExtent l="114300" t="114300" r="114935" b="115570"/>
            <wp:docPr id="5" name="Obrázek 5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9" cy="4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B5A0E" w:rsidRPr="007E290E" w:rsidRDefault="00A82F37" w:rsidP="00CC2DAE">
      <w:pPr>
        <w:pStyle w:val="Nadpis2"/>
        <w:rPr>
          <w:b w:val="0"/>
          <w:sz w:val="24"/>
          <w:szCs w:val="24"/>
        </w:rPr>
      </w:pPr>
      <w:r w:rsidRPr="007E290E">
        <w:rPr>
          <w:sz w:val="24"/>
          <w:szCs w:val="24"/>
        </w:rPr>
        <w:t xml:space="preserve"> Klíčová slova: </w:t>
      </w:r>
      <w:r w:rsidRPr="007E290E">
        <w:rPr>
          <w:b w:val="0"/>
          <w:sz w:val="24"/>
          <w:szCs w:val="24"/>
        </w:rPr>
        <w:t xml:space="preserve">xerostomie </w:t>
      </w:r>
      <w:r w:rsidR="007E290E" w:rsidRPr="007E290E">
        <w:rPr>
          <w:b w:val="0"/>
          <w:sz w:val="24"/>
          <w:szCs w:val="24"/>
        </w:rPr>
        <w:t>–</w:t>
      </w:r>
      <w:r w:rsidRPr="007E290E">
        <w:rPr>
          <w:b w:val="0"/>
          <w:sz w:val="24"/>
          <w:szCs w:val="24"/>
        </w:rPr>
        <w:t xml:space="preserve"> </w:t>
      </w:r>
      <w:r w:rsidR="007E290E" w:rsidRPr="007E290E">
        <w:rPr>
          <w:b w:val="0"/>
          <w:sz w:val="24"/>
          <w:szCs w:val="24"/>
        </w:rPr>
        <w:t>dysfagie</w:t>
      </w:r>
      <w:r w:rsidR="007E290E" w:rsidRPr="007E290E">
        <w:rPr>
          <w:sz w:val="24"/>
          <w:szCs w:val="24"/>
        </w:rPr>
        <w:t xml:space="preserve"> - </w:t>
      </w:r>
      <w:proofErr w:type="spellStart"/>
      <w:r w:rsidRPr="007E290E">
        <w:rPr>
          <w:b w:val="0"/>
          <w:sz w:val="24"/>
          <w:szCs w:val="24"/>
        </w:rPr>
        <w:t>gastro</w:t>
      </w:r>
      <w:r w:rsidR="007E290E" w:rsidRPr="007E290E">
        <w:rPr>
          <w:b w:val="0"/>
          <w:sz w:val="24"/>
          <w:szCs w:val="24"/>
        </w:rPr>
        <w:t>esofageální</w:t>
      </w:r>
      <w:proofErr w:type="spellEnd"/>
      <w:r w:rsidR="007E290E" w:rsidRPr="007E290E">
        <w:rPr>
          <w:b w:val="0"/>
          <w:sz w:val="24"/>
          <w:szCs w:val="24"/>
        </w:rPr>
        <w:t xml:space="preserve"> reflux – malnutrice – malabsorpce – divertikulóza </w:t>
      </w:r>
      <w:r w:rsidR="007E290E">
        <w:rPr>
          <w:b w:val="0"/>
          <w:sz w:val="24"/>
          <w:szCs w:val="24"/>
        </w:rPr>
        <w:t>–</w:t>
      </w:r>
      <w:r w:rsidR="007E290E" w:rsidRPr="007E290E">
        <w:rPr>
          <w:b w:val="0"/>
          <w:sz w:val="24"/>
          <w:szCs w:val="24"/>
        </w:rPr>
        <w:t xml:space="preserve"> dehydratace</w:t>
      </w:r>
      <w:r w:rsidR="007E290E">
        <w:rPr>
          <w:b w:val="0"/>
          <w:sz w:val="24"/>
          <w:szCs w:val="24"/>
        </w:rPr>
        <w:t xml:space="preserve"> – průjem - zácpa</w:t>
      </w:r>
    </w:p>
    <w:p w:rsidR="00EB5A0E" w:rsidRDefault="00EB5A0E" w:rsidP="00CC2DAE">
      <w:pPr>
        <w:pStyle w:val="Nadpis2"/>
      </w:pPr>
    </w:p>
    <w:bookmarkEnd w:id="0"/>
    <w:p w:rsidR="00CC2DAE" w:rsidRPr="00A01770" w:rsidRDefault="00392CB2" w:rsidP="00CC2DAE">
      <w:pPr>
        <w:pStyle w:val="Nadpis2"/>
      </w:pPr>
      <w:r>
        <w:t>14.1 Výživa ve stáří, změny GIT ve stáří</w:t>
      </w:r>
    </w:p>
    <w:p w:rsidR="00CC2DAE" w:rsidRPr="00A01770" w:rsidRDefault="00CC2DAE" w:rsidP="00CC2DAE">
      <w:pPr>
        <w:pStyle w:val="Zkladntext"/>
        <w:spacing w:after="0"/>
        <w:jc w:val="both"/>
        <w:rPr>
          <w:sz w:val="24"/>
          <w:szCs w:val="24"/>
        </w:rPr>
      </w:pPr>
    </w:p>
    <w:p w:rsidR="00CC2DAE" w:rsidRDefault="00CC2DAE" w:rsidP="00CC2DAE">
      <w:pPr>
        <w:pStyle w:val="Zkladntext"/>
        <w:spacing w:after="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0">
            <wp:simplePos x="0" y="0"/>
            <wp:positionH relativeFrom="margin">
              <wp:posOffset>5173980</wp:posOffset>
            </wp:positionH>
            <wp:positionV relativeFrom="line">
              <wp:posOffset>51435</wp:posOffset>
            </wp:positionV>
            <wp:extent cx="450850" cy="450850"/>
            <wp:effectExtent l="114300" t="114300" r="120650" b="120650"/>
            <wp:wrapTight wrapText="bothSides">
              <wp:wrapPolygon edited="0">
                <wp:start x="-3651" y="-5476"/>
                <wp:lineTo x="-5476" y="-3651"/>
                <wp:lineTo x="-5476" y="20079"/>
                <wp:lineTo x="-3651" y="26468"/>
                <wp:lineTo x="24642" y="26468"/>
                <wp:lineTo x="26468" y="11865"/>
                <wp:lineTo x="26468" y="10952"/>
                <wp:lineTo x="24642" y="-2738"/>
                <wp:lineTo x="24642" y="-5476"/>
                <wp:lineTo x="-3651" y="-5476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770">
        <w:rPr>
          <w:sz w:val="24"/>
          <w:szCs w:val="24"/>
        </w:rPr>
        <w:t>Kvalita výživy a stav hydratace ve stáří ovlivňuje zásadním způsobem celkový stav organizmu</w:t>
      </w:r>
      <w:r>
        <w:rPr>
          <w:sz w:val="24"/>
          <w:szCs w:val="24"/>
        </w:rPr>
        <w:t xml:space="preserve"> </w:t>
      </w:r>
      <w:r w:rsidRPr="00A01770">
        <w:rPr>
          <w:sz w:val="24"/>
          <w:szCs w:val="24"/>
        </w:rPr>
        <w:t>a významné deficity mohou přispívat k </w:t>
      </w:r>
      <w:proofErr w:type="spellStart"/>
      <w:r w:rsidRPr="00A01770">
        <w:rPr>
          <w:sz w:val="24"/>
          <w:szCs w:val="24"/>
        </w:rPr>
        <w:t>multimorbiditě</w:t>
      </w:r>
      <w:proofErr w:type="spellEnd"/>
      <w:r w:rsidRPr="00A01770">
        <w:rPr>
          <w:sz w:val="24"/>
          <w:szCs w:val="24"/>
        </w:rPr>
        <w:t xml:space="preserve"> starších nemocných.</w:t>
      </w:r>
    </w:p>
    <w:p w:rsidR="00CC2DAE" w:rsidRDefault="00CC2DAE" w:rsidP="00CC2DAE">
      <w:pPr>
        <w:pStyle w:val="Zkladntext"/>
        <w:spacing w:after="0"/>
        <w:ind w:firstLine="539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Trávicí trakt má poměrně velkou funkční rezervu, proto běžný proces stárnutí nepřináší sám o sobě závažnější obtíže. Například – i když je známo, že s věkem klesá počet neuronů </w:t>
      </w:r>
      <w:proofErr w:type="spellStart"/>
      <w:r w:rsidRPr="00A01770">
        <w:rPr>
          <w:sz w:val="24"/>
          <w:szCs w:val="24"/>
        </w:rPr>
        <w:t>myenterického</w:t>
      </w:r>
      <w:proofErr w:type="spellEnd"/>
      <w:r w:rsidRPr="00A01770">
        <w:rPr>
          <w:sz w:val="24"/>
          <w:szCs w:val="24"/>
        </w:rPr>
        <w:t xml:space="preserve"> plexu, je možno sledovat za normálních okolností jen nenápadné zpomalení hybnosti trávicího traktu. Na druhé straně je výskyt onemocnění trávicího traktu ve vyšším věku poměrně častý, tato onemocnění mají horší průběh a prognózu. Podle některých zdrojů je až 27% starších nemocných přijímáno k hospitalizaci právě pro gastrointestinální obtíže. Trávicí obtíže u starších nemocných bychom tedy měli pečlivě vyšetřit a teprve potom je eventuálně prohlásit za obtíže způsobené stárnutím.</w:t>
      </w:r>
    </w:p>
    <w:p w:rsidR="00C316D5" w:rsidRPr="00DC272A" w:rsidRDefault="00391AB2" w:rsidP="00391AB2">
      <w:pPr>
        <w:pStyle w:val="Zkladntext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5798" w:rsidRPr="00645798">
        <w:rPr>
          <w:sz w:val="24"/>
          <w:szCs w:val="24"/>
        </w:rPr>
        <w:t xml:space="preserve"> Pro změny stravovacích návyků u seniorů významné změny v oblasti dutiny ústní – ztráta </w:t>
      </w:r>
      <w:r w:rsidR="00645798" w:rsidRPr="00DC272A">
        <w:rPr>
          <w:sz w:val="24"/>
          <w:szCs w:val="24"/>
        </w:rPr>
        <w:t>dentice, xerostomie,</w:t>
      </w:r>
      <w:r w:rsidRPr="00DC272A">
        <w:rPr>
          <w:sz w:val="24"/>
          <w:szCs w:val="24"/>
        </w:rPr>
        <w:t xml:space="preserve"> obvykle jako důsledek </w:t>
      </w:r>
      <w:r w:rsidR="004D27FA" w:rsidRPr="00DC272A">
        <w:rPr>
          <w:bCs/>
          <w:sz w:val="24"/>
          <w:szCs w:val="24"/>
        </w:rPr>
        <w:t>dehydratace</w:t>
      </w:r>
      <w:r w:rsidRPr="00DC272A">
        <w:rPr>
          <w:sz w:val="24"/>
          <w:szCs w:val="24"/>
        </w:rPr>
        <w:t xml:space="preserve">, </w:t>
      </w:r>
      <w:r w:rsidR="004D27FA" w:rsidRPr="00DC272A">
        <w:rPr>
          <w:bCs/>
          <w:sz w:val="24"/>
          <w:szCs w:val="24"/>
        </w:rPr>
        <w:t>přítomnost</w:t>
      </w:r>
      <w:r w:rsidRPr="00DC272A">
        <w:rPr>
          <w:bCs/>
          <w:sz w:val="24"/>
          <w:szCs w:val="24"/>
        </w:rPr>
        <w:t>i</w:t>
      </w:r>
      <w:r w:rsidR="004D27FA" w:rsidRPr="00DC272A">
        <w:rPr>
          <w:bCs/>
          <w:sz w:val="24"/>
          <w:szCs w:val="24"/>
        </w:rPr>
        <w:t xml:space="preserve"> infekce</w:t>
      </w:r>
      <w:r w:rsidRPr="00DC272A">
        <w:rPr>
          <w:sz w:val="24"/>
          <w:szCs w:val="24"/>
        </w:rPr>
        <w:t xml:space="preserve">, </w:t>
      </w:r>
      <w:r w:rsidR="004D27FA" w:rsidRPr="00DC272A">
        <w:rPr>
          <w:bCs/>
          <w:sz w:val="24"/>
          <w:szCs w:val="24"/>
        </w:rPr>
        <w:t>stav</w:t>
      </w:r>
      <w:r w:rsidRPr="00DC272A">
        <w:rPr>
          <w:bCs/>
          <w:sz w:val="24"/>
          <w:szCs w:val="24"/>
        </w:rPr>
        <w:t>ů</w:t>
      </w:r>
      <w:r w:rsidR="004D27FA" w:rsidRPr="00DC272A">
        <w:rPr>
          <w:bCs/>
          <w:sz w:val="24"/>
          <w:szCs w:val="24"/>
        </w:rPr>
        <w:t xml:space="preserve"> po ozáření</w:t>
      </w:r>
      <w:r w:rsidRPr="00DC272A">
        <w:rPr>
          <w:sz w:val="24"/>
          <w:szCs w:val="24"/>
        </w:rPr>
        <w:t xml:space="preserve">, </w:t>
      </w:r>
      <w:proofErr w:type="spellStart"/>
      <w:r w:rsidR="004D27FA" w:rsidRPr="00DC272A">
        <w:rPr>
          <w:bCs/>
          <w:sz w:val="24"/>
          <w:szCs w:val="24"/>
        </w:rPr>
        <w:t>Sjogrenov</w:t>
      </w:r>
      <w:r w:rsidRPr="00DC272A">
        <w:rPr>
          <w:bCs/>
          <w:sz w:val="24"/>
          <w:szCs w:val="24"/>
        </w:rPr>
        <w:t>y</w:t>
      </w:r>
      <w:proofErr w:type="spellEnd"/>
      <w:r w:rsidRPr="00DC272A">
        <w:rPr>
          <w:bCs/>
          <w:sz w:val="24"/>
          <w:szCs w:val="24"/>
        </w:rPr>
        <w:t xml:space="preserve"> choroby nebo</w:t>
      </w:r>
      <w:r w:rsidR="004D27FA" w:rsidRPr="00DC272A">
        <w:rPr>
          <w:bCs/>
          <w:sz w:val="24"/>
          <w:szCs w:val="24"/>
        </w:rPr>
        <w:t xml:space="preserve"> jin</w:t>
      </w:r>
      <w:r w:rsidRPr="00DC272A">
        <w:rPr>
          <w:bCs/>
          <w:sz w:val="24"/>
          <w:szCs w:val="24"/>
        </w:rPr>
        <w:t>ých</w:t>
      </w:r>
      <w:r w:rsidR="004D27FA" w:rsidRPr="00DC272A">
        <w:rPr>
          <w:bCs/>
          <w:sz w:val="24"/>
          <w:szCs w:val="24"/>
        </w:rPr>
        <w:t xml:space="preserve"> postižení slinných žláz</w:t>
      </w:r>
      <w:r w:rsidRPr="00DC272A">
        <w:rPr>
          <w:sz w:val="24"/>
          <w:szCs w:val="24"/>
        </w:rPr>
        <w:t xml:space="preserve">, nejčastěji </w:t>
      </w:r>
      <w:r w:rsidR="004D27FA" w:rsidRPr="00DC272A">
        <w:rPr>
          <w:bCs/>
          <w:sz w:val="24"/>
          <w:szCs w:val="24"/>
        </w:rPr>
        <w:t xml:space="preserve">obstrukce vývodů slinných </w:t>
      </w:r>
      <w:proofErr w:type="spellStart"/>
      <w:r w:rsidR="004D27FA" w:rsidRPr="00DC272A">
        <w:rPr>
          <w:bCs/>
          <w:sz w:val="24"/>
          <w:szCs w:val="24"/>
        </w:rPr>
        <w:t>žlaz</w:t>
      </w:r>
      <w:proofErr w:type="spellEnd"/>
      <w:r w:rsidR="004D27FA" w:rsidRPr="00DC272A">
        <w:rPr>
          <w:bCs/>
          <w:sz w:val="24"/>
          <w:szCs w:val="24"/>
        </w:rPr>
        <w:t xml:space="preserve"> kameny nebo nádory</w:t>
      </w:r>
      <w:r w:rsidRPr="00DC272A">
        <w:rPr>
          <w:bCs/>
          <w:sz w:val="24"/>
          <w:szCs w:val="24"/>
        </w:rPr>
        <w:t>. Xerostomii mohou vyvolat či zhoršit i některé druhy léků – viz tabulka.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</w:tblGrid>
      <w:tr w:rsidR="00391AB2" w:rsidTr="00963E7F">
        <w:trPr>
          <w:jc w:val="center"/>
        </w:trPr>
        <w:tc>
          <w:tcPr>
            <w:tcW w:w="4606" w:type="dxa"/>
          </w:tcPr>
          <w:p w:rsidR="00391AB2" w:rsidRDefault="00391AB2" w:rsidP="00963E7F">
            <w:pPr>
              <w:pStyle w:val="Zkladntext"/>
              <w:jc w:val="center"/>
            </w:pPr>
            <w:r>
              <w:t>l</w:t>
            </w:r>
            <w:r w:rsidR="00963E7F">
              <w:t>ékové</w:t>
            </w:r>
            <w:r>
              <w:t xml:space="preserve"> </w:t>
            </w:r>
            <w:r w:rsidR="00963E7F">
              <w:t>skupiny způsobující xerostomii</w:t>
            </w:r>
          </w:p>
        </w:tc>
      </w:tr>
      <w:tr w:rsidR="00391AB2" w:rsidTr="00963E7F">
        <w:trPr>
          <w:jc w:val="center"/>
        </w:trPr>
        <w:tc>
          <w:tcPr>
            <w:tcW w:w="4606" w:type="dxa"/>
          </w:tcPr>
          <w:p w:rsidR="00391AB2" w:rsidRPr="00391AB2" w:rsidRDefault="00391AB2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 w:rsidRPr="00391AB2">
              <w:rPr>
                <w:b/>
                <w:bCs/>
              </w:rPr>
              <w:t>anticholinergika</w:t>
            </w:r>
            <w:proofErr w:type="spellEnd"/>
            <w:r w:rsidRPr="00391AB2">
              <w:rPr>
                <w:b/>
                <w:bCs/>
              </w:rPr>
              <w:t xml:space="preserve">                                   </w:t>
            </w:r>
          </w:p>
          <w:p w:rsidR="00391AB2" w:rsidRPr="00391AB2" w:rsidRDefault="00391AB2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r w:rsidRPr="00391AB2">
              <w:rPr>
                <w:b/>
                <w:bCs/>
              </w:rPr>
              <w:t xml:space="preserve">antipsychotika                            </w:t>
            </w:r>
          </w:p>
          <w:p w:rsidR="00391AB2" w:rsidRPr="00391AB2" w:rsidRDefault="00391AB2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r w:rsidRPr="00391AB2">
              <w:rPr>
                <w:b/>
                <w:bCs/>
              </w:rPr>
              <w:t xml:space="preserve">antidepresiva                                          </w:t>
            </w:r>
          </w:p>
          <w:p w:rsidR="00391AB2" w:rsidRPr="00391AB2" w:rsidRDefault="00391AB2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 w:rsidRPr="00391AB2">
              <w:rPr>
                <w:b/>
                <w:bCs/>
              </w:rPr>
              <w:t>antirefluxní</w:t>
            </w:r>
            <w:proofErr w:type="spellEnd"/>
            <w:r w:rsidRPr="00391AB2">
              <w:rPr>
                <w:b/>
                <w:bCs/>
              </w:rPr>
              <w:t xml:space="preserve"> léky                              </w:t>
            </w:r>
          </w:p>
          <w:p w:rsidR="00391AB2" w:rsidRPr="00391AB2" w:rsidRDefault="00391AB2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r w:rsidRPr="00391AB2">
              <w:rPr>
                <w:b/>
                <w:bCs/>
              </w:rPr>
              <w:t xml:space="preserve">antihistaminika                                       </w:t>
            </w:r>
          </w:p>
          <w:p w:rsidR="00391AB2" w:rsidRPr="00391AB2" w:rsidRDefault="00391AB2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r w:rsidRPr="00391AB2">
              <w:rPr>
                <w:b/>
                <w:bCs/>
              </w:rPr>
              <w:lastRenderedPageBreak/>
              <w:t xml:space="preserve">anxiolytika                                      </w:t>
            </w:r>
          </w:p>
          <w:p w:rsidR="00963E7F" w:rsidRDefault="00391AB2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 w:rsidRPr="00391AB2">
              <w:rPr>
                <w:b/>
                <w:bCs/>
              </w:rPr>
              <w:t>antiparkinsonika</w:t>
            </w:r>
            <w:proofErr w:type="spellEnd"/>
            <w:r w:rsidRPr="00391AB2">
              <w:t xml:space="preserve">  </w:t>
            </w:r>
          </w:p>
          <w:p w:rsidR="00C316D5" w:rsidRPr="00963E7F" w:rsidRDefault="004D27FA" w:rsidP="00963E7F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r w:rsidRPr="00963E7F">
              <w:rPr>
                <w:b/>
                <w:bCs/>
              </w:rPr>
              <w:t>antihypertenziva</w:t>
            </w:r>
          </w:p>
          <w:p w:rsidR="00C316D5" w:rsidRPr="00963E7F" w:rsidRDefault="004D27FA" w:rsidP="00963E7F">
            <w:pPr>
              <w:pStyle w:val="Zkladntext"/>
              <w:numPr>
                <w:ilvl w:val="0"/>
                <w:numId w:val="7"/>
              </w:numPr>
              <w:spacing w:after="0"/>
              <w:jc w:val="both"/>
            </w:pPr>
            <w:r w:rsidRPr="00963E7F">
              <w:rPr>
                <w:b/>
                <w:bCs/>
              </w:rPr>
              <w:t>betablokátory</w:t>
            </w:r>
          </w:p>
          <w:p w:rsidR="00C316D5" w:rsidRPr="00963E7F" w:rsidRDefault="004D27FA" w:rsidP="00963E7F">
            <w:pPr>
              <w:pStyle w:val="Zkladntext"/>
              <w:numPr>
                <w:ilvl w:val="0"/>
                <w:numId w:val="7"/>
              </w:numPr>
              <w:spacing w:after="0"/>
              <w:jc w:val="both"/>
            </w:pPr>
            <w:r w:rsidRPr="00963E7F">
              <w:rPr>
                <w:b/>
                <w:bCs/>
              </w:rPr>
              <w:t>Ca-blokátory</w:t>
            </w:r>
          </w:p>
          <w:p w:rsidR="00C316D5" w:rsidRPr="00963E7F" w:rsidRDefault="004D27FA" w:rsidP="00963E7F">
            <w:pPr>
              <w:pStyle w:val="Zkladntext"/>
              <w:numPr>
                <w:ilvl w:val="0"/>
                <w:numId w:val="7"/>
              </w:numPr>
              <w:spacing w:after="0"/>
              <w:jc w:val="both"/>
            </w:pPr>
            <w:r w:rsidRPr="00963E7F">
              <w:rPr>
                <w:b/>
                <w:bCs/>
              </w:rPr>
              <w:t>ACEI</w:t>
            </w:r>
          </w:p>
          <w:p w:rsidR="00C316D5" w:rsidRPr="00963E7F" w:rsidRDefault="004D27FA" w:rsidP="00963E7F">
            <w:pPr>
              <w:pStyle w:val="Zkladntext"/>
              <w:numPr>
                <w:ilvl w:val="0"/>
                <w:numId w:val="7"/>
              </w:numPr>
              <w:spacing w:after="0"/>
              <w:jc w:val="both"/>
            </w:pPr>
            <w:r w:rsidRPr="00963E7F">
              <w:rPr>
                <w:b/>
                <w:bCs/>
              </w:rPr>
              <w:t>diuretika</w:t>
            </w:r>
          </w:p>
          <w:p w:rsidR="00391AB2" w:rsidRDefault="00391AB2" w:rsidP="00963E7F">
            <w:pPr>
              <w:pStyle w:val="Zkladntext"/>
              <w:ind w:left="720"/>
              <w:jc w:val="both"/>
            </w:pPr>
            <w:r w:rsidRPr="00391AB2">
              <w:t xml:space="preserve">                                             </w:t>
            </w:r>
            <w:r w:rsidR="00963E7F">
              <w:t xml:space="preserve">                               </w:t>
            </w:r>
          </w:p>
        </w:tc>
      </w:tr>
    </w:tbl>
    <w:p w:rsidR="00391AB2" w:rsidRPr="00391AB2" w:rsidRDefault="00391AB2" w:rsidP="00391AB2">
      <w:pPr>
        <w:pStyle w:val="Zkladntext"/>
        <w:jc w:val="both"/>
      </w:pPr>
    </w:p>
    <w:p w:rsidR="00645798" w:rsidRPr="00645798" w:rsidRDefault="00391AB2" w:rsidP="00645798">
      <w:pPr>
        <w:pStyle w:val="Zkladntext"/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645798" w:rsidRPr="00645798">
        <w:rPr>
          <w:sz w:val="24"/>
          <w:szCs w:val="24"/>
        </w:rPr>
        <w:t>oruchy vnímání chuti včetně parestézií v oblasti dutiny ústní různého původu. Zmíněné změny mohou vést k ovlivnění výběru stravy samozřejmě s možností vzniku deficitů. Diagnostika a léčba poruch v oblasti dutiny ústní a jejich léčení spadá z velké části do oblasti stomatologické péče. U starších nemocných je třeba zdůrazňovat nutnost pravidelných půlročních stomatologických prohlídek, nutnost dodržování ústní hygieny, zvláště u starších s totálními náhradami, kteří se ztrátou dentice spontánně přestávají stomatologa navštěvovat s výjimkou poškození zubních náhrad.</w:t>
      </w:r>
    </w:p>
    <w:p w:rsidR="00C316D5" w:rsidRPr="00963E7F" w:rsidRDefault="00645798" w:rsidP="00963E7F">
      <w:pPr>
        <w:pStyle w:val="Zkladntext"/>
        <w:jc w:val="both"/>
      </w:pPr>
      <w:r w:rsidRPr="00645798">
        <w:rPr>
          <w:sz w:val="24"/>
          <w:szCs w:val="24"/>
        </w:rPr>
        <w:t xml:space="preserve">V oblasti hltanu a jícnu se nejčastěji setkáváme s poruchami polykání jako důsledkem </w:t>
      </w:r>
      <w:proofErr w:type="spellStart"/>
      <w:r w:rsidRPr="00645798">
        <w:rPr>
          <w:sz w:val="24"/>
          <w:szCs w:val="24"/>
        </w:rPr>
        <w:t>dyskoordinace</w:t>
      </w:r>
      <w:proofErr w:type="spellEnd"/>
      <w:r w:rsidRPr="00645798">
        <w:rPr>
          <w:sz w:val="24"/>
          <w:szCs w:val="24"/>
        </w:rPr>
        <w:t xml:space="preserve"> polykacího aktu v rámci ischemických a dalších změn CNS (cévní onemocnění mozku, Parkinsonova choroba</w:t>
      </w:r>
      <w:r w:rsidR="00963E7F">
        <w:rPr>
          <w:sz w:val="24"/>
          <w:szCs w:val="24"/>
        </w:rPr>
        <w:t>, demence</w:t>
      </w:r>
      <w:r w:rsidRPr="00645798">
        <w:rPr>
          <w:sz w:val="24"/>
          <w:szCs w:val="24"/>
        </w:rPr>
        <w:t xml:space="preserve">). </w:t>
      </w:r>
      <w:r w:rsidR="00963E7F">
        <w:rPr>
          <w:sz w:val="24"/>
          <w:szCs w:val="24"/>
        </w:rPr>
        <w:t xml:space="preserve">Poruchy polykání mohou vést k opakovaným respiračním </w:t>
      </w:r>
      <w:proofErr w:type="spellStart"/>
      <w:r w:rsidR="00963E7F">
        <w:rPr>
          <w:sz w:val="24"/>
          <w:szCs w:val="24"/>
        </w:rPr>
        <w:t>infektům</w:t>
      </w:r>
      <w:proofErr w:type="spellEnd"/>
      <w:r w:rsidR="00963E7F">
        <w:rPr>
          <w:sz w:val="24"/>
          <w:szCs w:val="24"/>
        </w:rPr>
        <w:t xml:space="preserve"> a také těžké dehydrataci a malnutrici. Jako další možné mechanizmy poruch polykání je nutno zvažovat svalové dystrofie, anatomické odchylky jako divertikly či </w:t>
      </w:r>
      <w:r w:rsidR="00963E7F" w:rsidRPr="00963E7F">
        <w:rPr>
          <w:sz w:val="24"/>
          <w:szCs w:val="24"/>
        </w:rPr>
        <w:t xml:space="preserve">nádory, dále </w:t>
      </w:r>
      <w:proofErr w:type="spellStart"/>
      <w:r w:rsidR="00963E7F" w:rsidRPr="00963E7F">
        <w:rPr>
          <w:bCs/>
          <w:sz w:val="24"/>
          <w:szCs w:val="24"/>
        </w:rPr>
        <w:t>achalázii</w:t>
      </w:r>
      <w:proofErr w:type="spellEnd"/>
      <w:r w:rsidR="00963E7F" w:rsidRPr="00963E7F">
        <w:rPr>
          <w:bCs/>
          <w:sz w:val="24"/>
          <w:szCs w:val="24"/>
        </w:rPr>
        <w:t xml:space="preserve">, </w:t>
      </w:r>
      <w:r w:rsidR="004D27FA" w:rsidRPr="00963E7F">
        <w:rPr>
          <w:bCs/>
          <w:sz w:val="24"/>
          <w:szCs w:val="24"/>
        </w:rPr>
        <w:t xml:space="preserve">krční </w:t>
      </w:r>
      <w:proofErr w:type="spellStart"/>
      <w:r w:rsidR="004D27FA" w:rsidRPr="00963E7F">
        <w:rPr>
          <w:bCs/>
          <w:sz w:val="24"/>
          <w:szCs w:val="24"/>
        </w:rPr>
        <w:t>osteoartropatie</w:t>
      </w:r>
      <w:proofErr w:type="spellEnd"/>
      <w:r w:rsidR="00963E7F" w:rsidRPr="00963E7F">
        <w:rPr>
          <w:sz w:val="24"/>
          <w:szCs w:val="24"/>
        </w:rPr>
        <w:t xml:space="preserve">, </w:t>
      </w:r>
      <w:r w:rsidR="004D27FA" w:rsidRPr="00963E7F">
        <w:rPr>
          <w:bCs/>
          <w:sz w:val="24"/>
          <w:szCs w:val="24"/>
        </w:rPr>
        <w:t>mediastinální abnormality</w:t>
      </w:r>
      <w:r w:rsidR="00963E7F" w:rsidRPr="00963E7F">
        <w:rPr>
          <w:sz w:val="24"/>
          <w:szCs w:val="24"/>
        </w:rPr>
        <w:t xml:space="preserve">, </w:t>
      </w:r>
      <w:r w:rsidR="004D27FA" w:rsidRPr="00963E7F">
        <w:rPr>
          <w:bCs/>
          <w:sz w:val="24"/>
          <w:szCs w:val="24"/>
        </w:rPr>
        <w:t>vaskulární komprese</w:t>
      </w:r>
      <w:r w:rsidR="00963E7F" w:rsidRPr="00963E7F">
        <w:rPr>
          <w:sz w:val="24"/>
          <w:szCs w:val="24"/>
        </w:rPr>
        <w:t xml:space="preserve">, </w:t>
      </w:r>
      <w:r w:rsidR="004D27FA" w:rsidRPr="00963E7F">
        <w:rPr>
          <w:bCs/>
          <w:sz w:val="24"/>
          <w:szCs w:val="24"/>
        </w:rPr>
        <w:t>malignity</w:t>
      </w:r>
      <w:r w:rsidR="00963E7F" w:rsidRPr="00963E7F">
        <w:rPr>
          <w:sz w:val="24"/>
          <w:szCs w:val="24"/>
        </w:rPr>
        <w:t xml:space="preserve"> či </w:t>
      </w:r>
      <w:r w:rsidR="004D27FA" w:rsidRPr="00963E7F">
        <w:rPr>
          <w:bCs/>
          <w:sz w:val="24"/>
          <w:szCs w:val="24"/>
        </w:rPr>
        <w:t>striktury</w:t>
      </w:r>
      <w:r w:rsidR="00963E7F">
        <w:rPr>
          <w:b/>
          <w:bCs/>
        </w:rPr>
        <w:t>.</w:t>
      </w:r>
    </w:p>
    <w:p w:rsidR="00645798" w:rsidRPr="00645798" w:rsidRDefault="00645798" w:rsidP="00645798">
      <w:pPr>
        <w:pStyle w:val="Zkladntext"/>
        <w:jc w:val="both"/>
        <w:rPr>
          <w:sz w:val="24"/>
          <w:szCs w:val="24"/>
        </w:rPr>
      </w:pPr>
      <w:r w:rsidRPr="00645798">
        <w:rPr>
          <w:sz w:val="24"/>
          <w:szCs w:val="24"/>
        </w:rPr>
        <w:t xml:space="preserve">Významným mechanismem multifaktoriálního charakteru je erozivní ezofagitida vzniklá na podkladě </w:t>
      </w:r>
      <w:proofErr w:type="spellStart"/>
      <w:r w:rsidRPr="00645798">
        <w:rPr>
          <w:sz w:val="24"/>
          <w:szCs w:val="24"/>
        </w:rPr>
        <w:t>gastroezofageálního</w:t>
      </w:r>
      <w:proofErr w:type="spellEnd"/>
      <w:r w:rsidRPr="00645798">
        <w:rPr>
          <w:sz w:val="24"/>
          <w:szCs w:val="24"/>
        </w:rPr>
        <w:t xml:space="preserve"> refluxu, která může být podkladem dlouhodobých drobných krevních ztrát vedoucích až k těžké hypochromii. </w:t>
      </w:r>
      <w:r w:rsidR="00B2253D">
        <w:rPr>
          <w:sz w:val="24"/>
          <w:szCs w:val="24"/>
        </w:rPr>
        <w:t>Dolní ezofagitida je dnes také považována za velmi rizikovou z hlediska možnosti maligního zvratu.</w:t>
      </w:r>
    </w:p>
    <w:p w:rsidR="00645798" w:rsidRDefault="00645798" w:rsidP="00645798">
      <w:pPr>
        <w:pStyle w:val="Zkladntext"/>
        <w:jc w:val="both"/>
        <w:rPr>
          <w:sz w:val="24"/>
          <w:szCs w:val="24"/>
        </w:rPr>
      </w:pPr>
      <w:r w:rsidRPr="00645798">
        <w:rPr>
          <w:sz w:val="24"/>
          <w:szCs w:val="24"/>
        </w:rPr>
        <w:t xml:space="preserve">     Žaludeční sliznice může v rámci procesu stárnutí atrofovat na podkladě chronické atrofické gastritidy s následným deficitem vitaminu B</w:t>
      </w:r>
      <w:r w:rsidRPr="00645798">
        <w:rPr>
          <w:sz w:val="24"/>
          <w:szCs w:val="24"/>
          <w:vertAlign w:val="subscript"/>
        </w:rPr>
        <w:t>12</w:t>
      </w:r>
      <w:r w:rsidRPr="00645798">
        <w:rPr>
          <w:sz w:val="24"/>
          <w:szCs w:val="24"/>
        </w:rPr>
        <w:t xml:space="preserve"> a rozvojem megaloblastické ané</w:t>
      </w:r>
      <w:r w:rsidR="00B2253D">
        <w:rPr>
          <w:sz w:val="24"/>
          <w:szCs w:val="24"/>
        </w:rPr>
        <w:t>mie. J</w:t>
      </w:r>
      <w:r w:rsidRPr="00645798">
        <w:rPr>
          <w:sz w:val="24"/>
          <w:szCs w:val="24"/>
        </w:rPr>
        <w:t xml:space="preserve">eště častěji je však nutno zvažovat vliv rozsáhlé medikace mnohdy i užívání několika druhů stejného </w:t>
      </w:r>
      <w:proofErr w:type="spellStart"/>
      <w:r w:rsidRPr="00645798">
        <w:rPr>
          <w:sz w:val="24"/>
          <w:szCs w:val="24"/>
        </w:rPr>
        <w:t>generika</w:t>
      </w:r>
      <w:proofErr w:type="spellEnd"/>
      <w:r w:rsidRPr="00645798">
        <w:rPr>
          <w:sz w:val="24"/>
          <w:szCs w:val="24"/>
        </w:rPr>
        <w:t xml:space="preserve"> pod jinými firemními názvy</w:t>
      </w:r>
      <w:r w:rsidR="00B2253D">
        <w:rPr>
          <w:sz w:val="24"/>
          <w:szCs w:val="24"/>
        </w:rPr>
        <w:t xml:space="preserve"> na vznik erozí sliznice, případně vředové choroby </w:t>
      </w:r>
      <w:proofErr w:type="spellStart"/>
      <w:r w:rsidR="00B2253D">
        <w:rPr>
          <w:sz w:val="24"/>
          <w:szCs w:val="24"/>
        </w:rPr>
        <w:t>gastroduodena</w:t>
      </w:r>
      <w:proofErr w:type="spellEnd"/>
      <w:r w:rsidRPr="00645798">
        <w:rPr>
          <w:sz w:val="24"/>
          <w:szCs w:val="24"/>
        </w:rPr>
        <w:t xml:space="preserve">. Tento jev je bohužel často možno pozorovat u nesteroidních antirevmatik na trhu volně dostupných a seniorskou populací s téměř 70% výskytem </w:t>
      </w:r>
      <w:proofErr w:type="spellStart"/>
      <w:r w:rsidRPr="00645798">
        <w:rPr>
          <w:sz w:val="24"/>
          <w:szCs w:val="24"/>
        </w:rPr>
        <w:t>muskuloskeletálních</w:t>
      </w:r>
      <w:proofErr w:type="spellEnd"/>
      <w:r w:rsidRPr="00645798">
        <w:rPr>
          <w:sz w:val="24"/>
          <w:szCs w:val="24"/>
        </w:rPr>
        <w:t xml:space="preserve"> potíží masivně užívaných. Již vzniklé ulcerace se ve vyšším věku pomaleji hojí, jsou rozsáhlejší a častěji a mohutněji krvácejí, mimo jiné také vlivem frekvenčně podávané </w:t>
      </w:r>
      <w:proofErr w:type="spellStart"/>
      <w:r w:rsidRPr="00645798">
        <w:rPr>
          <w:sz w:val="24"/>
          <w:szCs w:val="24"/>
        </w:rPr>
        <w:t>antiagregační</w:t>
      </w:r>
      <w:proofErr w:type="spellEnd"/>
      <w:r w:rsidRPr="00645798">
        <w:rPr>
          <w:sz w:val="24"/>
          <w:szCs w:val="24"/>
        </w:rPr>
        <w:t xml:space="preserve"> či antikoagulační terapie.</w:t>
      </w:r>
      <w:r w:rsidR="00B2253D">
        <w:rPr>
          <w:sz w:val="24"/>
          <w:szCs w:val="24"/>
        </w:rPr>
        <w:t xml:space="preserve"> S rostoucím věkem stoupá i procento nemocných kolonizovaných </w:t>
      </w:r>
      <w:proofErr w:type="spellStart"/>
      <w:r w:rsidR="00B2253D">
        <w:rPr>
          <w:sz w:val="24"/>
          <w:szCs w:val="24"/>
        </w:rPr>
        <w:t>Helicobacterem</w:t>
      </w:r>
      <w:proofErr w:type="spellEnd"/>
      <w:r w:rsidR="00B2253D">
        <w:rPr>
          <w:sz w:val="24"/>
          <w:szCs w:val="24"/>
        </w:rPr>
        <w:t xml:space="preserve"> </w:t>
      </w:r>
      <w:proofErr w:type="spellStart"/>
      <w:r w:rsidR="00B2253D">
        <w:rPr>
          <w:sz w:val="24"/>
          <w:szCs w:val="24"/>
        </w:rPr>
        <w:t>pylori</w:t>
      </w:r>
      <w:proofErr w:type="spellEnd"/>
      <w:r w:rsidR="00B2253D">
        <w:rPr>
          <w:sz w:val="24"/>
          <w:szCs w:val="24"/>
        </w:rPr>
        <w:t xml:space="preserve"> – v 50 letech 50%, v 80 letech 80%. </w:t>
      </w:r>
    </w:p>
    <w:p w:rsidR="00392CB2" w:rsidRDefault="00392CB2" w:rsidP="00645798">
      <w:pPr>
        <w:pStyle w:val="Zkladntext"/>
        <w:jc w:val="both"/>
        <w:rPr>
          <w:b/>
          <w:sz w:val="28"/>
          <w:szCs w:val="28"/>
        </w:rPr>
      </w:pPr>
    </w:p>
    <w:p w:rsidR="00392CB2" w:rsidRDefault="00392CB2" w:rsidP="00645798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14.1.1</w:t>
      </w:r>
      <w:r w:rsidRPr="00392CB2">
        <w:rPr>
          <w:b/>
          <w:sz w:val="28"/>
          <w:szCs w:val="28"/>
        </w:rPr>
        <w:t xml:space="preserve"> Možné příčiny vzniku malnutrice</w:t>
      </w:r>
    </w:p>
    <w:p w:rsidR="00392CB2" w:rsidRPr="00392CB2" w:rsidRDefault="00392CB2" w:rsidP="00645798">
      <w:pPr>
        <w:pStyle w:val="Zkladntext"/>
        <w:jc w:val="both"/>
        <w:rPr>
          <w:b/>
          <w:sz w:val="28"/>
          <w:szCs w:val="28"/>
        </w:rPr>
      </w:pPr>
    </w:p>
    <w:p w:rsidR="00645798" w:rsidRDefault="00645798" w:rsidP="00645798">
      <w:pPr>
        <w:pStyle w:val="Zkladntext"/>
        <w:jc w:val="both"/>
        <w:rPr>
          <w:sz w:val="24"/>
          <w:szCs w:val="24"/>
        </w:rPr>
      </w:pPr>
      <w:r w:rsidRPr="00645798">
        <w:rPr>
          <w:sz w:val="24"/>
          <w:szCs w:val="24"/>
        </w:rPr>
        <w:t xml:space="preserve">Vznik malnutrice ve vyšším věku může být podmíněn i faktorem, jehož vliv si doposud v plné míře neuvědomujeme – vlivem prodlužování střední délky života se zvyšuje i procento seniorů s pokročilými aterosklerotickými změnami v oblasti </w:t>
      </w:r>
      <w:proofErr w:type="spellStart"/>
      <w:r w:rsidRPr="00645798">
        <w:rPr>
          <w:sz w:val="24"/>
          <w:szCs w:val="24"/>
        </w:rPr>
        <w:t>mezenterických</w:t>
      </w:r>
      <w:proofErr w:type="spellEnd"/>
      <w:r w:rsidRPr="00645798">
        <w:rPr>
          <w:sz w:val="24"/>
          <w:szCs w:val="24"/>
        </w:rPr>
        <w:t xml:space="preserve"> arterií s možným negativním ovlivněním funkce střevní stěny nejen z hlediska motility – vznik cévního ileu, ale </w:t>
      </w:r>
      <w:proofErr w:type="spellStart"/>
      <w:r w:rsidR="00963E7F">
        <w:rPr>
          <w:sz w:val="24"/>
          <w:szCs w:val="24"/>
        </w:rPr>
        <w:t>další</w:t>
      </w:r>
      <w:r w:rsidRPr="00645798">
        <w:rPr>
          <w:sz w:val="24"/>
          <w:szCs w:val="24"/>
        </w:rPr>
        <w:t>i</w:t>
      </w:r>
      <w:proofErr w:type="spellEnd"/>
      <w:r w:rsidRPr="00645798">
        <w:rPr>
          <w:sz w:val="24"/>
          <w:szCs w:val="24"/>
        </w:rPr>
        <w:t xml:space="preserve"> pro vznik malnutrice podstatného procesu střevní absorpce.</w:t>
      </w:r>
      <w:r w:rsidR="00B2253D">
        <w:rPr>
          <w:sz w:val="24"/>
          <w:szCs w:val="24"/>
        </w:rPr>
        <w:t xml:space="preserve"> Stejně tak se stává významnou </w:t>
      </w:r>
      <w:r w:rsidRPr="00645798">
        <w:rPr>
          <w:sz w:val="24"/>
          <w:szCs w:val="24"/>
        </w:rPr>
        <w:t xml:space="preserve">problematika divertikulózy, kdy rutinní provádění kolonoskopie prokazuje řádově častější výskyt divertiklů v oblasti sestupného tračníku u nemocných vyššího věku – popisuje </w:t>
      </w:r>
      <w:r w:rsidRPr="00645798">
        <w:rPr>
          <w:sz w:val="24"/>
          <w:szCs w:val="24"/>
        </w:rPr>
        <w:lastRenderedPageBreak/>
        <w:t>se až 80% výskyt divertikulózy u seniorů nad 80 let. Časté ataky divertikulitidy mohou také významným způsobem ovlivnit kvalitu i k</w:t>
      </w:r>
      <w:r w:rsidR="00B2253D">
        <w:rPr>
          <w:sz w:val="24"/>
          <w:szCs w:val="24"/>
        </w:rPr>
        <w:t xml:space="preserve">vantitu přijímané potravy, divertikulóza hrozí dále možnosti opakovaných </w:t>
      </w:r>
      <w:proofErr w:type="spellStart"/>
      <w:r w:rsidR="00B2253D">
        <w:rPr>
          <w:sz w:val="24"/>
          <w:szCs w:val="24"/>
        </w:rPr>
        <w:t>enterorhagií</w:t>
      </w:r>
      <w:proofErr w:type="spellEnd"/>
      <w:r w:rsidR="00B2253D">
        <w:rPr>
          <w:sz w:val="24"/>
          <w:szCs w:val="24"/>
        </w:rPr>
        <w:t xml:space="preserve"> a </w:t>
      </w:r>
      <w:proofErr w:type="spellStart"/>
      <w:r w:rsidR="00B2253D">
        <w:rPr>
          <w:sz w:val="24"/>
          <w:szCs w:val="24"/>
        </w:rPr>
        <w:t>malignizace</w:t>
      </w:r>
      <w:proofErr w:type="spellEnd"/>
      <w:r w:rsidR="00B2253D">
        <w:rPr>
          <w:sz w:val="24"/>
          <w:szCs w:val="24"/>
        </w:rPr>
        <w:t>.</w:t>
      </w:r>
      <w:r w:rsidR="00797F49">
        <w:rPr>
          <w:sz w:val="24"/>
          <w:szCs w:val="24"/>
        </w:rPr>
        <w:t xml:space="preserve"> Poruchy rytmu</w:t>
      </w:r>
      <w:r w:rsidR="00A112DE">
        <w:rPr>
          <w:sz w:val="24"/>
          <w:szCs w:val="24"/>
        </w:rPr>
        <w:t xml:space="preserve"> vyprazdňování stolice mohou mít nejrůznější příčiny i nesouvisející přímo s trávicím traktem – viz tabulka.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A112DE" w:rsidTr="00A112DE">
        <w:trPr>
          <w:gridAfter w:val="1"/>
          <w:wAfter w:w="38" w:type="dxa"/>
        </w:trPr>
        <w:tc>
          <w:tcPr>
            <w:tcW w:w="4606" w:type="dxa"/>
          </w:tcPr>
          <w:p w:rsidR="00A112DE" w:rsidRDefault="00A112DE" w:rsidP="004D27FA">
            <w:pPr>
              <w:pStyle w:val="Zkladn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možné příčiny akutního průjmu</w:t>
            </w:r>
          </w:p>
        </w:tc>
        <w:tc>
          <w:tcPr>
            <w:tcW w:w="4606" w:type="dxa"/>
          </w:tcPr>
          <w:p w:rsidR="00A112DE" w:rsidRDefault="00A112DE" w:rsidP="004D27FA">
            <w:pPr>
              <w:pStyle w:val="Zkladn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možné příčiny krátkodobé zácpy</w:t>
            </w:r>
          </w:p>
        </w:tc>
      </w:tr>
      <w:tr w:rsidR="00A112DE" w:rsidTr="00A112DE">
        <w:trPr>
          <w:gridAfter w:val="1"/>
          <w:wAfter w:w="38" w:type="dxa"/>
        </w:trPr>
        <w:tc>
          <w:tcPr>
            <w:tcW w:w="4606" w:type="dxa"/>
          </w:tcPr>
          <w:p w:rsidR="00C316D5" w:rsidRPr="00A112DE" w:rsidRDefault="004D27FA" w:rsidP="004D27FA">
            <w:pPr>
              <w:pStyle w:val="Zkladntext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bCs/>
                <w:sz w:val="24"/>
                <w:szCs w:val="24"/>
              </w:rPr>
              <w:t>dietní chyba</w:t>
            </w:r>
          </w:p>
          <w:p w:rsidR="00C316D5" w:rsidRPr="00A112DE" w:rsidRDefault="004D27FA" w:rsidP="004D27FA">
            <w:pPr>
              <w:pStyle w:val="Zkladntext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bCs/>
                <w:sz w:val="24"/>
                <w:szCs w:val="24"/>
              </w:rPr>
              <w:t xml:space="preserve">medikace (NSAID, </w:t>
            </w:r>
            <w:proofErr w:type="spellStart"/>
            <w:r w:rsidRPr="00A112DE">
              <w:rPr>
                <w:bCs/>
                <w:sz w:val="24"/>
                <w:szCs w:val="24"/>
              </w:rPr>
              <w:t>antacida</w:t>
            </w:r>
            <w:proofErr w:type="spellEnd"/>
            <w:r w:rsidRPr="00A112DE">
              <w:rPr>
                <w:bCs/>
                <w:sz w:val="24"/>
                <w:szCs w:val="24"/>
              </w:rPr>
              <w:t xml:space="preserve"> obsahující Mg, </w:t>
            </w:r>
            <w:proofErr w:type="spellStart"/>
            <w:r w:rsidRPr="00A112DE">
              <w:rPr>
                <w:bCs/>
                <w:sz w:val="24"/>
                <w:szCs w:val="24"/>
              </w:rPr>
              <w:t>antiarytmika</w:t>
            </w:r>
            <w:proofErr w:type="spellEnd"/>
            <w:r w:rsidRPr="00A112DE">
              <w:rPr>
                <w:bCs/>
                <w:sz w:val="24"/>
                <w:szCs w:val="24"/>
              </w:rPr>
              <w:t>, beta-blokátory, chinidin, digoxin)</w:t>
            </w:r>
          </w:p>
          <w:p w:rsidR="00C316D5" w:rsidRPr="00A112DE" w:rsidRDefault="004D27FA" w:rsidP="004D27FA">
            <w:pPr>
              <w:pStyle w:val="Zkladntext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bCs/>
                <w:sz w:val="24"/>
                <w:szCs w:val="24"/>
              </w:rPr>
              <w:t>infekce</w:t>
            </w:r>
          </w:p>
          <w:p w:rsidR="00A112DE" w:rsidRDefault="00A112DE" w:rsidP="004D27FA">
            <w:pPr>
              <w:pStyle w:val="Zkladntext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bCs/>
                <w:sz w:val="24"/>
                <w:szCs w:val="24"/>
              </w:rPr>
              <w:t>ischemické změny v oblasti střeva</w:t>
            </w:r>
          </w:p>
        </w:tc>
        <w:tc>
          <w:tcPr>
            <w:tcW w:w="4606" w:type="dxa"/>
          </w:tcPr>
          <w:p w:rsidR="00C316D5" w:rsidRPr="00A112DE" w:rsidRDefault="004D27FA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sz w:val="24"/>
                <w:szCs w:val="24"/>
              </w:rPr>
              <w:t>střevní poruchy</w:t>
            </w:r>
          </w:p>
          <w:p w:rsidR="00C316D5" w:rsidRPr="00A112DE" w:rsidRDefault="004D27FA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sz w:val="24"/>
                <w:szCs w:val="24"/>
              </w:rPr>
              <w:t>metabolické odchylky</w:t>
            </w:r>
          </w:p>
          <w:p w:rsidR="00C316D5" w:rsidRPr="00A112DE" w:rsidRDefault="004D27FA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sz w:val="24"/>
                <w:szCs w:val="24"/>
              </w:rPr>
              <w:t>snížení příjmu potravy, tekutin, vlákniny</w:t>
            </w:r>
          </w:p>
          <w:p w:rsidR="00C316D5" w:rsidRPr="00A112DE" w:rsidRDefault="004D27FA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sz w:val="24"/>
                <w:szCs w:val="24"/>
              </w:rPr>
              <w:t>horečka</w:t>
            </w:r>
          </w:p>
          <w:p w:rsidR="00C316D5" w:rsidRDefault="004D27FA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sz w:val="24"/>
                <w:szCs w:val="24"/>
              </w:rPr>
              <w:t>slabost, imobilita</w:t>
            </w:r>
          </w:p>
          <w:p w:rsidR="00A112DE" w:rsidRPr="00A112DE" w:rsidRDefault="00A112DE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medikace </w:t>
            </w:r>
            <w:r w:rsidRPr="004D27FA">
              <w:rPr>
                <w:sz w:val="24"/>
                <w:szCs w:val="24"/>
              </w:rPr>
              <w:t>(</w:t>
            </w:r>
            <w:r w:rsidR="004D27FA" w:rsidRPr="004D27FA">
              <w:rPr>
                <w:bCs/>
                <w:sz w:val="24"/>
                <w:szCs w:val="24"/>
              </w:rPr>
              <w:t>NSAID</w:t>
            </w:r>
            <w:r w:rsidRPr="004D27F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D27FA" w:rsidRPr="004D27FA">
              <w:rPr>
                <w:bCs/>
                <w:sz w:val="24"/>
                <w:szCs w:val="24"/>
              </w:rPr>
              <w:t>opioidy</w:t>
            </w:r>
            <w:proofErr w:type="spellEnd"/>
            <w:r w:rsidR="004D27FA" w:rsidRPr="004D27FA">
              <w:rPr>
                <w:bCs/>
                <w:sz w:val="24"/>
                <w:szCs w:val="24"/>
              </w:rPr>
              <w:t xml:space="preserve"> </w:t>
            </w:r>
            <w:r w:rsidRPr="004D27FA">
              <w:rPr>
                <w:sz w:val="24"/>
                <w:szCs w:val="24"/>
              </w:rPr>
              <w:t>,</w:t>
            </w:r>
            <w:proofErr w:type="spellStart"/>
            <w:r w:rsidR="004D27FA" w:rsidRPr="004D27FA">
              <w:rPr>
                <w:bCs/>
                <w:sz w:val="24"/>
                <w:szCs w:val="24"/>
              </w:rPr>
              <w:t>antacida</w:t>
            </w:r>
            <w:proofErr w:type="spellEnd"/>
            <w:proofErr w:type="gramEnd"/>
            <w:r w:rsidR="004D27FA" w:rsidRPr="004D27FA">
              <w:rPr>
                <w:bCs/>
                <w:sz w:val="24"/>
                <w:szCs w:val="24"/>
              </w:rPr>
              <w:t xml:space="preserve"> antidepresiva</w:t>
            </w:r>
            <w:r w:rsidRPr="004D27FA">
              <w:rPr>
                <w:bCs/>
                <w:sz w:val="24"/>
                <w:szCs w:val="24"/>
              </w:rPr>
              <w:t>,</w:t>
            </w:r>
            <w:r w:rsidR="004D27FA" w:rsidRPr="004D27FA">
              <w:rPr>
                <w:bCs/>
                <w:sz w:val="24"/>
                <w:szCs w:val="24"/>
              </w:rPr>
              <w:t xml:space="preserve"> </w:t>
            </w:r>
            <w:r w:rsidRPr="004D27FA">
              <w:rPr>
                <w:bCs/>
                <w:sz w:val="24"/>
                <w:szCs w:val="24"/>
              </w:rPr>
              <w:t xml:space="preserve">antipsychotika, antihistaminika, </w:t>
            </w:r>
            <w:r w:rsidR="004D27FA" w:rsidRPr="004D27FA">
              <w:rPr>
                <w:bCs/>
                <w:sz w:val="24"/>
                <w:szCs w:val="24"/>
              </w:rPr>
              <w:t>antikonvulziva</w:t>
            </w:r>
            <w:r w:rsidRPr="004D27FA">
              <w:rPr>
                <w:bCs/>
                <w:sz w:val="24"/>
                <w:szCs w:val="24"/>
              </w:rPr>
              <w:t xml:space="preserve">, </w:t>
            </w:r>
            <w:r w:rsidR="004D27FA" w:rsidRPr="004D27FA">
              <w:rPr>
                <w:bCs/>
                <w:sz w:val="24"/>
                <w:szCs w:val="24"/>
              </w:rPr>
              <w:t>Ca-blokátory</w:t>
            </w:r>
            <w:r w:rsidRPr="004D27FA">
              <w:rPr>
                <w:bCs/>
                <w:sz w:val="24"/>
                <w:szCs w:val="24"/>
              </w:rPr>
              <w:t>,</w:t>
            </w:r>
            <w:r w:rsidR="004D27FA">
              <w:rPr>
                <w:bCs/>
                <w:sz w:val="24"/>
                <w:szCs w:val="24"/>
              </w:rPr>
              <w:t xml:space="preserve"> di</w:t>
            </w:r>
            <w:r w:rsidR="004D27FA" w:rsidRPr="004D27FA">
              <w:rPr>
                <w:bCs/>
                <w:sz w:val="24"/>
                <w:szCs w:val="24"/>
              </w:rPr>
              <w:t>uretika</w:t>
            </w:r>
            <w:r w:rsidRPr="004D27F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4D27FA" w:rsidRPr="004D27FA">
              <w:rPr>
                <w:bCs/>
                <w:sz w:val="24"/>
                <w:szCs w:val="24"/>
              </w:rPr>
              <w:t>antiparkinsonika</w:t>
            </w:r>
            <w:proofErr w:type="spellEnd"/>
            <w:r w:rsidRPr="004D27FA">
              <w:rPr>
                <w:bCs/>
                <w:sz w:val="24"/>
                <w:szCs w:val="24"/>
              </w:rPr>
              <w:t xml:space="preserve">, </w:t>
            </w:r>
            <w:r w:rsidR="004D27FA" w:rsidRPr="004D27FA">
              <w:rPr>
                <w:bCs/>
                <w:sz w:val="24"/>
                <w:szCs w:val="24"/>
              </w:rPr>
              <w:t>železo</w:t>
            </w:r>
            <w:r w:rsidRPr="004D27FA">
              <w:rPr>
                <w:bCs/>
                <w:sz w:val="24"/>
                <w:szCs w:val="24"/>
              </w:rPr>
              <w:t>,</w:t>
            </w:r>
            <w:r w:rsidR="004D27FA" w:rsidRPr="004D27FA">
              <w:rPr>
                <w:bCs/>
                <w:sz w:val="24"/>
                <w:szCs w:val="24"/>
              </w:rPr>
              <w:t xml:space="preserve"> spasmolytika</w:t>
            </w:r>
          </w:p>
        </w:tc>
      </w:tr>
      <w:tr w:rsidR="00A112DE" w:rsidTr="00A112DE">
        <w:tc>
          <w:tcPr>
            <w:tcW w:w="4606" w:type="dxa"/>
          </w:tcPr>
          <w:p w:rsidR="00A112DE" w:rsidRDefault="00A112DE" w:rsidP="004D27FA">
            <w:pPr>
              <w:pStyle w:val="Zkladn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možné příčiny chronického průjmu</w:t>
            </w:r>
          </w:p>
        </w:tc>
        <w:tc>
          <w:tcPr>
            <w:tcW w:w="4606" w:type="dxa"/>
            <w:gridSpan w:val="2"/>
          </w:tcPr>
          <w:p w:rsidR="00A112DE" w:rsidRDefault="00A112DE" w:rsidP="004D27FA">
            <w:pPr>
              <w:pStyle w:val="Zkladn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možné příčiny dlouhodobé zácpy</w:t>
            </w:r>
          </w:p>
        </w:tc>
      </w:tr>
      <w:tr w:rsidR="00A112DE" w:rsidTr="00A112DE">
        <w:tc>
          <w:tcPr>
            <w:tcW w:w="4606" w:type="dxa"/>
          </w:tcPr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malabsorpce (žlučové kyseliny, laktóza)</w:t>
            </w:r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dietní chyby, nevhodná medikace</w:t>
            </w:r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vaskulitidy</w:t>
            </w:r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mikroskopické kolitidy</w:t>
            </w:r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 xml:space="preserve">endokrinní nemoci a hormonální </w:t>
            </w:r>
            <w:proofErr w:type="spellStart"/>
            <w:r w:rsidRPr="004D27FA">
              <w:rPr>
                <w:bCs/>
                <w:sz w:val="24"/>
                <w:szCs w:val="24"/>
              </w:rPr>
              <w:t>dysbalance</w:t>
            </w:r>
            <w:proofErr w:type="spellEnd"/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chronické infekce a zánětlivá onemocnění</w:t>
            </w:r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orgánové dysfunkce</w:t>
            </w:r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nádory</w:t>
            </w:r>
          </w:p>
          <w:p w:rsidR="00C316D5" w:rsidRPr="004D27FA" w:rsidRDefault="004D27FA" w:rsidP="004D27FA">
            <w:pPr>
              <w:pStyle w:val="Zkladntext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</w:rPr>
            </w:pPr>
            <w:r w:rsidRPr="004D27FA">
              <w:rPr>
                <w:bCs/>
                <w:sz w:val="24"/>
                <w:szCs w:val="24"/>
              </w:rPr>
              <w:t>iradiační kolitida, pooperační stavy</w:t>
            </w:r>
            <w:r w:rsidRPr="004D27FA">
              <w:rPr>
                <w:sz w:val="24"/>
                <w:szCs w:val="24"/>
              </w:rPr>
              <w:t xml:space="preserve"> </w:t>
            </w:r>
          </w:p>
          <w:p w:rsidR="00A112DE" w:rsidRDefault="00A112DE" w:rsidP="004D27FA">
            <w:pPr>
              <w:pStyle w:val="Zkladntext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A112DE" w:rsidRPr="00A112DE" w:rsidRDefault="00A112DE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sz w:val="24"/>
                <w:szCs w:val="24"/>
              </w:rPr>
              <w:t>myopatie</w:t>
            </w:r>
          </w:p>
          <w:p w:rsidR="00A112DE" w:rsidRPr="00A112DE" w:rsidRDefault="00A112DE" w:rsidP="004D27FA">
            <w:pPr>
              <w:pStyle w:val="Zkladntext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112DE">
              <w:rPr>
                <w:sz w:val="24"/>
                <w:szCs w:val="24"/>
              </w:rPr>
              <w:t>neurologická onemocnění</w:t>
            </w:r>
          </w:p>
          <w:p w:rsidR="00A112DE" w:rsidRDefault="00A112DE" w:rsidP="004D27FA">
            <w:pPr>
              <w:pStyle w:val="Zkladntext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112DE" w:rsidRPr="00645798" w:rsidRDefault="00A112DE" w:rsidP="00645798">
      <w:pPr>
        <w:pStyle w:val="Zkladntext"/>
        <w:jc w:val="both"/>
        <w:rPr>
          <w:sz w:val="24"/>
          <w:szCs w:val="24"/>
        </w:rPr>
      </w:pPr>
    </w:p>
    <w:p w:rsidR="00CC2DAE" w:rsidRPr="00A01770" w:rsidRDefault="00CC2DAE" w:rsidP="00CC2DAE">
      <w:pPr>
        <w:pStyle w:val="Zkladntext"/>
        <w:spacing w:after="0"/>
        <w:jc w:val="both"/>
        <w:rPr>
          <w:sz w:val="24"/>
          <w:szCs w:val="24"/>
        </w:rPr>
      </w:pPr>
    </w:p>
    <w:p w:rsidR="00CC2DAE" w:rsidRPr="00A01770" w:rsidRDefault="00CC2DAE" w:rsidP="00CC2DAE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Souhrnně vedou popsané změny stavby i funkce trávicího traktu ke snižování příjmu potravy a k postupnému stále výraznějšímu zužování spektra přijímané potravy. Jedním z důsledků je rozvoj </w:t>
      </w:r>
      <w:proofErr w:type="spellStart"/>
      <w:r w:rsidRPr="00A01770">
        <w:rPr>
          <w:sz w:val="24"/>
          <w:szCs w:val="24"/>
        </w:rPr>
        <w:t>proteino</w:t>
      </w:r>
      <w:proofErr w:type="spellEnd"/>
      <w:r w:rsidRPr="00A01770">
        <w:rPr>
          <w:sz w:val="24"/>
          <w:szCs w:val="24"/>
        </w:rPr>
        <w:t>-energetické malnutrice. Šetření v této oblasti ukázalo, že 16% starších nemocných žijících ve vlastním prostředí má kalorický příjem nižší než 1000kcal/den, tento příjem však má podle různých zdrojů i 17-65% hospitalizovaných a 5-59% institucionalizovaných nemocných. Důvody sníženého příjmu potravy nejsou přesně objasněny, zvažována je pochopitelně multifaktoriální etiologie – některé zvaž</w:t>
      </w:r>
      <w:r w:rsidR="007E290E">
        <w:rPr>
          <w:sz w:val="24"/>
          <w:szCs w:val="24"/>
        </w:rPr>
        <w:t>ované možnosti ukazuje tabulka</w:t>
      </w:r>
      <w:r w:rsidRPr="00A01770">
        <w:rPr>
          <w:sz w:val="24"/>
          <w:szCs w:val="24"/>
        </w:rPr>
        <w:t>.</w:t>
      </w:r>
    </w:p>
    <w:p w:rsidR="00CC2DAE" w:rsidRPr="00F63F2E" w:rsidRDefault="007E290E" w:rsidP="00CC2DAE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Tab</w:t>
      </w:r>
      <w:r w:rsidR="00CC2DAE" w:rsidRPr="00F63F2E">
        <w:rPr>
          <w:sz w:val="22"/>
          <w:szCs w:val="22"/>
        </w:rPr>
        <w:t>. Některé příčiny snižování příjmu potravy ve stáří</w:t>
      </w:r>
    </w:p>
    <w:p w:rsidR="00CC2DAE" w:rsidRPr="00A01770" w:rsidRDefault="00CC2DAE" w:rsidP="00CC2DAE">
      <w:pPr>
        <w:pStyle w:val="Zkladntext"/>
        <w:spacing w:after="0"/>
      </w:pPr>
      <w:r>
        <w:rPr>
          <w:b/>
          <w:noProof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-1393825</wp:posOffset>
            </wp:positionH>
            <wp:positionV relativeFrom="line">
              <wp:posOffset>44450</wp:posOffset>
            </wp:positionV>
            <wp:extent cx="450215" cy="441960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954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</w:pPr>
            <w:r w:rsidRPr="00A01770">
              <w:t>Příčiny patofyziologické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 xml:space="preserve">vzestup </w:t>
            </w:r>
            <w:proofErr w:type="spellStart"/>
            <w:r w:rsidRPr="00A01770">
              <w:rPr>
                <w:b/>
              </w:rPr>
              <w:t>cholecystokininu</w:t>
            </w:r>
            <w:proofErr w:type="spellEnd"/>
            <w:r w:rsidRPr="00A01770">
              <w:rPr>
                <w:b/>
              </w:rPr>
              <w:t xml:space="preserve"> a jeho </w:t>
            </w:r>
            <w:proofErr w:type="spellStart"/>
            <w:r w:rsidRPr="00A01770">
              <w:rPr>
                <w:b/>
              </w:rPr>
              <w:t>zasycovacího</w:t>
            </w:r>
            <w:proofErr w:type="spellEnd"/>
            <w:r w:rsidRPr="00A01770">
              <w:rPr>
                <w:b/>
              </w:rPr>
              <w:t xml:space="preserve"> efektu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snížené uvolňování NO žaludeční sliznicí neuvolňuje dostatečně</w:t>
            </w:r>
          </w:p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proofErr w:type="gramStart"/>
            <w:r w:rsidRPr="00A01770">
              <w:rPr>
                <w:b/>
              </w:rPr>
              <w:t>žaludeční  fundus</w:t>
            </w:r>
            <w:proofErr w:type="gramEnd"/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 xml:space="preserve">zvýšení hladiny </w:t>
            </w:r>
            <w:proofErr w:type="spellStart"/>
            <w:r w:rsidRPr="00A01770">
              <w:rPr>
                <w:b/>
              </w:rPr>
              <w:t>leptinu</w:t>
            </w:r>
            <w:proofErr w:type="spellEnd"/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proofErr w:type="spellStart"/>
            <w:r w:rsidRPr="00A01770">
              <w:rPr>
                <w:b/>
              </w:rPr>
              <w:lastRenderedPageBreak/>
              <w:t>cytokiny</w:t>
            </w:r>
            <w:proofErr w:type="spellEnd"/>
            <w:r w:rsidRPr="00A01770">
              <w:rPr>
                <w:b/>
              </w:rPr>
              <w:t xml:space="preserve"> jako TNF, IL-2, IL-6 snižují chuť k jídlu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 xml:space="preserve">snížení produkce </w:t>
            </w:r>
            <w:proofErr w:type="spellStart"/>
            <w:r w:rsidRPr="00A01770">
              <w:rPr>
                <w:b/>
              </w:rPr>
              <w:t>activinu</w:t>
            </w:r>
            <w:proofErr w:type="spellEnd"/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</w:pPr>
            <w:r w:rsidRPr="00A01770">
              <w:t>Některé další příčiny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snížené vnímání chuti a vůně stravy (zhoršováno kouřením a</w:t>
            </w:r>
          </w:p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požíváním alkoholu)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neurologické postižení (dysfagie, tremor)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léky způsobující anorexii, nau</w:t>
            </w:r>
            <w:r>
              <w:rPr>
                <w:b/>
              </w:rPr>
              <w:t>z</w:t>
            </w:r>
            <w:r w:rsidRPr="00A01770">
              <w:rPr>
                <w:b/>
              </w:rPr>
              <w:t>eu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deprese, osamělost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snižující se schopnost nakupovat a vařit</w:t>
            </w:r>
          </w:p>
        </w:tc>
      </w:tr>
      <w:tr w:rsidR="00CC2DAE" w:rsidRPr="00A01770" w:rsidTr="00746990">
        <w:tc>
          <w:tcPr>
            <w:tcW w:w="5954" w:type="dxa"/>
          </w:tcPr>
          <w:p w:rsidR="00CC2DAE" w:rsidRPr="00A01770" w:rsidRDefault="00CC2DAE" w:rsidP="00746990">
            <w:pPr>
              <w:pStyle w:val="Zkladntext"/>
              <w:jc w:val="center"/>
              <w:rPr>
                <w:b/>
              </w:rPr>
            </w:pPr>
            <w:r w:rsidRPr="00A01770">
              <w:rPr>
                <w:b/>
              </w:rPr>
              <w:t>špatná hygienická úroveň</w:t>
            </w:r>
          </w:p>
        </w:tc>
      </w:tr>
    </w:tbl>
    <w:p w:rsidR="00CC2DAE" w:rsidRPr="00A01770" w:rsidRDefault="00CC2DAE" w:rsidP="00CC2DAE">
      <w:pPr>
        <w:pStyle w:val="Zkladntext"/>
        <w:spacing w:line="360" w:lineRule="auto"/>
        <w:rPr>
          <w:b/>
          <w:sz w:val="24"/>
          <w:szCs w:val="24"/>
        </w:rPr>
      </w:pPr>
    </w:p>
    <w:p w:rsidR="00CC2DAE" w:rsidRDefault="00645798" w:rsidP="00CC2DAE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C2DAE" w:rsidRPr="00A01770">
        <w:rPr>
          <w:sz w:val="24"/>
          <w:szCs w:val="24"/>
        </w:rPr>
        <w:t xml:space="preserve">Samotná </w:t>
      </w:r>
      <w:proofErr w:type="spellStart"/>
      <w:r w:rsidR="00CC2DAE" w:rsidRPr="00A01770">
        <w:rPr>
          <w:sz w:val="24"/>
          <w:szCs w:val="24"/>
        </w:rPr>
        <w:t>proteino</w:t>
      </w:r>
      <w:proofErr w:type="spellEnd"/>
      <w:r w:rsidR="00CC2DAE" w:rsidRPr="00A01770">
        <w:rPr>
          <w:sz w:val="24"/>
          <w:szCs w:val="24"/>
        </w:rPr>
        <w:t>-kalorická malnutrice postupně vede až ke stavům podstatně zhoršujícím vyhlídky staršího nemocného. Pokles BMI pod 21kg/m</w:t>
      </w:r>
      <w:r w:rsidR="00CC2DAE" w:rsidRPr="00A01770">
        <w:rPr>
          <w:sz w:val="24"/>
          <w:szCs w:val="24"/>
          <w:vertAlign w:val="superscript"/>
        </w:rPr>
        <w:t>2</w:t>
      </w:r>
      <w:r w:rsidR="00CC2DAE" w:rsidRPr="00A01770">
        <w:rPr>
          <w:sz w:val="24"/>
          <w:szCs w:val="24"/>
        </w:rPr>
        <w:t xml:space="preserve"> je již jasným signálem problému v oblasti výživy, pokles sérové koncentrace albuminu pod 32g/l znamená zvýšenou mortalitu při jakékoli další epizodě.</w:t>
      </w:r>
      <w:r w:rsidR="004470D5">
        <w:rPr>
          <w:sz w:val="24"/>
          <w:szCs w:val="24"/>
        </w:rPr>
        <w:t xml:space="preserve"> Hodnocení BMI ve vyšším věku je rozdílné oproti mladší populaci – za normální je považováno rozmezí 22-27 kg/</w:t>
      </w:r>
      <w:r w:rsidR="004470D5" w:rsidRPr="004470D5">
        <w:rPr>
          <w:sz w:val="24"/>
          <w:szCs w:val="24"/>
        </w:rPr>
        <w:t xml:space="preserve"> </w:t>
      </w:r>
      <w:r w:rsidR="004470D5" w:rsidRPr="00A01770">
        <w:rPr>
          <w:sz w:val="24"/>
          <w:szCs w:val="24"/>
        </w:rPr>
        <w:t>m</w:t>
      </w:r>
      <w:r w:rsidR="004470D5" w:rsidRPr="00A01770">
        <w:rPr>
          <w:sz w:val="24"/>
          <w:szCs w:val="24"/>
          <w:vertAlign w:val="superscript"/>
        </w:rPr>
        <w:t>2</w:t>
      </w:r>
      <w:r w:rsidR="004470D5">
        <w:rPr>
          <w:sz w:val="24"/>
          <w:szCs w:val="24"/>
        </w:rPr>
        <w:t>.</w:t>
      </w:r>
    </w:p>
    <w:p w:rsidR="00392CB2" w:rsidRDefault="00392CB2" w:rsidP="00CC2DAE">
      <w:pPr>
        <w:pStyle w:val="Zkladntext"/>
        <w:spacing w:after="0"/>
        <w:jc w:val="both"/>
        <w:rPr>
          <w:sz w:val="24"/>
          <w:szCs w:val="24"/>
        </w:rPr>
      </w:pPr>
    </w:p>
    <w:p w:rsidR="00392CB2" w:rsidRPr="00392CB2" w:rsidRDefault="00392CB2" w:rsidP="00392CB2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14.1.2</w:t>
      </w:r>
      <w:r w:rsidRPr="00392CB2">
        <w:rPr>
          <w:b/>
          <w:sz w:val="24"/>
          <w:szCs w:val="24"/>
        </w:rPr>
        <w:t xml:space="preserve"> Možnosti diagnostiky rizika malnutrice</w:t>
      </w:r>
    </w:p>
    <w:p w:rsidR="00392CB2" w:rsidRDefault="00392CB2" w:rsidP="00CC2DAE">
      <w:pPr>
        <w:pStyle w:val="Zkladntext"/>
        <w:spacing w:after="0"/>
        <w:jc w:val="both"/>
        <w:rPr>
          <w:sz w:val="24"/>
          <w:szCs w:val="24"/>
        </w:rPr>
      </w:pPr>
    </w:p>
    <w:p w:rsidR="004470D5" w:rsidRPr="00904239" w:rsidRDefault="00392CB2" w:rsidP="00CC2DAE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Pouhé hodnocení BMI</w:t>
      </w:r>
      <w:r w:rsidR="004470D5">
        <w:rPr>
          <w:sz w:val="24"/>
          <w:szCs w:val="24"/>
        </w:rPr>
        <w:t xml:space="preserve"> nemusí poskytnout</w:t>
      </w:r>
      <w:r w:rsidR="00904239">
        <w:rPr>
          <w:sz w:val="24"/>
          <w:szCs w:val="24"/>
        </w:rPr>
        <w:t xml:space="preserve"> spolehlivou informaci o kvalitě výživy. Tendence k upřednostňování sacharidových jídel může vést ke zvyšování hmotnosti, ale za současného poklesu sérové koncentrace proteinů i ostatních </w:t>
      </w:r>
      <w:proofErr w:type="spellStart"/>
      <w:r w:rsidR="00904239">
        <w:rPr>
          <w:sz w:val="24"/>
          <w:szCs w:val="24"/>
        </w:rPr>
        <w:t>mikronutrientů</w:t>
      </w:r>
      <w:proofErr w:type="spellEnd"/>
      <w:r w:rsidR="00904239">
        <w:rPr>
          <w:sz w:val="24"/>
          <w:szCs w:val="24"/>
        </w:rPr>
        <w:t>. Tento stav nazýváme malnutriční obezita.</w:t>
      </w:r>
    </w:p>
    <w:p w:rsidR="00392CB2" w:rsidRDefault="00392CB2" w:rsidP="00645798">
      <w:pPr>
        <w:pStyle w:val="Zkladntext"/>
        <w:rPr>
          <w:sz w:val="24"/>
          <w:szCs w:val="24"/>
        </w:rPr>
      </w:pPr>
    </w:p>
    <w:p w:rsidR="00645798" w:rsidRDefault="00645798" w:rsidP="00645798">
      <w:pPr>
        <w:pStyle w:val="Zkladntext"/>
        <w:rPr>
          <w:sz w:val="24"/>
          <w:szCs w:val="24"/>
        </w:rPr>
      </w:pPr>
      <w:r w:rsidRPr="00645798">
        <w:rPr>
          <w:sz w:val="24"/>
          <w:szCs w:val="24"/>
        </w:rPr>
        <w:t xml:space="preserve">     Identifikace nemocných v riziku vzniku malnutrice, ale i již malnutričních je bez použití specifických testů velmi nedokonalá a pouhé odhadování nutričního stavu na základě vizuálního vjemu je nedostatečné. Používání standardizovaného testu MNA je doporučováno pro rutinní uží</w:t>
      </w:r>
      <w:r>
        <w:rPr>
          <w:sz w:val="24"/>
          <w:szCs w:val="24"/>
        </w:rPr>
        <w:t>vání i v našich zemích</w:t>
      </w:r>
      <w:r w:rsidRPr="00645798">
        <w:rPr>
          <w:sz w:val="24"/>
          <w:szCs w:val="24"/>
        </w:rPr>
        <w:t>. Z laboratorních metod jsou citlivými indikátory stav</w:t>
      </w:r>
      <w:r>
        <w:rPr>
          <w:sz w:val="24"/>
          <w:szCs w:val="24"/>
        </w:rPr>
        <w:t xml:space="preserve">u výživy </w:t>
      </w:r>
      <w:proofErr w:type="spellStart"/>
      <w:r>
        <w:rPr>
          <w:sz w:val="24"/>
          <w:szCs w:val="24"/>
        </w:rPr>
        <w:t>prealbumin</w:t>
      </w:r>
      <w:proofErr w:type="spellEnd"/>
      <w:r>
        <w:rPr>
          <w:sz w:val="24"/>
          <w:szCs w:val="24"/>
        </w:rPr>
        <w:t xml:space="preserve"> a transferin</w:t>
      </w:r>
      <w:r w:rsidRPr="00645798">
        <w:rPr>
          <w:sz w:val="24"/>
          <w:szCs w:val="24"/>
        </w:rPr>
        <w:t xml:space="preserve">, které mají krátký biologický poločas. Dojde-li již i ke snížení hladiny albuminu s biologickým poločasem 18 dní, je zřejmé, že závažná porucha příjmu potravy trvá 10 dní a déle. Měsíce trvající poruchy potom vedou i ke snížení sérové hladiny celkové bílkoviny pod </w:t>
      </w:r>
      <w:r w:rsidR="004470D5">
        <w:rPr>
          <w:sz w:val="24"/>
          <w:szCs w:val="24"/>
        </w:rPr>
        <w:t>dolní hranici normálního rozmezí</w:t>
      </w:r>
      <w:r w:rsidRPr="00645798">
        <w:rPr>
          <w:sz w:val="24"/>
          <w:szCs w:val="24"/>
        </w:rPr>
        <w:t>. U geriatrických nemocných je nutno při hodnocení sérových hladin zvažovat i subklinickou nebo klinicky patrnou dehydrataci, jejíž léčba má za následek další snížení koncentrací sérových hladin.</w:t>
      </w:r>
    </w:p>
    <w:p w:rsidR="00392CB2" w:rsidRDefault="00392CB2" w:rsidP="00392CB2">
      <w:pPr>
        <w:pStyle w:val="Zkladntext"/>
        <w:spacing w:after="0"/>
        <w:jc w:val="both"/>
        <w:rPr>
          <w:sz w:val="24"/>
          <w:szCs w:val="24"/>
        </w:rPr>
      </w:pPr>
    </w:p>
    <w:p w:rsidR="00392CB2" w:rsidRPr="00392CB2" w:rsidRDefault="00392CB2" w:rsidP="00392CB2">
      <w:pPr>
        <w:pStyle w:val="Zkladntext"/>
        <w:spacing w:after="0"/>
        <w:jc w:val="both"/>
        <w:rPr>
          <w:b/>
          <w:sz w:val="24"/>
          <w:szCs w:val="24"/>
        </w:rPr>
      </w:pPr>
      <w:r w:rsidRPr="00392CB2">
        <w:rPr>
          <w:b/>
          <w:sz w:val="24"/>
          <w:szCs w:val="24"/>
        </w:rPr>
        <w:t xml:space="preserve">14.1.3 </w:t>
      </w:r>
      <w:r w:rsidRPr="00392CB2">
        <w:rPr>
          <w:b/>
          <w:sz w:val="24"/>
          <w:szCs w:val="24"/>
        </w:rPr>
        <w:t>Možnosti řešení nechutenství/malnutrice u seniorů.</w:t>
      </w:r>
    </w:p>
    <w:p w:rsidR="00392CB2" w:rsidRDefault="00392CB2" w:rsidP="00392CB2">
      <w:pPr>
        <w:pStyle w:val="Zkladntext"/>
        <w:spacing w:after="0"/>
        <w:ind w:firstLine="539"/>
        <w:jc w:val="both"/>
        <w:rPr>
          <w:b/>
          <w:sz w:val="24"/>
          <w:szCs w:val="24"/>
        </w:rPr>
      </w:pPr>
    </w:p>
    <w:p w:rsidR="00392CB2" w:rsidRPr="0057174C" w:rsidRDefault="00392CB2" w:rsidP="00392CB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Volba metody záleží na aktuálním problému – pouhé nechutenství je mnohdy možno řešit úpravou způsobu</w:t>
      </w:r>
      <w:r w:rsidRPr="0057174C">
        <w:rPr>
          <w:sz w:val="24"/>
          <w:szCs w:val="24"/>
        </w:rPr>
        <w:t xml:space="preserve"> podání stravy – malé porce na malém talíři, </w:t>
      </w:r>
      <w:r>
        <w:rPr>
          <w:sz w:val="24"/>
          <w:szCs w:val="24"/>
        </w:rPr>
        <w:t xml:space="preserve">přednost </w:t>
      </w:r>
      <w:r w:rsidRPr="0057174C">
        <w:rPr>
          <w:sz w:val="24"/>
          <w:szCs w:val="24"/>
        </w:rPr>
        <w:t>studen</w:t>
      </w:r>
      <w:r>
        <w:rPr>
          <w:sz w:val="24"/>
          <w:szCs w:val="24"/>
        </w:rPr>
        <w:t>é</w:t>
      </w:r>
      <w:r w:rsidRPr="0057174C">
        <w:rPr>
          <w:sz w:val="24"/>
          <w:szCs w:val="24"/>
        </w:rPr>
        <w:t xml:space="preserve"> kuchyn</w:t>
      </w:r>
      <w:r>
        <w:rPr>
          <w:sz w:val="24"/>
          <w:szCs w:val="24"/>
        </w:rPr>
        <w:t>i</w:t>
      </w:r>
      <w:r w:rsidRPr="0057174C">
        <w:rPr>
          <w:sz w:val="24"/>
          <w:szCs w:val="24"/>
        </w:rPr>
        <w:t>, ochucení</w:t>
      </w:r>
      <w:r>
        <w:rPr>
          <w:sz w:val="24"/>
          <w:szCs w:val="24"/>
        </w:rPr>
        <w:t xml:space="preserve"> novými druhy koření apod.</w:t>
      </w:r>
    </w:p>
    <w:p w:rsidR="00392CB2" w:rsidRDefault="00392CB2" w:rsidP="00392CB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jsou možné </w:t>
      </w:r>
      <w:r w:rsidRPr="0057174C">
        <w:rPr>
          <w:sz w:val="24"/>
          <w:szCs w:val="24"/>
        </w:rPr>
        <w:t>změny</w:t>
      </w:r>
      <w:r>
        <w:rPr>
          <w:sz w:val="24"/>
          <w:szCs w:val="24"/>
        </w:rPr>
        <w:t xml:space="preserve"> volby stravy</w:t>
      </w:r>
      <w:r w:rsidRPr="0057174C">
        <w:rPr>
          <w:sz w:val="24"/>
          <w:szCs w:val="24"/>
        </w:rPr>
        <w:t xml:space="preserve"> v rámci existujícího dietního systému</w:t>
      </w:r>
      <w:r>
        <w:rPr>
          <w:sz w:val="24"/>
          <w:szCs w:val="24"/>
        </w:rPr>
        <w:t xml:space="preserve"> – přídavky dle chuti pacientka nebo</w:t>
      </w:r>
      <w:r w:rsidRPr="0057174C">
        <w:rPr>
          <w:sz w:val="24"/>
          <w:szCs w:val="24"/>
        </w:rPr>
        <w:t xml:space="preserve"> dieta č. 14 výběrová</w:t>
      </w:r>
      <w:r>
        <w:rPr>
          <w:sz w:val="24"/>
          <w:szCs w:val="24"/>
        </w:rPr>
        <w:t xml:space="preserve">, kdy si nemocný za asistence nutriční terapeutiky vybere na příštích 24 hodin to, o čem se domnívá, že bude schopen sníst. Terapeutka zhodnotí výběr po stránce kvalitativní. </w:t>
      </w:r>
    </w:p>
    <w:p w:rsidR="00392CB2" w:rsidRPr="0057174C" w:rsidRDefault="00392CB2" w:rsidP="00392CB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snížení spontánního příjmu stravy doplňujeme </w:t>
      </w:r>
      <w:proofErr w:type="spellStart"/>
      <w:r>
        <w:rPr>
          <w:sz w:val="24"/>
          <w:szCs w:val="24"/>
        </w:rPr>
        <w:t>sippingem</w:t>
      </w:r>
      <w:proofErr w:type="spellEnd"/>
      <w:r>
        <w:rPr>
          <w:sz w:val="24"/>
          <w:szCs w:val="24"/>
        </w:rPr>
        <w:t xml:space="preserve">, tedy nápoji na podkladě kravského či </w:t>
      </w:r>
      <w:proofErr w:type="spellStart"/>
      <w:r>
        <w:rPr>
          <w:sz w:val="24"/>
          <w:szCs w:val="24"/>
        </w:rPr>
        <w:t>sojového</w:t>
      </w:r>
      <w:proofErr w:type="spellEnd"/>
      <w:r>
        <w:rPr>
          <w:sz w:val="24"/>
          <w:szCs w:val="24"/>
        </w:rPr>
        <w:t xml:space="preserve"> mléka s přídavky základních živin, vlákniny apod. Úhrada poloviční dávky stravy zahrnuje 3-4 250ml balení.</w:t>
      </w:r>
    </w:p>
    <w:p w:rsidR="00392CB2" w:rsidRDefault="00392CB2" w:rsidP="00392CB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nemožnosti využít předcházející způsoby zvažujeme enterální výživu sondou – dle situace většinou </w:t>
      </w:r>
      <w:proofErr w:type="spellStart"/>
      <w:r>
        <w:rPr>
          <w:sz w:val="24"/>
          <w:szCs w:val="24"/>
        </w:rPr>
        <w:t>nasogastrickou</w:t>
      </w:r>
      <w:proofErr w:type="spellEnd"/>
      <w:r>
        <w:rPr>
          <w:sz w:val="24"/>
          <w:szCs w:val="24"/>
        </w:rPr>
        <w:t xml:space="preserve">, při potřebě dodávat elementární výživu volíme sondu </w:t>
      </w:r>
      <w:proofErr w:type="spellStart"/>
      <w:r>
        <w:rPr>
          <w:sz w:val="24"/>
          <w:szCs w:val="24"/>
        </w:rPr>
        <w:t>nasojejunální</w:t>
      </w:r>
      <w:proofErr w:type="spellEnd"/>
      <w:r>
        <w:rPr>
          <w:sz w:val="24"/>
          <w:szCs w:val="24"/>
        </w:rPr>
        <w:t>.</w:t>
      </w:r>
    </w:p>
    <w:p w:rsidR="00392CB2" w:rsidRDefault="00392CB2" w:rsidP="00392CB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Teprve po vyčerpání předcházejících možností přistupujeme k výživě parenterální podpůrné při zachování zbytkového příjmu per os nebo kompletní při úplném vyloučení perorálního příjmu. Vzhledem k nefyziologickým poměrům zpracování stravy a také negativního vlivu vyloučení střeva z trávicího procesu využíváme parenterální podání jen po dobu nezbytně nutnou.</w:t>
      </w:r>
    </w:p>
    <w:p w:rsidR="00392CB2" w:rsidRPr="00645798" w:rsidRDefault="00392CB2" w:rsidP="00645798">
      <w:pPr>
        <w:pStyle w:val="Zkladntext"/>
        <w:rPr>
          <w:sz w:val="24"/>
          <w:szCs w:val="24"/>
        </w:rPr>
      </w:pPr>
    </w:p>
    <w:p w:rsidR="00392CB2" w:rsidRDefault="00392CB2" w:rsidP="00392CB2">
      <w:pPr>
        <w:pStyle w:val="Zkladntext"/>
        <w:spacing w:after="0"/>
        <w:jc w:val="both"/>
        <w:rPr>
          <w:sz w:val="24"/>
          <w:szCs w:val="24"/>
        </w:rPr>
      </w:pPr>
    </w:p>
    <w:p w:rsidR="00392CB2" w:rsidRDefault="00392CB2" w:rsidP="00392CB2">
      <w:pPr>
        <w:pStyle w:val="Zkladntext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14.2 Poruchy metabolizmu</w:t>
      </w:r>
      <w:r w:rsidR="00DB5B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minerálů</w:t>
      </w:r>
      <w:r w:rsidR="00DB5BE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vitaminů </w:t>
      </w:r>
      <w:r w:rsidR="00DB5BEE">
        <w:rPr>
          <w:b/>
          <w:sz w:val="24"/>
          <w:szCs w:val="24"/>
        </w:rPr>
        <w:t xml:space="preserve">a tekutin </w:t>
      </w:r>
      <w:r>
        <w:rPr>
          <w:b/>
          <w:sz w:val="24"/>
          <w:szCs w:val="24"/>
        </w:rPr>
        <w:t>ve stáří</w:t>
      </w:r>
    </w:p>
    <w:p w:rsidR="00C17BED" w:rsidRDefault="00C17BED" w:rsidP="00392CB2">
      <w:pPr>
        <w:pStyle w:val="Zkladntext"/>
        <w:spacing w:after="0"/>
        <w:jc w:val="both"/>
        <w:rPr>
          <w:b/>
          <w:sz w:val="24"/>
          <w:szCs w:val="24"/>
        </w:rPr>
      </w:pPr>
    </w:p>
    <w:p w:rsidR="00C17BED" w:rsidRPr="00392CB2" w:rsidRDefault="00C17BED" w:rsidP="00392CB2">
      <w:pPr>
        <w:pStyle w:val="Zkladntext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14.2.1 Poruchy metabolizmu minerálů a vitaminů</w:t>
      </w:r>
    </w:p>
    <w:p w:rsidR="00392CB2" w:rsidRDefault="00392CB2" w:rsidP="00CC2DAE">
      <w:pPr>
        <w:pStyle w:val="Zkladntext"/>
        <w:spacing w:after="0"/>
        <w:ind w:firstLine="539"/>
        <w:jc w:val="both"/>
        <w:rPr>
          <w:sz w:val="24"/>
          <w:szCs w:val="24"/>
        </w:rPr>
      </w:pPr>
    </w:p>
    <w:p w:rsidR="00CC2DAE" w:rsidRPr="00A01770" w:rsidRDefault="00CC2DAE" w:rsidP="00CC2DAE">
      <w:pPr>
        <w:pStyle w:val="Zkladntext"/>
        <w:spacing w:after="0"/>
        <w:jc w:val="both"/>
        <w:rPr>
          <w:sz w:val="24"/>
          <w:szCs w:val="24"/>
        </w:rPr>
      </w:pPr>
    </w:p>
    <w:p w:rsidR="00CC2DAE" w:rsidRPr="00A01770" w:rsidRDefault="00DB5BEE" w:rsidP="00CC2DAE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C2DAE" w:rsidRPr="00A01770">
        <w:rPr>
          <w:sz w:val="24"/>
          <w:szCs w:val="24"/>
        </w:rPr>
        <w:t xml:space="preserve">Sníženým příjmem potravy a tekutin dochází sekundárně k poruchám metabolizmu minerálů. Známé jsou souvislosti změn hladin natria a kalia – snížený příjem potravy vede ke katabolizmu se sekundární ztrátou tekutin, souběžný snížený příjem tekutin potencuje vznik </w:t>
      </w:r>
      <w:proofErr w:type="spellStart"/>
      <w:r w:rsidR="00CC2DAE" w:rsidRPr="00A01770">
        <w:rPr>
          <w:sz w:val="24"/>
          <w:szCs w:val="24"/>
        </w:rPr>
        <w:t>hypernatrémické</w:t>
      </w:r>
      <w:proofErr w:type="spellEnd"/>
      <w:r w:rsidR="00CC2DAE" w:rsidRPr="00A01770">
        <w:rPr>
          <w:sz w:val="24"/>
          <w:szCs w:val="24"/>
        </w:rPr>
        <w:t xml:space="preserve"> dehydratace. Postižen je však i metabolizmus vápníku. Jeho vstřebávání je ovlivněno ve stáří poklesem schopnosti hydroxylace vitaminu D, navíc snižující se hladina albuminu – vazebného proteinu vápníku - nadále jeho sérovou koncentraci snižuje. </w:t>
      </w:r>
      <w:proofErr w:type="spellStart"/>
      <w:r w:rsidR="00CC2DAE" w:rsidRPr="00A01770">
        <w:rPr>
          <w:sz w:val="24"/>
          <w:szCs w:val="24"/>
        </w:rPr>
        <w:t>Hypokalcémie</w:t>
      </w:r>
      <w:proofErr w:type="spellEnd"/>
      <w:r w:rsidR="00CC2DAE" w:rsidRPr="00A01770">
        <w:rPr>
          <w:sz w:val="24"/>
          <w:szCs w:val="24"/>
        </w:rPr>
        <w:t xml:space="preserve"> vede k pohotovosti ke křečím kosterního svalstva, pohotovosti k arytmiím, chronická </w:t>
      </w:r>
      <w:proofErr w:type="spellStart"/>
      <w:r w:rsidR="00CC2DAE" w:rsidRPr="00A01770">
        <w:rPr>
          <w:sz w:val="24"/>
          <w:szCs w:val="24"/>
        </w:rPr>
        <w:t>hypokalcémie</w:t>
      </w:r>
      <w:proofErr w:type="spellEnd"/>
      <w:r w:rsidR="00CC2DAE" w:rsidRPr="00A01770">
        <w:rPr>
          <w:sz w:val="24"/>
          <w:szCs w:val="24"/>
        </w:rPr>
        <w:t xml:space="preserve"> může vést až ke vzniku encefalopatie, která však u staršího nemocného může být považována za projevy demence, deprese či jiné psychózy. Chronická </w:t>
      </w:r>
      <w:proofErr w:type="spellStart"/>
      <w:r w:rsidR="00CC2DAE" w:rsidRPr="00A01770">
        <w:rPr>
          <w:sz w:val="24"/>
          <w:szCs w:val="24"/>
        </w:rPr>
        <w:t>hypokalcémie</w:t>
      </w:r>
      <w:proofErr w:type="spellEnd"/>
      <w:r w:rsidR="00CC2DAE" w:rsidRPr="00A01770">
        <w:rPr>
          <w:sz w:val="24"/>
          <w:szCs w:val="24"/>
        </w:rPr>
        <w:t xml:space="preserve"> podporuje vznik katarakty, vytváří podmínky pro chronickou  kandidovou infekci a zásadní význam má pro vznik senilní osteoporózy. Magnézium je intracelulárním iontem, extracelulárně soutěží s kalciem o vazebná místa, úbytek albuminu má tedy také nepříznivý vliv na jeho hladinu. </w:t>
      </w:r>
      <w:proofErr w:type="spellStart"/>
      <w:r w:rsidR="00CC2DAE" w:rsidRPr="00A01770">
        <w:rPr>
          <w:sz w:val="24"/>
          <w:szCs w:val="24"/>
        </w:rPr>
        <w:t>Hypomagnézémie</w:t>
      </w:r>
      <w:proofErr w:type="spellEnd"/>
      <w:r w:rsidR="00CC2DAE" w:rsidRPr="00A01770">
        <w:rPr>
          <w:sz w:val="24"/>
          <w:szCs w:val="24"/>
        </w:rPr>
        <w:t xml:space="preserve"> zvyšuje </w:t>
      </w:r>
      <w:proofErr w:type="spellStart"/>
      <w:r w:rsidR="00CC2DAE" w:rsidRPr="00A01770">
        <w:rPr>
          <w:sz w:val="24"/>
          <w:szCs w:val="24"/>
        </w:rPr>
        <w:t>irritabilitu</w:t>
      </w:r>
      <w:proofErr w:type="spellEnd"/>
      <w:r w:rsidR="00CC2DAE" w:rsidRPr="00A01770">
        <w:rPr>
          <w:sz w:val="24"/>
          <w:szCs w:val="24"/>
        </w:rPr>
        <w:t xml:space="preserve"> kosterního svalstva, myokardiálních myofibril i převodního systému, tedy zvyšuje pohotovost ke svalovým </w:t>
      </w:r>
      <w:proofErr w:type="spellStart"/>
      <w:r w:rsidR="00CC2DAE" w:rsidRPr="00A01770">
        <w:rPr>
          <w:sz w:val="24"/>
          <w:szCs w:val="24"/>
        </w:rPr>
        <w:t>křečim</w:t>
      </w:r>
      <w:proofErr w:type="spellEnd"/>
      <w:r w:rsidR="00CC2DAE" w:rsidRPr="00A01770">
        <w:rPr>
          <w:sz w:val="24"/>
          <w:szCs w:val="24"/>
        </w:rPr>
        <w:t xml:space="preserve"> a srdečním arytmiím. Při </w:t>
      </w:r>
      <w:proofErr w:type="spellStart"/>
      <w:r w:rsidR="00CC2DAE" w:rsidRPr="00A01770">
        <w:rPr>
          <w:sz w:val="24"/>
          <w:szCs w:val="24"/>
        </w:rPr>
        <w:t>hypomagnézémii</w:t>
      </w:r>
      <w:proofErr w:type="spellEnd"/>
      <w:r w:rsidR="00CC2DAE" w:rsidRPr="00A01770">
        <w:rPr>
          <w:sz w:val="24"/>
          <w:szCs w:val="24"/>
        </w:rPr>
        <w:t xml:space="preserve"> jsou také popisovány častější a intenzivnější záchvaty anginy pectoris.</w:t>
      </w:r>
    </w:p>
    <w:p w:rsidR="00CC2DAE" w:rsidRPr="00A01770" w:rsidRDefault="00CC2DAE" w:rsidP="00CC2DAE">
      <w:pPr>
        <w:pStyle w:val="Zkladntext"/>
        <w:spacing w:after="0"/>
        <w:ind w:firstLine="539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Fosfor zajišťuje svými podílem na </w:t>
      </w:r>
      <w:proofErr w:type="spellStart"/>
      <w:r w:rsidRPr="00A01770">
        <w:rPr>
          <w:sz w:val="24"/>
          <w:szCs w:val="24"/>
        </w:rPr>
        <w:t>makroergních</w:t>
      </w:r>
      <w:proofErr w:type="spellEnd"/>
      <w:r w:rsidRPr="00A01770">
        <w:rPr>
          <w:sz w:val="24"/>
          <w:szCs w:val="24"/>
        </w:rPr>
        <w:t xml:space="preserve"> vazbách schopnost zpracování energie. Dlouhodobě nepříznivý stav výživy způsobuje pokles sérové hladiny i zásob fosforu, a tím znesnadňuje i po obnovení dodávek živin utilizaci energie v organizmu.</w:t>
      </w:r>
    </w:p>
    <w:p w:rsidR="00CC2DAE" w:rsidRDefault="00CC2DAE" w:rsidP="007E290E">
      <w:pPr>
        <w:pStyle w:val="Zkladntext"/>
        <w:spacing w:after="0"/>
        <w:ind w:firstLine="539"/>
        <w:jc w:val="both"/>
      </w:pPr>
      <w:r w:rsidRPr="00A01770">
        <w:rPr>
          <w:sz w:val="24"/>
          <w:szCs w:val="24"/>
        </w:rPr>
        <w:t>Hypovit</w:t>
      </w:r>
      <w:r w:rsidR="006901E8">
        <w:rPr>
          <w:sz w:val="24"/>
          <w:szCs w:val="24"/>
        </w:rPr>
        <w:t>aminózy jsou dalším nepříznivým</w:t>
      </w:r>
      <w:r w:rsidRPr="00A01770">
        <w:rPr>
          <w:sz w:val="24"/>
          <w:szCs w:val="24"/>
        </w:rPr>
        <w:t xml:space="preserve"> důsledkem dlouhodobých změn v příjmu potravy. Postižení jsou zvláště obyvatelé ústavů řazení do kategorie seniorů „</w:t>
      </w:r>
      <w:proofErr w:type="spellStart"/>
      <w:r w:rsidRPr="00A01770">
        <w:rPr>
          <w:sz w:val="24"/>
          <w:szCs w:val="24"/>
        </w:rPr>
        <w:t>frail</w:t>
      </w:r>
      <w:proofErr w:type="spellEnd"/>
      <w:r w:rsidRPr="00A01770">
        <w:rPr>
          <w:sz w:val="24"/>
          <w:szCs w:val="24"/>
        </w:rPr>
        <w:t xml:space="preserve">“, tedy křehkých, u kterých každá epizoda </w:t>
      </w:r>
      <w:proofErr w:type="spellStart"/>
      <w:r w:rsidRPr="00A01770">
        <w:rPr>
          <w:sz w:val="24"/>
          <w:szCs w:val="24"/>
        </w:rPr>
        <w:t>interkurentní</w:t>
      </w:r>
      <w:proofErr w:type="spellEnd"/>
      <w:r w:rsidRPr="00A01770">
        <w:rPr>
          <w:sz w:val="24"/>
          <w:szCs w:val="24"/>
        </w:rPr>
        <w:t xml:space="preserve"> infekce může znamenat podstatné zhoršení jejich celkového stavu.  Hypovitaminózy zhoršují projevy demence (</w:t>
      </w:r>
      <w:r w:rsidR="007E290E">
        <w:rPr>
          <w:sz w:val="24"/>
          <w:szCs w:val="24"/>
        </w:rPr>
        <w:t xml:space="preserve">D, </w:t>
      </w:r>
      <w:r w:rsidRPr="00A01770">
        <w:rPr>
          <w:sz w:val="24"/>
          <w:szCs w:val="24"/>
        </w:rPr>
        <w:t>B</w:t>
      </w:r>
      <w:r w:rsidRPr="00A01770">
        <w:rPr>
          <w:sz w:val="24"/>
          <w:szCs w:val="24"/>
          <w:vertAlign w:val="subscript"/>
        </w:rPr>
        <w:t>12</w:t>
      </w:r>
      <w:r w:rsidRPr="00A01770">
        <w:rPr>
          <w:sz w:val="24"/>
          <w:szCs w:val="24"/>
        </w:rPr>
        <w:t>, B</w:t>
      </w:r>
      <w:r w:rsidRPr="00A01770">
        <w:rPr>
          <w:sz w:val="24"/>
          <w:szCs w:val="24"/>
          <w:vertAlign w:val="subscript"/>
        </w:rPr>
        <w:t>6</w:t>
      </w:r>
      <w:r w:rsidRPr="00A01770">
        <w:rPr>
          <w:sz w:val="24"/>
          <w:szCs w:val="24"/>
        </w:rPr>
        <w:t>), zpomalují hojení ran (C), jsou příčinou anemie (B</w:t>
      </w:r>
      <w:r w:rsidRPr="00A01770">
        <w:rPr>
          <w:sz w:val="24"/>
          <w:szCs w:val="24"/>
          <w:vertAlign w:val="subscript"/>
        </w:rPr>
        <w:t>12</w:t>
      </w:r>
      <w:r w:rsidRPr="00A01770">
        <w:rPr>
          <w:sz w:val="24"/>
          <w:szCs w:val="24"/>
        </w:rPr>
        <w:t xml:space="preserve">, </w:t>
      </w:r>
      <w:proofErr w:type="spellStart"/>
      <w:r w:rsidRPr="00A01770">
        <w:rPr>
          <w:sz w:val="24"/>
          <w:szCs w:val="24"/>
        </w:rPr>
        <w:t>kys</w:t>
      </w:r>
      <w:proofErr w:type="spellEnd"/>
      <w:r w:rsidRPr="00A01770">
        <w:rPr>
          <w:sz w:val="24"/>
          <w:szCs w:val="24"/>
        </w:rPr>
        <w:t xml:space="preserve">. </w:t>
      </w:r>
      <w:proofErr w:type="gramStart"/>
      <w:r w:rsidRPr="00A01770">
        <w:rPr>
          <w:sz w:val="24"/>
          <w:szCs w:val="24"/>
        </w:rPr>
        <w:t>listová</w:t>
      </w:r>
      <w:proofErr w:type="gramEnd"/>
      <w:r w:rsidRPr="00A01770">
        <w:rPr>
          <w:sz w:val="24"/>
          <w:szCs w:val="24"/>
        </w:rPr>
        <w:t xml:space="preserve">), zvyšují náchylnost k infekcím (B,C) a  zhoršují obranyschopnost organizmu (A,C,D), zvyšují koncentraci </w:t>
      </w:r>
      <w:proofErr w:type="spellStart"/>
      <w:r w:rsidRPr="00A01770">
        <w:rPr>
          <w:sz w:val="24"/>
          <w:szCs w:val="24"/>
        </w:rPr>
        <w:t>homocysteinu</w:t>
      </w:r>
      <w:proofErr w:type="spellEnd"/>
      <w:r w:rsidRPr="00A01770">
        <w:rPr>
          <w:sz w:val="24"/>
          <w:szCs w:val="24"/>
        </w:rPr>
        <w:t xml:space="preserve"> a tím i pravděpodobnost rozvoje kardiovaskulárních chorob (</w:t>
      </w:r>
      <w:proofErr w:type="spellStart"/>
      <w:r w:rsidRPr="00A01770">
        <w:rPr>
          <w:sz w:val="24"/>
          <w:szCs w:val="24"/>
        </w:rPr>
        <w:t>kys</w:t>
      </w:r>
      <w:proofErr w:type="spellEnd"/>
      <w:r w:rsidRPr="00A01770">
        <w:rPr>
          <w:sz w:val="24"/>
          <w:szCs w:val="24"/>
        </w:rPr>
        <w:t xml:space="preserve">. listová). Vznik hypovitaminóz </w:t>
      </w:r>
      <w:proofErr w:type="spellStart"/>
      <w:r w:rsidRPr="00A01770">
        <w:rPr>
          <w:sz w:val="24"/>
          <w:szCs w:val="24"/>
        </w:rPr>
        <w:t>hydrosolubilních</w:t>
      </w:r>
      <w:proofErr w:type="spellEnd"/>
      <w:r w:rsidRPr="00A01770">
        <w:rPr>
          <w:sz w:val="24"/>
          <w:szCs w:val="24"/>
        </w:rPr>
        <w:t xml:space="preserve"> vitaminů je nutno očekávat, trvá-li zhoršení příjmu potravy 6-12 měsíců, hypovitaminózy </w:t>
      </w:r>
      <w:proofErr w:type="spellStart"/>
      <w:r w:rsidRPr="00A01770">
        <w:rPr>
          <w:sz w:val="24"/>
          <w:szCs w:val="24"/>
        </w:rPr>
        <w:t>liposolubilních</w:t>
      </w:r>
      <w:proofErr w:type="spellEnd"/>
      <w:r w:rsidRPr="00A01770">
        <w:rPr>
          <w:sz w:val="24"/>
          <w:szCs w:val="24"/>
        </w:rPr>
        <w:t xml:space="preserve"> vitaminů se objevují, trvá-li změna ve výživě déle než 12 měsíců.</w:t>
      </w:r>
    </w:p>
    <w:p w:rsidR="007E290E" w:rsidRPr="007E290E" w:rsidRDefault="007E290E" w:rsidP="007E290E">
      <w:pPr>
        <w:pStyle w:val="Zkladntext"/>
        <w:spacing w:after="0"/>
        <w:ind w:firstLine="539"/>
        <w:jc w:val="both"/>
      </w:pPr>
    </w:p>
    <w:p w:rsidR="00CC2DAE" w:rsidRPr="00A01770" w:rsidRDefault="00C17BED" w:rsidP="00CC2DAE">
      <w:pPr>
        <w:pStyle w:val="Nadpis2"/>
      </w:pPr>
      <w:bookmarkStart w:id="1" w:name="_Toc298940605"/>
      <w:r>
        <w:lastRenderedPageBreak/>
        <w:t>14.2.2</w:t>
      </w:r>
      <w:bookmarkStart w:id="2" w:name="_GoBack"/>
      <w:bookmarkEnd w:id="2"/>
      <w:r w:rsidR="00CC2DAE" w:rsidRPr="00A01770">
        <w:t xml:space="preserve"> Specifické por</w:t>
      </w:r>
      <w:r>
        <w:t>uchy metabolizmu vody</w:t>
      </w:r>
      <w:r w:rsidR="00CC2DAE">
        <w:t xml:space="preserve"> </w:t>
      </w:r>
      <w:r w:rsidR="00CC2DAE" w:rsidRPr="00A01770">
        <w:t>u starších nemocných</w:t>
      </w:r>
      <w:bookmarkEnd w:id="1"/>
    </w:p>
    <w:p w:rsidR="00CC2DAE" w:rsidRPr="00A01770" w:rsidRDefault="00CC2DAE" w:rsidP="00CC2DAE">
      <w:pPr>
        <w:pStyle w:val="Zkladntext"/>
        <w:spacing w:after="0"/>
        <w:jc w:val="both"/>
      </w:pPr>
    </w:p>
    <w:p w:rsidR="00CC2DAE" w:rsidRPr="00A01770" w:rsidRDefault="00CC2DAE" w:rsidP="00CC2DAE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>.</w:t>
      </w:r>
    </w:p>
    <w:p w:rsidR="00DB5BEE" w:rsidRPr="00A01770" w:rsidRDefault="00DB5BEE" w:rsidP="00DB5BEE">
      <w:pPr>
        <w:pStyle w:val="Zkladntext"/>
        <w:spacing w:after="0"/>
        <w:ind w:firstLine="539"/>
        <w:jc w:val="both"/>
        <w:rPr>
          <w:sz w:val="24"/>
          <w:szCs w:val="24"/>
        </w:rPr>
      </w:pPr>
      <w:r w:rsidRPr="00A01770">
        <w:rPr>
          <w:sz w:val="24"/>
          <w:szCs w:val="24"/>
        </w:rPr>
        <w:t>Současně s poklesem příjmu potravy dochází i poklesu příjmu tekutin, částečně z důvodu ztráty pocitu žízně, ale také poklesem sekrece adiuretinu</w:t>
      </w:r>
      <w:r>
        <w:rPr>
          <w:sz w:val="24"/>
          <w:szCs w:val="24"/>
        </w:rPr>
        <w:t xml:space="preserve">. Výsledkem je postupný rozvoj </w:t>
      </w:r>
      <w:r w:rsidRPr="00A01770">
        <w:rPr>
          <w:sz w:val="24"/>
          <w:szCs w:val="24"/>
        </w:rPr>
        <w:t xml:space="preserve">dehydratace. Dalšími vlivy podílejícími se na vzniku dehydratace mohou být </w:t>
      </w:r>
      <w:proofErr w:type="spellStart"/>
      <w:r w:rsidRPr="00A01770">
        <w:rPr>
          <w:sz w:val="24"/>
          <w:szCs w:val="24"/>
        </w:rPr>
        <w:t>febrilie</w:t>
      </w:r>
      <w:proofErr w:type="spellEnd"/>
      <w:r w:rsidRPr="00A01770">
        <w:rPr>
          <w:sz w:val="24"/>
          <w:szCs w:val="24"/>
        </w:rPr>
        <w:t>, polyurie, zvracení, průjmy, podávání diuretik, ztráty tekutin do sond, ale i snížená koncentrační schopnost ledvin nebo zhoršený přístup k vodě pro imobilitu. U všech starších nemocných je nutno kalkulovat s dlouhodobou subklinickou dehydratací, která se velmi rychle zhorší a manifestuje i po relativně nevýrazných inzultech. Příznaky dehydrata</w:t>
      </w:r>
      <w:r>
        <w:rPr>
          <w:sz w:val="24"/>
          <w:szCs w:val="24"/>
        </w:rPr>
        <w:t>ce narůstají se ztrátou – tab</w:t>
      </w:r>
      <w:r w:rsidRPr="00A01770">
        <w:rPr>
          <w:sz w:val="24"/>
          <w:szCs w:val="24"/>
        </w:rPr>
        <w:t>.</w:t>
      </w:r>
    </w:p>
    <w:p w:rsidR="00DB5BEE" w:rsidRDefault="00DB5BEE" w:rsidP="00DB5BEE">
      <w:pPr>
        <w:pStyle w:val="Zkladntext"/>
        <w:spacing w:after="0"/>
      </w:pPr>
      <w:r>
        <w:t>Tab</w:t>
      </w:r>
      <w:r w:rsidRPr="00A01770">
        <w:t>. Projevy dehydratace v závislosti na intenzitě ztráty tělesné hmotnosti</w:t>
      </w:r>
    </w:p>
    <w:p w:rsidR="00DB5BEE" w:rsidRPr="00A01770" w:rsidRDefault="00DB5BEE" w:rsidP="00DB5BEE">
      <w:pPr>
        <w:pStyle w:val="Zkladntext"/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0" allowOverlap="0" wp14:anchorId="57C25FDD" wp14:editId="56E48E9B">
            <wp:simplePos x="0" y="0"/>
            <wp:positionH relativeFrom="margin">
              <wp:posOffset>-1322705</wp:posOffset>
            </wp:positionH>
            <wp:positionV relativeFrom="line">
              <wp:posOffset>44450</wp:posOffset>
            </wp:positionV>
            <wp:extent cx="450215" cy="441960"/>
            <wp:effectExtent l="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954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1946"/>
        <w:gridCol w:w="2277"/>
      </w:tblGrid>
      <w:tr w:rsidR="00DB5BEE" w:rsidRPr="00A01770" w:rsidTr="008941A6">
        <w:tc>
          <w:tcPr>
            <w:tcW w:w="1731" w:type="dxa"/>
          </w:tcPr>
          <w:p w:rsidR="00DB5BEE" w:rsidRPr="00A01770" w:rsidRDefault="00DB5BEE" w:rsidP="008941A6">
            <w:pPr>
              <w:pStyle w:val="Zkladntext"/>
            </w:pPr>
            <w:r w:rsidRPr="00A01770">
              <w:t>Mírná – 5% hmotnosti</w:t>
            </w:r>
          </w:p>
        </w:tc>
        <w:tc>
          <w:tcPr>
            <w:tcW w:w="1946" w:type="dxa"/>
          </w:tcPr>
          <w:p w:rsidR="00DB5BEE" w:rsidRPr="00A01770" w:rsidRDefault="00DB5BEE" w:rsidP="008941A6">
            <w:pPr>
              <w:pStyle w:val="Zkladntext"/>
            </w:pPr>
            <w:r w:rsidRPr="00A01770">
              <w:t>Střední – 10% hmotnosti</w:t>
            </w:r>
          </w:p>
        </w:tc>
        <w:tc>
          <w:tcPr>
            <w:tcW w:w="2277" w:type="dxa"/>
          </w:tcPr>
          <w:p w:rsidR="00DB5BEE" w:rsidRPr="00A01770" w:rsidRDefault="00DB5BEE" w:rsidP="008941A6">
            <w:pPr>
              <w:pStyle w:val="Zkladntext"/>
            </w:pPr>
            <w:r w:rsidRPr="00A01770">
              <w:t>Těžká – 15%hmotnosti</w:t>
            </w:r>
          </w:p>
        </w:tc>
      </w:tr>
      <w:tr w:rsidR="00DB5BEE" w:rsidRPr="00A01770" w:rsidTr="008941A6">
        <w:tc>
          <w:tcPr>
            <w:tcW w:w="1731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  <w:r w:rsidRPr="00A01770">
              <w:rPr>
                <w:b/>
              </w:rPr>
              <w:t>sníženy turgor</w:t>
            </w:r>
          </w:p>
        </w:tc>
        <w:tc>
          <w:tcPr>
            <w:tcW w:w="1946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  <w:proofErr w:type="spellStart"/>
            <w:r w:rsidRPr="00A01770">
              <w:rPr>
                <w:b/>
              </w:rPr>
              <w:t>oligoanurie</w:t>
            </w:r>
            <w:proofErr w:type="spellEnd"/>
          </w:p>
        </w:tc>
        <w:tc>
          <w:tcPr>
            <w:tcW w:w="2277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  <w:r w:rsidRPr="00A01770">
              <w:rPr>
                <w:b/>
              </w:rPr>
              <w:t>šokový stav</w:t>
            </w:r>
          </w:p>
        </w:tc>
      </w:tr>
      <w:tr w:rsidR="00DB5BEE" w:rsidRPr="00A01770" w:rsidTr="008941A6">
        <w:tc>
          <w:tcPr>
            <w:tcW w:w="1731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  <w:r w:rsidRPr="00A01770">
              <w:rPr>
                <w:b/>
              </w:rPr>
              <w:t>suché sliznice</w:t>
            </w:r>
          </w:p>
        </w:tc>
        <w:tc>
          <w:tcPr>
            <w:tcW w:w="1946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  <w:r w:rsidRPr="00A01770">
              <w:rPr>
                <w:b/>
              </w:rPr>
              <w:t>zmatenost</w:t>
            </w:r>
          </w:p>
        </w:tc>
        <w:tc>
          <w:tcPr>
            <w:tcW w:w="2277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</w:p>
        </w:tc>
      </w:tr>
      <w:tr w:rsidR="00DB5BEE" w:rsidRPr="00A01770" w:rsidTr="008941A6">
        <w:tc>
          <w:tcPr>
            <w:tcW w:w="1731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  <w:r w:rsidRPr="00A01770">
              <w:rPr>
                <w:b/>
              </w:rPr>
              <w:t>ortostatická hypotenze</w:t>
            </w:r>
          </w:p>
        </w:tc>
        <w:tc>
          <w:tcPr>
            <w:tcW w:w="1946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  <w:r w:rsidRPr="00A01770">
              <w:rPr>
                <w:b/>
              </w:rPr>
              <w:t>hypotenze i vleže</w:t>
            </w:r>
          </w:p>
        </w:tc>
        <w:tc>
          <w:tcPr>
            <w:tcW w:w="2277" w:type="dxa"/>
          </w:tcPr>
          <w:p w:rsidR="00DB5BEE" w:rsidRPr="00A01770" w:rsidRDefault="00DB5BEE" w:rsidP="008941A6">
            <w:pPr>
              <w:pStyle w:val="Zkladntext"/>
              <w:rPr>
                <w:b/>
              </w:rPr>
            </w:pPr>
          </w:p>
        </w:tc>
      </w:tr>
    </w:tbl>
    <w:p w:rsidR="00DB5BEE" w:rsidRDefault="00DB5BEE" w:rsidP="00DB5BEE">
      <w:pPr>
        <w:pStyle w:val="Zkladntext"/>
        <w:rPr>
          <w:b/>
          <w:sz w:val="24"/>
          <w:szCs w:val="24"/>
        </w:rPr>
      </w:pPr>
    </w:p>
    <w:p w:rsidR="00DB5BEE" w:rsidRPr="00DB5BEE" w:rsidRDefault="00DB5BEE" w:rsidP="00DB5BEE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. Podle vzájemného poměru ztrát či zvýšeného přívodu natria a vody dělíme vzniklé patologie na hypertonickou, izotonickou či hypertonickou </w:t>
      </w:r>
      <w:proofErr w:type="spellStart"/>
      <w:r w:rsidRPr="00A01770">
        <w:rPr>
          <w:sz w:val="24"/>
          <w:szCs w:val="24"/>
        </w:rPr>
        <w:t>hyperhydrataci</w:t>
      </w:r>
      <w:proofErr w:type="spellEnd"/>
      <w:r w:rsidRPr="00A01770">
        <w:rPr>
          <w:sz w:val="24"/>
          <w:szCs w:val="24"/>
        </w:rPr>
        <w:t xml:space="preserve"> či dehydrataci. Základní charakteristiky a mo</w:t>
      </w:r>
      <w:r>
        <w:rPr>
          <w:sz w:val="24"/>
          <w:szCs w:val="24"/>
        </w:rPr>
        <w:t>žnosti řešení ukazuje tabulka</w:t>
      </w:r>
    </w:p>
    <w:p w:rsidR="00CC2DAE" w:rsidRPr="00A01770" w:rsidRDefault="00CC2DAE" w:rsidP="00CC2DAE">
      <w:pPr>
        <w:pStyle w:val="Zkladntext"/>
        <w:spacing w:after="0"/>
      </w:pPr>
    </w:p>
    <w:p w:rsidR="00CC2DAE" w:rsidRPr="00F63F2E" w:rsidRDefault="007E290E" w:rsidP="00CC2DAE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Tab</w:t>
      </w:r>
      <w:r w:rsidR="00CC2DAE" w:rsidRPr="00F63F2E">
        <w:rPr>
          <w:sz w:val="22"/>
          <w:szCs w:val="22"/>
        </w:rPr>
        <w:t xml:space="preserve">. Nejčastější poruchy metabolizmu vody a minerálů u starších nemocných, </w:t>
      </w:r>
      <w:r w:rsidR="00CC2DAE"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-1366520</wp:posOffset>
            </wp:positionH>
            <wp:positionV relativeFrom="line">
              <wp:posOffset>52705</wp:posOffset>
            </wp:positionV>
            <wp:extent cx="450215" cy="441960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DAE" w:rsidRPr="00F63F2E">
        <w:rPr>
          <w:sz w:val="22"/>
          <w:szCs w:val="22"/>
        </w:rPr>
        <w:t>jejich příčiny a možná řešení</w:t>
      </w:r>
    </w:p>
    <w:p w:rsidR="00CC2DAE" w:rsidRPr="00A01770" w:rsidRDefault="00CC2DAE" w:rsidP="00CC2DAE">
      <w:pPr>
        <w:pStyle w:val="Zkladntext"/>
        <w:spacing w:after="0"/>
      </w:pPr>
    </w:p>
    <w:p w:rsidR="00CC2DAE" w:rsidRPr="00A01770" w:rsidRDefault="00CC2DAE" w:rsidP="00CC2DAE">
      <w:pPr>
        <w:pStyle w:val="Zkladntext"/>
        <w:spacing w:line="360" w:lineRule="auto"/>
        <w:ind w:left="708"/>
      </w:pPr>
      <w:r w:rsidRPr="00A01770">
        <w:object w:dxaOrig="10140" w:dyaOrig="7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9pt;height:229.25pt" o:ole="" o:bordertopcolor="this" o:borderleftcolor="this" o:borderbottomcolor="this" o:borderrightcolor="this">
            <v:imagedata r:id="rId10" o:title=""/>
          </v:shape>
          <o:OLEObject Type="Embed" ProgID="PBrush" ShapeID="_x0000_i1025" DrawAspect="Content" ObjectID="_1480414122" r:id="rId11"/>
        </w:object>
      </w:r>
    </w:p>
    <w:p w:rsidR="00CC2DAE" w:rsidRPr="00A01770" w:rsidRDefault="00CC2DAE" w:rsidP="00CC2DAE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Z hlediska ovlivňování metabolizmu minerálů podávanou medikací je nutno v současné době respektovat zásadní změnu -  při podávání diuretik mír na paměti nejen riziko </w:t>
      </w:r>
      <w:proofErr w:type="spellStart"/>
      <w:r w:rsidRPr="00A01770">
        <w:rPr>
          <w:sz w:val="24"/>
          <w:szCs w:val="24"/>
        </w:rPr>
        <w:t>hypokalémie</w:t>
      </w:r>
      <w:proofErr w:type="spellEnd"/>
      <w:r w:rsidRPr="00A01770">
        <w:rPr>
          <w:sz w:val="24"/>
          <w:szCs w:val="24"/>
        </w:rPr>
        <w:t xml:space="preserve">, ale v době masivního rozšíření ACEI (inhibitory </w:t>
      </w:r>
      <w:proofErr w:type="spellStart"/>
      <w:r w:rsidRPr="00A01770">
        <w:rPr>
          <w:sz w:val="24"/>
          <w:szCs w:val="24"/>
        </w:rPr>
        <w:t>angiotenzin</w:t>
      </w:r>
      <w:proofErr w:type="spellEnd"/>
      <w:r w:rsidRPr="00A01770">
        <w:rPr>
          <w:sz w:val="24"/>
          <w:szCs w:val="24"/>
        </w:rPr>
        <w:t xml:space="preserve"> konvertujícího enzymu) také riziko </w:t>
      </w:r>
      <w:proofErr w:type="spellStart"/>
      <w:r w:rsidRPr="00A01770">
        <w:rPr>
          <w:sz w:val="24"/>
          <w:szCs w:val="24"/>
        </w:rPr>
        <w:t>hyperkalémie</w:t>
      </w:r>
      <w:proofErr w:type="spellEnd"/>
      <w:r w:rsidRPr="00A01770">
        <w:rPr>
          <w:sz w:val="24"/>
          <w:szCs w:val="24"/>
        </w:rPr>
        <w:t xml:space="preserve"> při souběžném podávání kalium šetřících diuretik. Tato skupina je v současné době podávána u seniorů ve třech indikacích – hypertenze, chronické srdeční </w:t>
      </w:r>
      <w:r w:rsidRPr="00A01770">
        <w:rPr>
          <w:sz w:val="24"/>
          <w:szCs w:val="24"/>
        </w:rPr>
        <w:lastRenderedPageBreak/>
        <w:t xml:space="preserve">selhání a diabetická nefropatie. Souběžným podáváním diuretik obsahujících </w:t>
      </w:r>
      <w:proofErr w:type="spellStart"/>
      <w:r w:rsidRPr="00A01770">
        <w:rPr>
          <w:sz w:val="24"/>
          <w:szCs w:val="24"/>
        </w:rPr>
        <w:t>amilorid</w:t>
      </w:r>
      <w:proofErr w:type="spellEnd"/>
      <w:r w:rsidRPr="00A01770">
        <w:rPr>
          <w:sz w:val="24"/>
          <w:szCs w:val="24"/>
        </w:rPr>
        <w:t xml:space="preserve"> či </w:t>
      </w:r>
      <w:proofErr w:type="spellStart"/>
      <w:r w:rsidRPr="00A01770">
        <w:rPr>
          <w:sz w:val="24"/>
          <w:szCs w:val="24"/>
        </w:rPr>
        <w:t>spirolakton</w:t>
      </w:r>
      <w:proofErr w:type="spellEnd"/>
      <w:r w:rsidRPr="00A01770">
        <w:rPr>
          <w:sz w:val="24"/>
          <w:szCs w:val="24"/>
        </w:rPr>
        <w:t xml:space="preserve"> můžeme postupně zvýšit sérovou koncentraci kalia až na život ohrožující hodnoty. Naopak podávání malých dávek </w:t>
      </w:r>
      <w:proofErr w:type="spellStart"/>
      <w:r w:rsidRPr="00A01770">
        <w:rPr>
          <w:sz w:val="24"/>
          <w:szCs w:val="24"/>
        </w:rPr>
        <w:t>furosemidu</w:t>
      </w:r>
      <w:proofErr w:type="spellEnd"/>
      <w:r w:rsidRPr="00A01770">
        <w:rPr>
          <w:sz w:val="24"/>
          <w:szCs w:val="24"/>
        </w:rPr>
        <w:t xml:space="preserve"> s ACEI již nevyžaduje podání kalium šetřícího diuretika či úhradu kalia. V literatuře je popisován vznik </w:t>
      </w:r>
      <w:proofErr w:type="spellStart"/>
      <w:r w:rsidRPr="00A01770">
        <w:rPr>
          <w:sz w:val="24"/>
          <w:szCs w:val="24"/>
        </w:rPr>
        <w:t>hyperkalémie</w:t>
      </w:r>
      <w:proofErr w:type="spellEnd"/>
      <w:r w:rsidRPr="00A01770">
        <w:rPr>
          <w:sz w:val="24"/>
          <w:szCs w:val="24"/>
        </w:rPr>
        <w:t xml:space="preserve"> i po podávání nesteroidních antirevmatik.</w:t>
      </w:r>
    </w:p>
    <w:p w:rsidR="00CC2DAE" w:rsidRDefault="00CC2DAE" w:rsidP="00CC2DAE">
      <w:pPr>
        <w:pStyle w:val="Zkladntext"/>
        <w:spacing w:after="0"/>
        <w:ind w:firstLine="539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Blokáda aldosteronových receptorů </w:t>
      </w:r>
      <w:proofErr w:type="spellStart"/>
      <w:r w:rsidRPr="00A01770">
        <w:rPr>
          <w:sz w:val="24"/>
          <w:szCs w:val="24"/>
        </w:rPr>
        <w:t>spirolaktonem</w:t>
      </w:r>
      <w:proofErr w:type="spellEnd"/>
      <w:r w:rsidRPr="00A01770">
        <w:rPr>
          <w:sz w:val="24"/>
          <w:szCs w:val="24"/>
        </w:rPr>
        <w:t xml:space="preserve"> stejně jako blokáda konvertujícího enzymu inhibitory může vyvolat hlubokou </w:t>
      </w:r>
      <w:proofErr w:type="spellStart"/>
      <w:r w:rsidRPr="00A01770">
        <w:rPr>
          <w:sz w:val="24"/>
          <w:szCs w:val="24"/>
        </w:rPr>
        <w:t>hyponatrémii</w:t>
      </w:r>
      <w:proofErr w:type="spellEnd"/>
      <w:r w:rsidRPr="00A01770">
        <w:rPr>
          <w:sz w:val="24"/>
          <w:szCs w:val="24"/>
        </w:rPr>
        <w:t xml:space="preserve"> doprovázenou u seniorů hypotenzí s možností kolapsových stavů a pádů.</w:t>
      </w:r>
    </w:p>
    <w:p w:rsidR="0057174C" w:rsidRDefault="0057174C" w:rsidP="00CC2DAE">
      <w:pPr>
        <w:pStyle w:val="Zkladntext"/>
        <w:spacing w:after="0"/>
        <w:ind w:firstLine="539"/>
        <w:jc w:val="both"/>
        <w:rPr>
          <w:sz w:val="24"/>
          <w:szCs w:val="24"/>
        </w:rPr>
      </w:pPr>
    </w:p>
    <w:p w:rsidR="00800A78" w:rsidRDefault="00DB5BEE" w:rsidP="00295726">
      <w:pPr>
        <w:pStyle w:val="Zkladntex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C91FBF" wp14:editId="4ED3C01F">
            <wp:simplePos x="0" y="0"/>
            <wp:positionH relativeFrom="column">
              <wp:posOffset>5339715</wp:posOffset>
            </wp:positionH>
            <wp:positionV relativeFrom="paragraph">
              <wp:posOffset>161290</wp:posOffset>
            </wp:positionV>
            <wp:extent cx="489585" cy="483870"/>
            <wp:effectExtent l="114300" t="114300" r="120015" b="106680"/>
            <wp:wrapTight wrapText="bothSides">
              <wp:wrapPolygon edited="0">
                <wp:start x="-3362" y="-5102"/>
                <wp:lineTo x="-5043" y="-3402"/>
                <wp:lineTo x="-5043" y="19559"/>
                <wp:lineTo x="-3362" y="25512"/>
                <wp:lineTo x="24374" y="25512"/>
                <wp:lineTo x="24374" y="23811"/>
                <wp:lineTo x="26054" y="11055"/>
                <wp:lineTo x="26054" y="10205"/>
                <wp:lineTo x="24374" y="-2551"/>
                <wp:lineTo x="24374" y="-5102"/>
                <wp:lineTo x="-3362" y="-5102"/>
              </wp:wrapPolygon>
            </wp:wrapTight>
            <wp:docPr id="7" name="Obrázek 7" descr="C:\Users\Hana\Documents\NAP\e-learning\s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sum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74C" w:rsidRDefault="00295726" w:rsidP="00800A7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Shrnutí kapitoly</w:t>
      </w:r>
      <w:r w:rsidR="00DC272A">
        <w:rPr>
          <w:b/>
          <w:sz w:val="24"/>
          <w:szCs w:val="24"/>
        </w:rPr>
        <w:t>.</w:t>
      </w:r>
      <w:r w:rsidR="00800A78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DC272A" w:rsidRPr="00800A78" w:rsidRDefault="00DC272A" w:rsidP="00800A7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  <w:r w:rsidRPr="00800A78">
        <w:rPr>
          <w:color w:val="FF0000"/>
          <w:sz w:val="24"/>
          <w:szCs w:val="24"/>
        </w:rPr>
        <w:t xml:space="preserve">Výskyt onemocnění trávicího traktu je ve vyšším věku poměrně častý, tato onemocnění mají horší průběh a prognózu. Podle některých zdrojů je až 27% starších nemocných přijímáno k hospitalizaci právě pro gastrointestinální obtíže. Pro změny stravovacích návyků u seniorů významné změny v oblasti dutiny ústní – ztráta dentice, ztenčení sliznice dutiny ústní, xerostomie, obvykle jako důsledek </w:t>
      </w:r>
      <w:r w:rsidRPr="00800A78">
        <w:rPr>
          <w:bCs/>
          <w:color w:val="FF0000"/>
          <w:sz w:val="24"/>
          <w:szCs w:val="24"/>
        </w:rPr>
        <w:t>dehydratace</w:t>
      </w:r>
      <w:r w:rsidRPr="00800A78">
        <w:rPr>
          <w:color w:val="FF0000"/>
          <w:sz w:val="24"/>
          <w:szCs w:val="24"/>
        </w:rPr>
        <w:t xml:space="preserve">, </w:t>
      </w:r>
      <w:r w:rsidRPr="00800A78">
        <w:rPr>
          <w:bCs/>
          <w:color w:val="FF0000"/>
          <w:sz w:val="24"/>
          <w:szCs w:val="24"/>
        </w:rPr>
        <w:t xml:space="preserve">přítomnosti infekce a dalších faktorů. </w:t>
      </w:r>
      <w:r w:rsidRPr="00800A78">
        <w:rPr>
          <w:color w:val="FF0000"/>
          <w:sz w:val="24"/>
          <w:szCs w:val="24"/>
        </w:rPr>
        <w:t xml:space="preserve">Poruchy polykání mohou vést k opakovaným respiračním </w:t>
      </w:r>
      <w:proofErr w:type="spellStart"/>
      <w:r w:rsidRPr="00800A78">
        <w:rPr>
          <w:color w:val="FF0000"/>
          <w:sz w:val="24"/>
          <w:szCs w:val="24"/>
        </w:rPr>
        <w:t>infektům</w:t>
      </w:r>
      <w:proofErr w:type="spellEnd"/>
      <w:r w:rsidRPr="00800A78">
        <w:rPr>
          <w:color w:val="FF0000"/>
          <w:sz w:val="24"/>
          <w:szCs w:val="24"/>
        </w:rPr>
        <w:t xml:space="preserve"> a také těžké dehydrataci a malnutrici. Jako další možné mechanizmy poruch polykání je nutno zvažovat svalové dystrofie, anatomické odchylky jako divertikly či nádory, dále </w:t>
      </w:r>
      <w:proofErr w:type="spellStart"/>
      <w:r w:rsidRPr="00800A78">
        <w:rPr>
          <w:bCs/>
          <w:color w:val="FF0000"/>
          <w:sz w:val="24"/>
          <w:szCs w:val="24"/>
        </w:rPr>
        <w:t>achalázii</w:t>
      </w:r>
      <w:proofErr w:type="spellEnd"/>
      <w:r w:rsidRPr="00800A78">
        <w:rPr>
          <w:bCs/>
          <w:color w:val="FF0000"/>
          <w:sz w:val="24"/>
          <w:szCs w:val="24"/>
        </w:rPr>
        <w:t xml:space="preserve">, krční </w:t>
      </w:r>
      <w:proofErr w:type="spellStart"/>
      <w:r w:rsidRPr="00800A78">
        <w:rPr>
          <w:bCs/>
          <w:color w:val="FF0000"/>
          <w:sz w:val="24"/>
          <w:szCs w:val="24"/>
        </w:rPr>
        <w:t>osteoartropatie</w:t>
      </w:r>
      <w:proofErr w:type="spellEnd"/>
      <w:r w:rsidRPr="00800A78">
        <w:rPr>
          <w:color w:val="FF0000"/>
          <w:sz w:val="24"/>
          <w:szCs w:val="24"/>
        </w:rPr>
        <w:t xml:space="preserve">, </w:t>
      </w:r>
      <w:r w:rsidRPr="00800A78">
        <w:rPr>
          <w:bCs/>
          <w:color w:val="FF0000"/>
          <w:sz w:val="24"/>
          <w:szCs w:val="24"/>
        </w:rPr>
        <w:t>mediastinální abnormality</w:t>
      </w:r>
      <w:r w:rsidRPr="00800A78">
        <w:rPr>
          <w:color w:val="FF0000"/>
          <w:sz w:val="24"/>
          <w:szCs w:val="24"/>
        </w:rPr>
        <w:t xml:space="preserve">, </w:t>
      </w:r>
      <w:r w:rsidRPr="00800A78">
        <w:rPr>
          <w:bCs/>
          <w:color w:val="FF0000"/>
          <w:sz w:val="24"/>
          <w:szCs w:val="24"/>
        </w:rPr>
        <w:t>vaskulární komprese</w:t>
      </w:r>
      <w:r w:rsidRPr="00800A78">
        <w:rPr>
          <w:color w:val="FF0000"/>
          <w:sz w:val="24"/>
          <w:szCs w:val="24"/>
        </w:rPr>
        <w:t xml:space="preserve">, </w:t>
      </w:r>
      <w:r w:rsidRPr="00800A78">
        <w:rPr>
          <w:bCs/>
          <w:color w:val="FF0000"/>
          <w:sz w:val="24"/>
          <w:szCs w:val="24"/>
        </w:rPr>
        <w:t>malignity</w:t>
      </w:r>
      <w:r w:rsidRPr="00800A78">
        <w:rPr>
          <w:color w:val="FF0000"/>
          <w:sz w:val="24"/>
          <w:szCs w:val="24"/>
        </w:rPr>
        <w:t xml:space="preserve"> či </w:t>
      </w:r>
      <w:r w:rsidRPr="00800A78">
        <w:rPr>
          <w:bCs/>
          <w:color w:val="FF0000"/>
          <w:sz w:val="24"/>
          <w:szCs w:val="24"/>
        </w:rPr>
        <w:t>striktury</w:t>
      </w:r>
      <w:r w:rsidRPr="00800A78">
        <w:rPr>
          <w:b/>
          <w:bCs/>
          <w:color w:val="FF0000"/>
        </w:rPr>
        <w:t>.</w:t>
      </w:r>
      <w:r w:rsidRPr="00800A78">
        <w:rPr>
          <w:color w:val="FF0000"/>
        </w:rPr>
        <w:t xml:space="preserve"> </w:t>
      </w:r>
      <w:r w:rsidRPr="00800A78">
        <w:rPr>
          <w:color w:val="FF0000"/>
          <w:sz w:val="24"/>
          <w:szCs w:val="24"/>
        </w:rPr>
        <w:t xml:space="preserve">Významným mechanismem multifaktoriálního charakteru je erozivní ezofagitida vzniklá na podkladě </w:t>
      </w:r>
      <w:proofErr w:type="spellStart"/>
      <w:r w:rsidRPr="00800A78">
        <w:rPr>
          <w:color w:val="FF0000"/>
          <w:sz w:val="24"/>
          <w:szCs w:val="24"/>
        </w:rPr>
        <w:t>gastroezofageálního</w:t>
      </w:r>
      <w:proofErr w:type="spellEnd"/>
      <w:r w:rsidRPr="00800A78">
        <w:rPr>
          <w:color w:val="FF0000"/>
          <w:sz w:val="24"/>
          <w:szCs w:val="24"/>
        </w:rPr>
        <w:t xml:space="preserve"> refluxu. Žaludeční sliznice může v rámci procesu stárnutí atrofovat na podkladě chronické atrofické gastritidy s následným deficitem vitaminu B</w:t>
      </w:r>
      <w:r w:rsidRPr="00800A78">
        <w:rPr>
          <w:color w:val="FF0000"/>
          <w:sz w:val="24"/>
          <w:szCs w:val="24"/>
          <w:vertAlign w:val="subscript"/>
        </w:rPr>
        <w:t>12</w:t>
      </w:r>
      <w:r w:rsidRPr="00800A78">
        <w:rPr>
          <w:color w:val="FF0000"/>
          <w:sz w:val="24"/>
          <w:szCs w:val="24"/>
        </w:rPr>
        <w:t xml:space="preserve"> a rozvojem megaloblastické anémie. Ještě častěji je však nutno zvažovat vliv rozsáhlé medikace mnohdy i užívání několika druhů stejného </w:t>
      </w:r>
      <w:proofErr w:type="spellStart"/>
      <w:r w:rsidRPr="00800A78">
        <w:rPr>
          <w:color w:val="FF0000"/>
          <w:sz w:val="24"/>
          <w:szCs w:val="24"/>
        </w:rPr>
        <w:t>generika</w:t>
      </w:r>
      <w:proofErr w:type="spellEnd"/>
      <w:r w:rsidRPr="00800A78">
        <w:rPr>
          <w:color w:val="FF0000"/>
          <w:sz w:val="24"/>
          <w:szCs w:val="24"/>
        </w:rPr>
        <w:t xml:space="preserve"> pod jinými firemními názvy na vznik erozí sliznice, případně vředové choroby </w:t>
      </w:r>
      <w:proofErr w:type="spellStart"/>
      <w:r w:rsidRPr="00800A78">
        <w:rPr>
          <w:color w:val="FF0000"/>
          <w:sz w:val="24"/>
          <w:szCs w:val="24"/>
        </w:rPr>
        <w:t>gastroduodena</w:t>
      </w:r>
      <w:proofErr w:type="spellEnd"/>
      <w:r w:rsidRPr="00800A78">
        <w:rPr>
          <w:color w:val="FF0000"/>
          <w:sz w:val="24"/>
          <w:szCs w:val="24"/>
        </w:rPr>
        <w:t xml:space="preserve">. Stejně tak se stává významnou problematika divertikulózy, kdy rutinní provádění kolonoskopie prokazuje řádově častější výskyt divertiklů v oblasti sestupného tračníku u nemocných vyššího věku – popisuje se až 80% výskyt divertikulózy u seniorů nad 80 let. </w:t>
      </w:r>
    </w:p>
    <w:p w:rsidR="00AC633E" w:rsidRPr="00800A78" w:rsidRDefault="00DC272A" w:rsidP="00800A7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  <w:r w:rsidRPr="00800A78">
        <w:rPr>
          <w:color w:val="FF0000"/>
          <w:sz w:val="24"/>
          <w:szCs w:val="24"/>
        </w:rPr>
        <w:t xml:space="preserve">Změny trávicího traktu ohrožují seniora vznikem malnutrice. Pro rutinní užívání je v našich zemích doporučeno používání standardizovaného testu </w:t>
      </w:r>
      <w:proofErr w:type="gramStart"/>
      <w:r w:rsidRPr="00800A78">
        <w:rPr>
          <w:color w:val="FF0000"/>
          <w:sz w:val="24"/>
          <w:szCs w:val="24"/>
        </w:rPr>
        <w:t>MNA</w:t>
      </w:r>
      <w:proofErr w:type="gramEnd"/>
      <w:r w:rsidRPr="00800A78">
        <w:rPr>
          <w:color w:val="FF0000"/>
          <w:sz w:val="24"/>
          <w:szCs w:val="24"/>
        </w:rPr>
        <w:t xml:space="preserve">. Z laboratorních metod jsou citlivými indikátory stavu výživy </w:t>
      </w:r>
      <w:proofErr w:type="spellStart"/>
      <w:r w:rsidRPr="00800A78">
        <w:rPr>
          <w:color w:val="FF0000"/>
          <w:sz w:val="24"/>
          <w:szCs w:val="24"/>
        </w:rPr>
        <w:t>prealbumin</w:t>
      </w:r>
      <w:proofErr w:type="spellEnd"/>
      <w:r w:rsidRPr="00800A78">
        <w:rPr>
          <w:color w:val="FF0000"/>
          <w:sz w:val="24"/>
          <w:szCs w:val="24"/>
        </w:rPr>
        <w:t xml:space="preserve"> a transferin, které mají krátký biologický poločas.</w:t>
      </w:r>
      <w:r w:rsidR="00AC633E" w:rsidRPr="00800A78">
        <w:rPr>
          <w:color w:val="FF0000"/>
          <w:sz w:val="24"/>
          <w:szCs w:val="24"/>
        </w:rPr>
        <w:t xml:space="preserve"> Sníženým příjmem potravy a tekutin dochází sekundárně k poruchám metabolizmu minerálů. </w:t>
      </w:r>
    </w:p>
    <w:p w:rsidR="00DC272A" w:rsidRPr="00800A78" w:rsidRDefault="00AC633E" w:rsidP="00800A7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  <w:r w:rsidRPr="00800A78">
        <w:rPr>
          <w:color w:val="FF0000"/>
          <w:sz w:val="24"/>
          <w:szCs w:val="24"/>
        </w:rPr>
        <w:t xml:space="preserve">Se zvyšujícím se věkem klesá podíl tělesné vody, a tím se redukuje objem pro </w:t>
      </w:r>
      <w:proofErr w:type="spellStart"/>
      <w:r w:rsidRPr="00800A78">
        <w:rPr>
          <w:color w:val="FF0000"/>
          <w:sz w:val="24"/>
          <w:szCs w:val="24"/>
        </w:rPr>
        <w:t>hydrosolubilní</w:t>
      </w:r>
      <w:proofErr w:type="spellEnd"/>
      <w:r w:rsidRPr="00800A78">
        <w:rPr>
          <w:color w:val="FF0000"/>
          <w:sz w:val="24"/>
          <w:szCs w:val="24"/>
        </w:rPr>
        <w:t xml:space="preserve"> látky včetně rozpuštěných minerálů. Podle vzájemného poměru ztrát či zvýšeného přívodu natria a vody dělíme vzniklé patologie na hypertonickou, izotonickou či hypertonickou </w:t>
      </w:r>
      <w:proofErr w:type="spellStart"/>
      <w:r w:rsidRPr="00800A78">
        <w:rPr>
          <w:color w:val="FF0000"/>
          <w:sz w:val="24"/>
          <w:szCs w:val="24"/>
        </w:rPr>
        <w:t>hyperhydrataci</w:t>
      </w:r>
      <w:proofErr w:type="spellEnd"/>
      <w:r w:rsidRPr="00800A78">
        <w:rPr>
          <w:color w:val="FF0000"/>
          <w:sz w:val="24"/>
          <w:szCs w:val="24"/>
        </w:rPr>
        <w:t xml:space="preserve"> či dehydrataci.</w:t>
      </w:r>
    </w:p>
    <w:p w:rsidR="00AC633E" w:rsidRPr="00DC272A" w:rsidRDefault="00AC633E" w:rsidP="00800A7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00A78">
        <w:rPr>
          <w:color w:val="FF0000"/>
          <w:sz w:val="24"/>
          <w:szCs w:val="24"/>
        </w:rPr>
        <w:t xml:space="preserve">Klesající příjem stravy je nutno zavčas diagnostikovat a následně postupnými opatřeními od změny diety přes využití </w:t>
      </w:r>
      <w:proofErr w:type="spellStart"/>
      <w:r w:rsidRPr="00800A78">
        <w:rPr>
          <w:color w:val="FF0000"/>
          <w:sz w:val="24"/>
          <w:szCs w:val="24"/>
        </w:rPr>
        <w:t>sippingu</w:t>
      </w:r>
      <w:proofErr w:type="spellEnd"/>
      <w:r w:rsidRPr="00800A78">
        <w:rPr>
          <w:color w:val="FF0000"/>
          <w:sz w:val="24"/>
          <w:szCs w:val="24"/>
        </w:rPr>
        <w:t xml:space="preserve">, zvážení </w:t>
      </w:r>
      <w:proofErr w:type="spellStart"/>
      <w:r w:rsidRPr="00800A78">
        <w:rPr>
          <w:color w:val="FF0000"/>
          <w:sz w:val="24"/>
          <w:szCs w:val="24"/>
        </w:rPr>
        <w:t>nasogastrické</w:t>
      </w:r>
      <w:proofErr w:type="spellEnd"/>
      <w:r w:rsidRPr="00800A78">
        <w:rPr>
          <w:color w:val="FF0000"/>
          <w:sz w:val="24"/>
          <w:szCs w:val="24"/>
        </w:rPr>
        <w:t xml:space="preserve"> či </w:t>
      </w:r>
      <w:proofErr w:type="spellStart"/>
      <w:r w:rsidRPr="00800A78">
        <w:rPr>
          <w:color w:val="FF0000"/>
          <w:sz w:val="24"/>
          <w:szCs w:val="24"/>
        </w:rPr>
        <w:t>nasojejunální</w:t>
      </w:r>
      <w:proofErr w:type="spellEnd"/>
      <w:r w:rsidRPr="00800A78">
        <w:rPr>
          <w:color w:val="FF0000"/>
          <w:sz w:val="24"/>
          <w:szCs w:val="24"/>
        </w:rPr>
        <w:t xml:space="preserve"> </w:t>
      </w:r>
      <w:proofErr w:type="spellStart"/>
      <w:r w:rsidRPr="00800A78">
        <w:rPr>
          <w:color w:val="FF0000"/>
          <w:sz w:val="24"/>
          <w:szCs w:val="24"/>
        </w:rPr>
        <w:t>sondové</w:t>
      </w:r>
      <w:proofErr w:type="spellEnd"/>
      <w:r w:rsidRPr="00800A78">
        <w:rPr>
          <w:color w:val="FF0000"/>
          <w:sz w:val="24"/>
          <w:szCs w:val="24"/>
        </w:rPr>
        <w:t xml:space="preserve"> výživy</w:t>
      </w:r>
      <w:r w:rsidR="00036DFD" w:rsidRPr="00800A78">
        <w:rPr>
          <w:color w:val="FF0000"/>
          <w:sz w:val="24"/>
          <w:szCs w:val="24"/>
        </w:rPr>
        <w:t xml:space="preserve"> až po možnost parenterální podpory výživy</w:t>
      </w:r>
      <w:r w:rsidR="00036DFD">
        <w:rPr>
          <w:sz w:val="24"/>
          <w:szCs w:val="24"/>
        </w:rPr>
        <w:t>.</w:t>
      </w:r>
    </w:p>
    <w:p w:rsidR="00CC2DAE" w:rsidRPr="00A01770" w:rsidRDefault="00CC2DAE" w:rsidP="00CC2DAE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  </w:t>
      </w:r>
    </w:p>
    <w:p w:rsidR="003674F9" w:rsidRDefault="00B2253D">
      <w:pPr>
        <w:rPr>
          <w:b/>
        </w:rPr>
      </w:pPr>
      <w:r w:rsidRPr="00B2253D">
        <w:rPr>
          <w:b/>
        </w:rPr>
        <w:t xml:space="preserve">Otázky a úkoly                                                                             </w:t>
      </w:r>
      <w:r w:rsidR="00B14068" w:rsidRPr="00B2253D">
        <w:rPr>
          <w:b/>
          <w:noProof/>
        </w:rPr>
        <w:drawing>
          <wp:inline distT="0" distB="0" distL="0" distR="0" wp14:anchorId="522F377F" wp14:editId="7870EDFB">
            <wp:extent cx="475488" cy="475488"/>
            <wp:effectExtent l="114300" t="114300" r="115570" b="115570"/>
            <wp:docPr id="6" name="Obrázek 6" descr="C:\Users\Hana\Documents\NAP\e-learning\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otazní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3" cy="4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2253D" w:rsidRDefault="00B2253D" w:rsidP="00B2253D">
      <w:pPr>
        <w:pStyle w:val="Odstavecseseznamem"/>
      </w:pPr>
      <w:r>
        <w:t xml:space="preserve">Vyjmenujte změny </w:t>
      </w:r>
      <w:proofErr w:type="spellStart"/>
      <w:r>
        <w:t>gastrointestináílního</w:t>
      </w:r>
      <w:proofErr w:type="spellEnd"/>
      <w:r>
        <w:t xml:space="preserve"> traktu ve stáří</w:t>
      </w:r>
    </w:p>
    <w:p w:rsidR="00B2253D" w:rsidRDefault="00B2253D" w:rsidP="00B2253D">
      <w:pPr>
        <w:pStyle w:val="Odstavecseseznamem"/>
      </w:pPr>
      <w:r>
        <w:t>Popište důsledky těchto změn na proces trávení a využití živin z potravy</w:t>
      </w:r>
    </w:p>
    <w:p w:rsidR="00B2253D" w:rsidRDefault="00B2253D" w:rsidP="00B2253D">
      <w:pPr>
        <w:pStyle w:val="Odstavecseseznamem"/>
      </w:pPr>
      <w:r>
        <w:lastRenderedPageBreak/>
        <w:t xml:space="preserve">Popište obecné důsledky snížené dostupnosti živin </w:t>
      </w:r>
    </w:p>
    <w:p w:rsidR="00B2253D" w:rsidRDefault="00B2253D" w:rsidP="00B2253D">
      <w:pPr>
        <w:pStyle w:val="Odstavecseseznamem"/>
      </w:pPr>
      <w:r>
        <w:t>Definujte malnutrici</w:t>
      </w:r>
    </w:p>
    <w:p w:rsidR="00B2253D" w:rsidRDefault="00B2253D" w:rsidP="00B2253D">
      <w:pPr>
        <w:pStyle w:val="Odstavecseseznamem"/>
      </w:pPr>
      <w:r>
        <w:t>Pojednejte o diagnostice poruch výživy ve stáří</w:t>
      </w:r>
    </w:p>
    <w:p w:rsidR="00B2253D" w:rsidRDefault="00B2253D" w:rsidP="00B2253D">
      <w:pPr>
        <w:pStyle w:val="Odstavecseseznamem"/>
      </w:pPr>
      <w:r>
        <w:t xml:space="preserve">Vyjmenujte nejvýznamnější </w:t>
      </w:r>
      <w:proofErr w:type="spellStart"/>
      <w:r>
        <w:t>mikronutrienty</w:t>
      </w:r>
      <w:proofErr w:type="spellEnd"/>
      <w:r>
        <w:t xml:space="preserve"> a možné důsledky jejich deficitů</w:t>
      </w:r>
    </w:p>
    <w:p w:rsidR="00B2253D" w:rsidRDefault="00B2253D" w:rsidP="00B2253D">
      <w:pPr>
        <w:pStyle w:val="Odstavecseseznamem"/>
      </w:pPr>
      <w:r>
        <w:t xml:space="preserve">Popište patofyziologii a důsledky </w:t>
      </w:r>
      <w:proofErr w:type="spellStart"/>
      <w:r>
        <w:t>gastroezofageálního</w:t>
      </w:r>
      <w:proofErr w:type="spellEnd"/>
      <w:r>
        <w:t xml:space="preserve"> refluxu</w:t>
      </w:r>
    </w:p>
    <w:p w:rsidR="00B2253D" w:rsidRDefault="00B2253D" w:rsidP="00B2253D">
      <w:r>
        <w:t xml:space="preserve">            Vyjmenujte možnosti řešení malnutrice u seniorů</w:t>
      </w:r>
    </w:p>
    <w:p w:rsidR="004470D5" w:rsidRDefault="004470D5" w:rsidP="00B2253D">
      <w:r>
        <w:t xml:space="preserve">            Popište možné změny vodního a </w:t>
      </w:r>
      <w:proofErr w:type="spellStart"/>
      <w:r>
        <w:t>minerálového</w:t>
      </w:r>
      <w:proofErr w:type="spellEnd"/>
      <w:r>
        <w:t xml:space="preserve"> hospodaření ve stáří a jejich řešení</w:t>
      </w:r>
    </w:p>
    <w:p w:rsidR="002819FE" w:rsidRDefault="002819FE" w:rsidP="00B2253D"/>
    <w:p w:rsidR="002819FE" w:rsidRDefault="002819FE" w:rsidP="00B2253D">
      <w:pPr>
        <w:rPr>
          <w:b/>
        </w:rPr>
      </w:pPr>
      <w:r>
        <w:rPr>
          <w:b/>
        </w:rPr>
        <w:t>Doporučená literatura:</w:t>
      </w:r>
    </w:p>
    <w:p w:rsidR="002819FE" w:rsidRPr="00C2261C" w:rsidRDefault="002819FE" w:rsidP="002819FE">
      <w:pPr>
        <w:pStyle w:val="Zkladntextodsazen"/>
        <w:spacing w:after="0"/>
        <w:ind w:left="0"/>
        <w:jc w:val="both"/>
      </w:pPr>
      <w:r w:rsidRPr="00C2261C">
        <w:t xml:space="preserve">           Topinková E. Geriatrie pro praxi. </w:t>
      </w:r>
      <w:proofErr w:type="spellStart"/>
      <w:r w:rsidRPr="00C2261C">
        <w:t>Galén</w:t>
      </w:r>
      <w:proofErr w:type="spellEnd"/>
      <w:r w:rsidRPr="00C2261C">
        <w:t xml:space="preserve"> 2005</w:t>
      </w:r>
    </w:p>
    <w:p w:rsidR="002819FE" w:rsidRPr="00C2261C" w:rsidRDefault="002819FE" w:rsidP="002819FE">
      <w:pPr>
        <w:pStyle w:val="Zkladntextodsazen"/>
        <w:spacing w:after="0"/>
        <w:jc w:val="both"/>
      </w:pPr>
      <w:r w:rsidRPr="00C2261C">
        <w:t xml:space="preserve">       </w:t>
      </w:r>
      <w:proofErr w:type="spellStart"/>
      <w:r w:rsidRPr="00C2261C">
        <w:t>Kalvach</w:t>
      </w:r>
      <w:proofErr w:type="spellEnd"/>
      <w:r w:rsidRPr="00C2261C">
        <w:t xml:space="preserve"> Z et al. Geriatrie a Gerontologie. </w:t>
      </w:r>
      <w:proofErr w:type="spellStart"/>
      <w:r w:rsidRPr="00C2261C">
        <w:t>Grada</w:t>
      </w:r>
      <w:proofErr w:type="spellEnd"/>
      <w:r w:rsidRPr="00C2261C">
        <w:t xml:space="preserve"> Avicenum 2004.</w:t>
      </w:r>
    </w:p>
    <w:p w:rsidR="002819FE" w:rsidRDefault="002819FE" w:rsidP="002819FE">
      <w:r>
        <w:t xml:space="preserve">            Matějovská Kubešová H et al. Vybrané klinické stavy u seniorů, MF 2014</w:t>
      </w:r>
      <w:r w:rsidRPr="008E2170">
        <w:t xml:space="preserve">                                                                      </w:t>
      </w:r>
    </w:p>
    <w:p w:rsidR="002819FE" w:rsidRPr="002819FE" w:rsidRDefault="002819FE" w:rsidP="00B2253D">
      <w:pPr>
        <w:rPr>
          <w:b/>
        </w:rPr>
      </w:pPr>
    </w:p>
    <w:sectPr w:rsidR="002819FE" w:rsidRPr="0028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024"/>
    <w:multiLevelType w:val="hybridMultilevel"/>
    <w:tmpl w:val="9B4ACEB6"/>
    <w:lvl w:ilvl="0" w:tplc="D592F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AE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ED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6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8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6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AF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4A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F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80AC4"/>
    <w:multiLevelType w:val="hybridMultilevel"/>
    <w:tmpl w:val="88161E10"/>
    <w:lvl w:ilvl="0" w:tplc="FD6EF0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BA5"/>
    <w:multiLevelType w:val="hybridMultilevel"/>
    <w:tmpl w:val="AFFE44AC"/>
    <w:lvl w:ilvl="0" w:tplc="0B066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2D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80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4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8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A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2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C5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200C85"/>
    <w:multiLevelType w:val="hybridMultilevel"/>
    <w:tmpl w:val="04C445BC"/>
    <w:lvl w:ilvl="0" w:tplc="E736A8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199D"/>
    <w:multiLevelType w:val="hybridMultilevel"/>
    <w:tmpl w:val="9A0E7AFA"/>
    <w:lvl w:ilvl="0" w:tplc="26FAB6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CF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4C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A5A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C94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AC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898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A59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19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F70D3"/>
    <w:multiLevelType w:val="hybridMultilevel"/>
    <w:tmpl w:val="17EAB172"/>
    <w:lvl w:ilvl="0" w:tplc="DCC8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F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09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C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ED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8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8A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4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A0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E30758"/>
    <w:multiLevelType w:val="hybridMultilevel"/>
    <w:tmpl w:val="CFBE6C1E"/>
    <w:lvl w:ilvl="0" w:tplc="3AA65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AD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44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EE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4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84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EE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A5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2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1E76D9"/>
    <w:multiLevelType w:val="hybridMultilevel"/>
    <w:tmpl w:val="5ABC44EC"/>
    <w:lvl w:ilvl="0" w:tplc="60946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09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2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C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65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80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A6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CD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8C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84484C"/>
    <w:multiLevelType w:val="hybridMultilevel"/>
    <w:tmpl w:val="9F227E2E"/>
    <w:lvl w:ilvl="0" w:tplc="1DBAC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C8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0D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4C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4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849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26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4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8A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0535ED"/>
    <w:multiLevelType w:val="hybridMultilevel"/>
    <w:tmpl w:val="F51261C4"/>
    <w:lvl w:ilvl="0" w:tplc="FD6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C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E7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67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4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6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60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8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703CBE"/>
    <w:multiLevelType w:val="hybridMultilevel"/>
    <w:tmpl w:val="EBA4B0B4"/>
    <w:lvl w:ilvl="0" w:tplc="8424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E2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3C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A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0F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C2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8B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C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9836A1"/>
    <w:multiLevelType w:val="hybridMultilevel"/>
    <w:tmpl w:val="0CE4D69C"/>
    <w:lvl w:ilvl="0" w:tplc="D0E44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9ED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28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68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F83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E4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C5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948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983E23"/>
    <w:multiLevelType w:val="hybridMultilevel"/>
    <w:tmpl w:val="193A4E0C"/>
    <w:lvl w:ilvl="0" w:tplc="87EE2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E3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C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04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8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C3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E3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83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013989"/>
    <w:multiLevelType w:val="hybridMultilevel"/>
    <w:tmpl w:val="182825D4"/>
    <w:lvl w:ilvl="0" w:tplc="B5D2E7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C3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00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4F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C81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EEC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C38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C6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6D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C5783"/>
    <w:multiLevelType w:val="hybridMultilevel"/>
    <w:tmpl w:val="06147E0E"/>
    <w:lvl w:ilvl="0" w:tplc="040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95AE968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01FEDDEE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8276810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F77847B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698C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17CAFD5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A9F4A5E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B3B6F3C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13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AE"/>
    <w:rsid w:val="00036DFD"/>
    <w:rsid w:val="002819FE"/>
    <w:rsid w:val="00295726"/>
    <w:rsid w:val="003674F9"/>
    <w:rsid w:val="00391AB2"/>
    <w:rsid w:val="00392CB2"/>
    <w:rsid w:val="003E6B6F"/>
    <w:rsid w:val="004470D5"/>
    <w:rsid w:val="004D27FA"/>
    <w:rsid w:val="0057174C"/>
    <w:rsid w:val="00645798"/>
    <w:rsid w:val="006901E8"/>
    <w:rsid w:val="00797F49"/>
    <w:rsid w:val="007E290E"/>
    <w:rsid w:val="00800A78"/>
    <w:rsid w:val="00824DB2"/>
    <w:rsid w:val="00904239"/>
    <w:rsid w:val="00963E7F"/>
    <w:rsid w:val="009D0D4A"/>
    <w:rsid w:val="00A112DE"/>
    <w:rsid w:val="00A82F37"/>
    <w:rsid w:val="00AC633E"/>
    <w:rsid w:val="00B14068"/>
    <w:rsid w:val="00B2253D"/>
    <w:rsid w:val="00C17BED"/>
    <w:rsid w:val="00C316D5"/>
    <w:rsid w:val="00CC2DAE"/>
    <w:rsid w:val="00DB5BEE"/>
    <w:rsid w:val="00DC272A"/>
    <w:rsid w:val="00DC75DD"/>
    <w:rsid w:val="00E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DAE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CC2DAE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DA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C2D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C2DAE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C2D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2F37"/>
    <w:pPr>
      <w:ind w:left="720"/>
      <w:contextualSpacing/>
    </w:pPr>
  </w:style>
  <w:style w:type="table" w:styleId="Mkatabulky">
    <w:name w:val="Table Grid"/>
    <w:basedOn w:val="Normlntabulka"/>
    <w:uiPriority w:val="59"/>
    <w:rsid w:val="0039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nhideWhenUsed/>
    <w:rsid w:val="002819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819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DAE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CC2DAE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DA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C2D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C2DAE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C2D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2F37"/>
    <w:pPr>
      <w:ind w:left="720"/>
      <w:contextualSpacing/>
    </w:pPr>
  </w:style>
  <w:style w:type="table" w:styleId="Mkatabulky">
    <w:name w:val="Table Grid"/>
    <w:basedOn w:val="Normlntabulka"/>
    <w:uiPriority w:val="59"/>
    <w:rsid w:val="0039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nhideWhenUsed/>
    <w:rsid w:val="002819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819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2812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17</cp:revision>
  <dcterms:created xsi:type="dcterms:W3CDTF">2014-10-19T05:53:00Z</dcterms:created>
  <dcterms:modified xsi:type="dcterms:W3CDTF">2014-12-18T12:22:00Z</dcterms:modified>
</cp:coreProperties>
</file>