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2" w:rsidRPr="007815E9" w:rsidRDefault="00036212" w:rsidP="00036212">
      <w:pPr>
        <w:spacing w:line="240" w:lineRule="auto"/>
        <w:rPr>
          <w:b/>
        </w:rPr>
      </w:pPr>
      <w:r w:rsidRPr="007815E9">
        <w:rPr>
          <w:b/>
        </w:rPr>
        <w:t>MENTÁLNÍ POSTIŽENÍ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trvalé zaostávání vývoje rozumových schopností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postihuje celou osobnost člověka – duševní, tělesnou, sociální stránku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odlišný vývoj některých psychických vlastností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poruchy v adaptačním chování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příčinou – organické poškození mozku</w:t>
      </w:r>
    </w:p>
    <w:p w:rsid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MR X demence X </w:t>
      </w:r>
      <w:proofErr w:type="spellStart"/>
      <w:r w:rsidRPr="00036212">
        <w:t>pseudooligofrenie</w:t>
      </w:r>
      <w:proofErr w:type="spellEnd"/>
      <w:r w:rsidRPr="00036212">
        <w:t xml:space="preserve"> 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Etiologie vzniku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prenatální 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>infekce matky během těhotenství, špatná výživa, působení záření a toxických látek, úrazy matky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perinatální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hypoxie plodu, </w:t>
      </w:r>
      <w:proofErr w:type="spellStart"/>
      <w:r w:rsidRPr="00036212">
        <w:t>protrahovaný</w:t>
      </w:r>
      <w:proofErr w:type="spellEnd"/>
      <w:r w:rsidRPr="00036212">
        <w:t xml:space="preserve"> porod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postnatální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>infekce novorozence, záněty mo</w:t>
      </w:r>
      <w:r w:rsidRPr="00036212">
        <w:t>zku, úrazy, výživa</w:t>
      </w:r>
    </w:p>
    <w:p w:rsidR="00036212" w:rsidRDefault="00036212" w:rsidP="00036212">
      <w:pPr>
        <w:pStyle w:val="Odstavecseseznamem"/>
        <w:numPr>
          <w:ilvl w:val="0"/>
          <w:numId w:val="24"/>
        </w:numPr>
        <w:spacing w:line="240" w:lineRule="auto"/>
      </w:pPr>
      <w:r w:rsidRPr="00036212">
        <w:t>dědičnost, genetické vlivy, rodinné prostředí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proofErr w:type="spellStart"/>
      <w:r>
        <w:t>Psychopedie</w:t>
      </w:r>
      <w:proofErr w:type="spellEnd"/>
      <w:r>
        <w:t xml:space="preserve">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edukace osob s MR, zkoumání výchovných a vzdělávacích vlivů na tyto osoby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cíl – dosažení maximálního stupně rozvoje osobnosti s mentálním postižením a jeho integrace do společnosti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Klasifikace inteligence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IQ 130 a výše</w:t>
      </w:r>
      <w:r w:rsidRPr="00036212">
        <w:tab/>
      </w:r>
      <w:r w:rsidRPr="00036212">
        <w:tab/>
      </w:r>
      <w:r w:rsidRPr="00036212">
        <w:tab/>
        <w:t>značně nadprůměrná</w:t>
      </w:r>
    </w:p>
    <w:p w:rsidR="00000000" w:rsidRPr="00036212" w:rsidRDefault="00036212" w:rsidP="00036212">
      <w:pPr>
        <w:numPr>
          <w:ilvl w:val="0"/>
          <w:numId w:val="24"/>
        </w:numPr>
        <w:spacing w:line="240" w:lineRule="auto"/>
      </w:pPr>
      <w:r>
        <w:t>129-120</w:t>
      </w:r>
      <w:r>
        <w:tab/>
      </w:r>
      <w:r>
        <w:tab/>
      </w:r>
      <w:r>
        <w:tab/>
      </w:r>
      <w:r w:rsidR="007815E9" w:rsidRPr="00036212">
        <w:t>nadprůměrná</w:t>
      </w:r>
    </w:p>
    <w:p w:rsidR="00000000" w:rsidRPr="00036212" w:rsidRDefault="00036212" w:rsidP="00036212">
      <w:pPr>
        <w:numPr>
          <w:ilvl w:val="0"/>
          <w:numId w:val="24"/>
        </w:numPr>
        <w:spacing w:line="240" w:lineRule="auto"/>
      </w:pPr>
      <w:r>
        <w:t>119-110</w:t>
      </w:r>
      <w:r>
        <w:tab/>
      </w:r>
      <w:r>
        <w:tab/>
      </w:r>
      <w:r>
        <w:tab/>
      </w:r>
      <w:r w:rsidR="007815E9" w:rsidRPr="00036212">
        <w:t>mírně nadprůměrná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109-90</w:t>
      </w:r>
      <w:r w:rsidRPr="00036212">
        <w:tab/>
      </w:r>
      <w:r w:rsidRPr="00036212">
        <w:tab/>
      </w:r>
      <w:r w:rsidRPr="00036212">
        <w:tab/>
      </w:r>
      <w:r w:rsidRPr="00036212">
        <w:tab/>
        <w:t>průměrná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89-80</w:t>
      </w:r>
      <w:r w:rsidRPr="00036212">
        <w:tab/>
      </w:r>
      <w:r w:rsidRPr="00036212">
        <w:tab/>
      </w:r>
      <w:r w:rsidRPr="00036212">
        <w:tab/>
      </w:r>
      <w:r w:rsidRPr="00036212">
        <w:tab/>
        <w:t>podprůměrná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79-70</w:t>
      </w:r>
      <w:r w:rsidRPr="00036212">
        <w:tab/>
      </w:r>
      <w:r w:rsidRPr="00036212">
        <w:tab/>
      </w:r>
      <w:r w:rsidRPr="00036212">
        <w:tab/>
      </w:r>
      <w:r w:rsidRPr="00036212">
        <w:tab/>
        <w:t>hraniční inferiorita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lastRenderedPageBreak/>
        <w:t>69 a níže</w:t>
      </w:r>
      <w:r w:rsidRPr="00036212">
        <w:tab/>
      </w:r>
      <w:r w:rsidRPr="00036212">
        <w:tab/>
      </w:r>
      <w:r w:rsidRPr="00036212">
        <w:tab/>
      </w:r>
      <w:r w:rsidRPr="00036212">
        <w:tab/>
        <w:t>mentální retardace</w:t>
      </w:r>
    </w:p>
    <w:p w:rsidR="00036212" w:rsidRDefault="00036212" w:rsidP="00036212">
      <w:pPr>
        <w:spacing w:line="240" w:lineRule="auto"/>
      </w:pPr>
    </w:p>
    <w:p w:rsidR="00036212" w:rsidRPr="00036212" w:rsidRDefault="00036212" w:rsidP="00036212">
      <w:pPr>
        <w:spacing w:line="240" w:lineRule="auto"/>
      </w:pPr>
      <w:r>
        <w:t xml:space="preserve">Klasifikace MR  dle </w:t>
      </w:r>
      <w:r w:rsidRPr="00036212">
        <w:t>10. revize MKN (WHO) – 1992: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69-50</w:t>
      </w:r>
      <w:r w:rsidRPr="00036212">
        <w:tab/>
      </w:r>
      <w:r w:rsidRPr="00036212">
        <w:tab/>
        <w:t xml:space="preserve">lehká MR </w:t>
      </w:r>
      <w:r w:rsidRPr="00036212">
        <w:tab/>
      </w:r>
      <w:r w:rsidRPr="00036212">
        <w:tab/>
      </w:r>
      <w:r w:rsidRPr="00036212">
        <w:tab/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49-35</w:t>
      </w:r>
      <w:r w:rsidRPr="00036212">
        <w:tab/>
      </w:r>
      <w:r w:rsidRPr="00036212">
        <w:tab/>
        <w:t>stř</w:t>
      </w:r>
      <w:r w:rsidRPr="00036212">
        <w:t>edně těžká MR</w:t>
      </w:r>
      <w:r w:rsidRPr="00036212">
        <w:tab/>
      </w:r>
      <w:r w:rsidRPr="00036212">
        <w:tab/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34-20</w:t>
      </w:r>
      <w:r w:rsidRPr="00036212">
        <w:tab/>
      </w:r>
      <w:r w:rsidRPr="00036212">
        <w:tab/>
        <w:t>těžká MR</w:t>
      </w:r>
      <w:r w:rsidRPr="00036212">
        <w:tab/>
      </w:r>
      <w:r w:rsidRPr="00036212">
        <w:tab/>
      </w:r>
      <w:r w:rsidRPr="00036212">
        <w:tab/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19 a méně</w:t>
      </w:r>
      <w:r w:rsidRPr="00036212">
        <w:tab/>
        <w:t>hluboká MR</w:t>
      </w:r>
      <w:r w:rsidRPr="00036212">
        <w:tab/>
      </w:r>
      <w:r w:rsidRPr="00036212">
        <w:tab/>
      </w:r>
    </w:p>
    <w:p w:rsidR="00000000" w:rsidRPr="00036212" w:rsidRDefault="00036212" w:rsidP="00036212">
      <w:pPr>
        <w:numPr>
          <w:ilvl w:val="0"/>
          <w:numId w:val="24"/>
        </w:numPr>
        <w:spacing w:line="240" w:lineRule="auto"/>
      </w:pPr>
      <w:r>
        <w:tab/>
      </w:r>
      <w:r>
        <w:tab/>
      </w:r>
      <w:r w:rsidR="007815E9" w:rsidRPr="00036212">
        <w:t xml:space="preserve"> jiná MR</w:t>
      </w:r>
      <w:r w:rsidR="007815E9" w:rsidRPr="00036212">
        <w:tab/>
      </w:r>
      <w:r w:rsidR="007815E9" w:rsidRPr="00036212">
        <w:tab/>
      </w:r>
      <w:r w:rsidR="007815E9" w:rsidRPr="00036212">
        <w:tab/>
      </w:r>
    </w:p>
    <w:p w:rsidR="00000000" w:rsidRPr="00036212" w:rsidRDefault="00036212" w:rsidP="00036212">
      <w:pPr>
        <w:numPr>
          <w:ilvl w:val="0"/>
          <w:numId w:val="24"/>
        </w:numPr>
        <w:spacing w:line="240" w:lineRule="auto"/>
      </w:pPr>
      <w:r>
        <w:tab/>
      </w:r>
      <w:r>
        <w:tab/>
        <w:t xml:space="preserve"> </w:t>
      </w:r>
      <w:r w:rsidR="007815E9" w:rsidRPr="00036212">
        <w:t>nespecifikovaná MR</w:t>
      </w:r>
      <w:r w:rsidR="007815E9" w:rsidRPr="00036212">
        <w:tab/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Lehká MR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schopnost užívat řeč účelně v každodenním životě, udržovat konverzaci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opožděný vývoj řeči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úplná nezávislost v </w:t>
      </w:r>
      <w:r w:rsidRPr="00036212">
        <w:t>osobní péči (jídlo, mytí, oblékání, hygiena) X vývoj pomalejší než norma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potíže při teoretické práci ve škole, manuální práce snadnější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možnost přidružení autismu, epilepsie, poruch chování, tělesných postižení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Středně těžká MR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výrazně opožděn rozvoj chápání a užívání ř</w:t>
      </w:r>
      <w:r w:rsidRPr="00036212">
        <w:t>eči, schopnosti sebeobsluhy, zručnosti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možnost osvojení trivia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 dospělosti schopnost vykonávat jednoduchou manuální práci při odborném dohledu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zřídka možný samostatný život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úroveň rozvoje řeči </w:t>
      </w:r>
      <w:r w:rsidRPr="00036212">
        <w:t>variabilní (jednoduchá konverzace X nikdy se nerozvine řeč)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možnost přidružení autismu, tělesných postižení, neurologických onemocnění (hl. epilepsie), psychiatrických onemocnění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Těžká MR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rozumové schopnosti podstatně sníženy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většinou značný stupeň poruchy moto</w:t>
      </w:r>
      <w:r w:rsidRPr="00036212">
        <w:t>riky / jiné přidružené vady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poznává blízké osoby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lastRenderedPageBreak/>
        <w:t>potřeba celoživotní péče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řeč se nemusí rozvinout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Hluboká MR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obtížné stanovit přesně IQ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neschopnost porozumění řeči, zvuky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nepoznává okolí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většinou imobilní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inkontinence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stereotypní automatické pohyby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nutná stálá pomoc a dohled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velmi omezené možnosti výchovy a vzdělávání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neurologické nebo jiné tělesné nedostatky postihující hybnost, epilepsie, postižení </w:t>
      </w:r>
      <w:proofErr w:type="gramStart"/>
      <w:r w:rsidRPr="00036212">
        <w:t>zrak. a sluch</w:t>
      </w:r>
      <w:proofErr w:type="gramEnd"/>
      <w:r w:rsidRPr="00036212">
        <w:t>. vnímání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Downův syndrom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proofErr w:type="spellStart"/>
      <w:r w:rsidRPr="00036212">
        <w:t>trisomie</w:t>
      </w:r>
      <w:proofErr w:type="spellEnd"/>
      <w:r w:rsidRPr="00036212">
        <w:t xml:space="preserve"> 21. chromosomu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příčinou nízký / vysoký věk matky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typické rysy: m</w:t>
      </w:r>
      <w:r w:rsidRPr="00036212">
        <w:t xml:space="preserve">alá hlava, úzká víčka, výrazná kožní řasa ve vnitřním koutku, malá ústa, jazyk často ven z úst, širší krk, 40% -vrozená srdeční vada, končetiny malé a silné, 50% - 1 rýha přes dlaň, slabý svalový tonus, nižší vzrůst, smyslové vady 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MOŽNOSTI PRACOVNÍHO UPLATNĚNÍ OSOB S MP</w:t>
      </w:r>
    </w:p>
    <w:p w:rsidR="00036212" w:rsidRDefault="00036212" w:rsidP="00036212">
      <w:pPr>
        <w:pStyle w:val="Odstavecseseznamem"/>
        <w:numPr>
          <w:ilvl w:val="0"/>
          <w:numId w:val="24"/>
        </w:numPr>
        <w:spacing w:line="240" w:lineRule="auto"/>
      </w:pPr>
      <w:r>
        <w:t>Význam práce</w:t>
      </w:r>
    </w:p>
    <w:p w:rsidR="00036212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základní potřeba </w:t>
      </w:r>
      <w:r w:rsidRPr="00036212">
        <w:t xml:space="preserve">jedince, která musí být </w:t>
      </w:r>
      <w:proofErr w:type="gramStart"/>
      <w:r w:rsidRPr="00036212">
        <w:t xml:space="preserve">saturována </w:t>
      </w:r>
      <w:r w:rsidR="00036212">
        <w:t xml:space="preserve"> </w:t>
      </w:r>
      <w:r w:rsidR="00036212" w:rsidRPr="00036212">
        <w:t>(X → frustrace</w:t>
      </w:r>
      <w:proofErr w:type="gramEnd"/>
      <w:r w:rsidR="00036212" w:rsidRPr="00036212">
        <w:t>)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charakteristický atribut dosp</w:t>
      </w:r>
      <w:r w:rsidRPr="00036212">
        <w:t>ě</w:t>
      </w:r>
      <w:r w:rsidRPr="00036212">
        <w:t>losti a samostatnosti ka</w:t>
      </w:r>
      <w:r w:rsidRPr="00036212">
        <w:t>ž</w:t>
      </w:r>
      <w:r w:rsidRPr="00036212">
        <w:t xml:space="preserve">dého </w:t>
      </w:r>
      <w:r w:rsidRPr="00036212">
        <w:t>č</w:t>
      </w:r>
      <w:r w:rsidRPr="00036212">
        <w:t>lov</w:t>
      </w:r>
      <w:r w:rsidRPr="00036212">
        <w:t>ě</w:t>
      </w:r>
      <w:r w:rsidRPr="00036212">
        <w:t>ka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ekonomická nezávislost, nezávislost na podp</w:t>
      </w:r>
      <w:r w:rsidRPr="00036212">
        <w:t>ů</w:t>
      </w:r>
      <w:r w:rsidRPr="00036212">
        <w:t>rných slu</w:t>
      </w:r>
      <w:r w:rsidRPr="00036212">
        <w:t>ž</w:t>
      </w:r>
      <w:r w:rsidRPr="00036212">
        <w:t>bách a pé</w:t>
      </w:r>
      <w:r w:rsidRPr="00036212">
        <w:t>č</w:t>
      </w:r>
      <w:r w:rsidRPr="00036212">
        <w:t>i okolí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seberealizace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pozitivní vliv na postoj spole</w:t>
      </w:r>
      <w:r w:rsidRPr="00036212">
        <w:t>č</w:t>
      </w:r>
      <w:r w:rsidRPr="00036212">
        <w:t>nosti ke zdrav</w:t>
      </w:r>
      <w:r w:rsidRPr="00036212">
        <w:t xml:space="preserve">. </w:t>
      </w:r>
      <w:proofErr w:type="gramStart"/>
      <w:r w:rsidRPr="00036212">
        <w:t>posti</w:t>
      </w:r>
      <w:r w:rsidRPr="00036212">
        <w:t>ž</w:t>
      </w:r>
      <w:r w:rsidRPr="00036212">
        <w:t>eným</w:t>
      </w:r>
      <w:proofErr w:type="gramEnd"/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sociální in</w:t>
      </w:r>
      <w:r w:rsidR="00036212">
        <w:t>kluze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lastRenderedPageBreak/>
        <w:t>Chráněné dílny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specifická pracoviště pro občany, kteří mají ztíženou možnost, příp. se nemohou vůbec uplatnit na trhu práce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poskytují pracovní a společenské uplatnění formou pracovní činnosti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rozvoj samostatného jednání, zodpovědnosti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trénink pracovních dovedností, pracovního režimu, práce v kolektivu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supervizor – hodnotí dosahování stanovených cílů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Podporované zaměstnávání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služba určená osobám, které hledají placené zaměstnání v běžném pracovním prostředí; vyžadují dlouhodobou podporu před i po nástupu do </w:t>
      </w:r>
      <w:r w:rsidRPr="00036212">
        <w:t>práce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časově omezená služba na dobu 2, příp. 3 let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personální poradenství, pracovní asistence, zastupování a pomoc při jednání s úřady, doprovázení, atd.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cíl – získání zaměstnání, zvýšení samostatnosti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SYSTÉM VÝCHOVY A VZDĚLÁVÁNÍ OSOB S MP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mateřská škola speciální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rPr>
          <w:b/>
          <w:bCs/>
        </w:rPr>
        <w:t xml:space="preserve">základní </w:t>
      </w:r>
      <w:r w:rsidRPr="00036212">
        <w:rPr>
          <w:b/>
          <w:bCs/>
        </w:rPr>
        <w:t xml:space="preserve">škola praktická 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9 let </w:t>
      </w:r>
      <w:r w:rsidRPr="00036212">
        <w:t>→ základní vzd</w:t>
      </w:r>
      <w:r w:rsidRPr="00036212">
        <w:t>ě</w:t>
      </w:r>
      <w:r w:rsidRPr="00036212">
        <w:t>lání</w:t>
      </w:r>
      <w:r w:rsidRPr="00036212">
        <w:t xml:space="preserve">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rPr>
          <w:b/>
          <w:bCs/>
        </w:rPr>
        <w:t xml:space="preserve">základní škola speciální 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 přípravný stupeň + rehabilitační </w:t>
      </w:r>
      <w:proofErr w:type="spellStart"/>
      <w:r w:rsidRPr="00036212">
        <w:t>vzd</w:t>
      </w:r>
      <w:proofErr w:type="spellEnd"/>
      <w:r w:rsidRPr="00036212">
        <w:t xml:space="preserve">. program 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10 let </w:t>
      </w:r>
      <w:r w:rsidRPr="00036212">
        <w:t>→ základy vzd</w:t>
      </w:r>
      <w:r w:rsidRPr="00036212">
        <w:t>ě</w:t>
      </w:r>
      <w:r w:rsidRPr="00036212">
        <w:t>lání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odborné učiliště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praktická škola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individuální integrace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skupinová integrace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 xml:space="preserve">Specifika vzdělávání </w:t>
      </w:r>
      <w:proofErr w:type="gramStart"/>
      <w:r>
        <w:t>osob s MP</w:t>
      </w:r>
      <w:proofErr w:type="gramEnd"/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potřeba celoživotního veden</w:t>
      </w:r>
      <w:r w:rsidRPr="00036212">
        <w:t>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omezená potřeba zvídavosti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lastRenderedPageBreak/>
        <w:t>citová otevřenost, bezprostřednost, výkyvy nálad, euforie, afekty; možná agresivita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nižší aspirace, </w:t>
      </w:r>
      <w:proofErr w:type="spellStart"/>
      <w:r w:rsidRPr="00036212">
        <w:t>hypobulie</w:t>
      </w:r>
      <w:proofErr w:type="spellEnd"/>
      <w:r w:rsidRPr="00036212">
        <w:t xml:space="preserve">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krátkodobá, nestálá pozornost, vyšší unavitelnost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povrchní vnímání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infantilnost, konkrétní </w:t>
      </w:r>
      <w:r w:rsidRPr="00036212">
        <w:t>myšlení, neschopnost abstrakce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řeč – pasivní x aktivní slovní zásoba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rychlé zapomínání, mechanická paměť</w:t>
      </w:r>
    </w:p>
    <w:p w:rsidR="00036212" w:rsidRDefault="00036212" w:rsidP="00036212">
      <w:pPr>
        <w:pStyle w:val="Odstavecseseznamem"/>
        <w:numPr>
          <w:ilvl w:val="0"/>
          <w:numId w:val="24"/>
        </w:numPr>
        <w:spacing w:line="240" w:lineRule="auto"/>
      </w:pPr>
      <w:r w:rsidRPr="00036212">
        <w:t>profesní, partnerská role není vždy naplněna</w:t>
      </w:r>
    </w:p>
    <w:p w:rsidR="00036212" w:rsidRDefault="00036212" w:rsidP="00036212">
      <w:pPr>
        <w:pStyle w:val="Odstavecseseznamem"/>
        <w:numPr>
          <w:ilvl w:val="0"/>
          <w:numId w:val="24"/>
        </w:numPr>
        <w:spacing w:line="240" w:lineRule="auto"/>
      </w:pPr>
      <w:r>
        <w:t>sociální čtení, globální čtení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SYNDROM DEMENCE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syndrom způsobený organickým postižením mozku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nevratný proces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vznik kdykoliv po </w:t>
      </w:r>
      <w:r w:rsidRPr="00036212">
        <w:t xml:space="preserve">vytvoření základu poznávacích funkcí (po 2. – 4. </w:t>
      </w:r>
      <w:proofErr w:type="gramStart"/>
      <w:r w:rsidRPr="00036212">
        <w:t>roce</w:t>
      </w:r>
      <w:proofErr w:type="gramEnd"/>
      <w:r w:rsidRPr="00036212">
        <w:t xml:space="preserve"> života) X MR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stoupá s věkem; značný ve věkové kategorii stárnoucích; nejvíce v populaci nad 60 let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až 60 % nebývá vůbec diagnostikováno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t>Symptomatologie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kognitivní poruchy</w:t>
      </w:r>
    </w:p>
    <w:p w:rsidR="00036212" w:rsidRDefault="00036212" w:rsidP="00036212">
      <w:pPr>
        <w:pStyle w:val="Odstavecseseznamem"/>
        <w:numPr>
          <w:ilvl w:val="0"/>
          <w:numId w:val="24"/>
        </w:numPr>
        <w:spacing w:line="240" w:lineRule="auto"/>
      </w:pPr>
      <w:r w:rsidRPr="00036212">
        <w:t>paměť, řeč, pozornost, vnímání, úsudek, myšlení, rozhodování, plánování (exekutivní funkce), chápání souvislostí, učení, orientace v času a prostoru,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behaviorální poruchy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emotivita – zhoršená kontrola afektu, poruchy nálad (deprese, úzkost), </w:t>
      </w:r>
      <w:proofErr w:type="spellStart"/>
      <w:r w:rsidRPr="00036212">
        <w:t>oploštělé</w:t>
      </w:r>
      <w:proofErr w:type="spellEnd"/>
      <w:r w:rsidRPr="00036212">
        <w:t xml:space="preserve"> emoce, emoční labilita, ztráta vyšších citů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>chování – agrese, agitovanost, hygiena, abulie, pokles zájmů, nevhodné chování na veřejnosti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funkční poruchy</w:t>
      </w:r>
    </w:p>
    <w:p w:rsidR="00000000" w:rsidRPr="00036212" w:rsidRDefault="007815E9" w:rsidP="00036212">
      <w:pPr>
        <w:numPr>
          <w:ilvl w:val="1"/>
          <w:numId w:val="24"/>
        </w:numPr>
        <w:spacing w:line="240" w:lineRule="auto"/>
      </w:pPr>
      <w:r w:rsidRPr="00036212">
        <w:t xml:space="preserve">zhoršení schopnosti provádět denní činnosti – sebeobsluha, hygiena, obstarání domácnosti, úrazy; poznávání a používání předmětů, </w:t>
      </w:r>
      <w:proofErr w:type="spellStart"/>
      <w:r w:rsidRPr="00036212">
        <w:t>praxie</w:t>
      </w:r>
      <w:proofErr w:type="spellEnd"/>
      <w:r w:rsidRPr="00036212">
        <w:t xml:space="preserve"> , poruchy</w:t>
      </w:r>
      <w:r w:rsidRPr="00036212">
        <w:t xml:space="preserve"> spánkového cyklu; IADL</w:t>
      </w: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</w:p>
    <w:p w:rsidR="00036212" w:rsidRDefault="00036212" w:rsidP="00036212">
      <w:pPr>
        <w:spacing w:line="240" w:lineRule="auto"/>
      </w:pPr>
      <w:r>
        <w:lastRenderedPageBreak/>
        <w:t>Komunikace s osobou s demencí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vytvořit vhodné podmínky, redukce rušivých elementů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nehovořit dětskou řečí, vyhnout se </w:t>
      </w:r>
      <w:proofErr w:type="spellStart"/>
      <w:r w:rsidRPr="00036212">
        <w:t>infantilizaci</w:t>
      </w:r>
      <w:proofErr w:type="spellEnd"/>
      <w:r w:rsidRPr="00036212">
        <w:t>, mluvit jako s dospělým, oslovovat jménem / tituly, zachovat důstojnost!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nehovořit s více osobami najednou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 průběhu rozhovoru</w:t>
      </w:r>
      <w:r w:rsidRPr="00036212">
        <w:t xml:space="preserve"> se držet jednoho tématu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využití několika kanálů současně – zrak, sluch, hmat, gesta, postoje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pokud osoba nerozumí, zjednodušit, přeformulovat, používat gesta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krátké, jednoduché věty, vyjadřovat se co nejjednodušeji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umožnit osobě reagovat; poslouchat </w:t>
      </w:r>
      <w:r w:rsidRPr="00036212">
        <w:t>a snažit se pochopit osobu s demencí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 xml:space="preserve">pokud možno používat slova dotyčné osoby 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povzbuzení při jakékoliv činnosti, pochvala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pojmenovávat, komentovat jakoukoliv činnost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důležitá neverbální komunikace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nezvyšovat hlas, mluvit přirozeným tónem</w:t>
      </w:r>
    </w:p>
    <w:p w:rsidR="00000000" w:rsidRPr="00036212" w:rsidRDefault="007815E9" w:rsidP="00036212">
      <w:pPr>
        <w:numPr>
          <w:ilvl w:val="0"/>
          <w:numId w:val="24"/>
        </w:numPr>
        <w:spacing w:line="240" w:lineRule="auto"/>
      </w:pPr>
      <w:r w:rsidRPr="00036212">
        <w:t>tón hlasu, mimika, gestikulace by měly odpovídat významu slov</w:t>
      </w:r>
    </w:p>
    <w:p w:rsidR="00036212" w:rsidRPr="00036212" w:rsidRDefault="00036212" w:rsidP="00036212">
      <w:pPr>
        <w:spacing w:line="240" w:lineRule="auto"/>
      </w:pPr>
    </w:p>
    <w:p w:rsidR="001D2B77" w:rsidRDefault="001D2B77" w:rsidP="00036212">
      <w:pPr>
        <w:spacing w:line="240" w:lineRule="auto"/>
      </w:pPr>
    </w:p>
    <w:sectPr w:rsidR="001D2B77" w:rsidSect="001D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083"/>
    <w:multiLevelType w:val="hybridMultilevel"/>
    <w:tmpl w:val="E7041D64"/>
    <w:lvl w:ilvl="0" w:tplc="CD8897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04C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E57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E5A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2D3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4CA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AE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E1C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95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519B1"/>
    <w:multiLevelType w:val="hybridMultilevel"/>
    <w:tmpl w:val="7C5C3438"/>
    <w:lvl w:ilvl="0" w:tplc="D8CA5C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82FA2">
      <w:start w:val="19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F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888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45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788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8A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0B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E6E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6A36CA"/>
    <w:multiLevelType w:val="hybridMultilevel"/>
    <w:tmpl w:val="272C3EDA"/>
    <w:lvl w:ilvl="0" w:tplc="8646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106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64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C6F6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8E8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220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4F3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2D5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EB5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D9583F"/>
    <w:multiLevelType w:val="hybridMultilevel"/>
    <w:tmpl w:val="6E08BDAA"/>
    <w:lvl w:ilvl="0" w:tplc="CB7260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E97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82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69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483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C17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06E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0F1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896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96F9B"/>
    <w:multiLevelType w:val="hybridMultilevel"/>
    <w:tmpl w:val="BEEE6242"/>
    <w:lvl w:ilvl="0" w:tplc="1ADE1C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4BF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00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9E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AE5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46B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EA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9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CB6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5055D"/>
    <w:multiLevelType w:val="hybridMultilevel"/>
    <w:tmpl w:val="C7B610B8"/>
    <w:lvl w:ilvl="0" w:tplc="A1D281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8DB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B6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4A1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5A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C40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5D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80D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68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D5FC4"/>
    <w:multiLevelType w:val="hybridMultilevel"/>
    <w:tmpl w:val="61069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52F23"/>
    <w:multiLevelType w:val="hybridMultilevel"/>
    <w:tmpl w:val="36C44414"/>
    <w:lvl w:ilvl="0" w:tplc="160C1E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2210A">
      <w:start w:val="196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9205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024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86E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480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20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890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C5E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46F5B"/>
    <w:multiLevelType w:val="hybridMultilevel"/>
    <w:tmpl w:val="AF32B2E6"/>
    <w:lvl w:ilvl="0" w:tplc="D2E2C2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96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61C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C85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431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862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6EE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864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CE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807DE"/>
    <w:multiLevelType w:val="hybridMultilevel"/>
    <w:tmpl w:val="12221632"/>
    <w:lvl w:ilvl="0" w:tplc="DF3ECB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67A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EF3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4E4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02B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CAA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ADB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8DC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027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C1C54"/>
    <w:multiLevelType w:val="hybridMultilevel"/>
    <w:tmpl w:val="0628A7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8DB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B6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4A1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5A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C40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5D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80D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68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D4B78"/>
    <w:multiLevelType w:val="hybridMultilevel"/>
    <w:tmpl w:val="231ADEF8"/>
    <w:lvl w:ilvl="0" w:tplc="8A14B2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6A9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C64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A5A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E7A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A0B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A18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227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69B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E4D9F"/>
    <w:multiLevelType w:val="hybridMultilevel"/>
    <w:tmpl w:val="15D4B822"/>
    <w:lvl w:ilvl="0" w:tplc="81A4E1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85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E9F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C97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EA99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4F9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C8A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E4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E26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2D31D3"/>
    <w:multiLevelType w:val="hybridMultilevel"/>
    <w:tmpl w:val="77F69592"/>
    <w:lvl w:ilvl="0" w:tplc="91608E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6D1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2B2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37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E2C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E74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40A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61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9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7F6E65"/>
    <w:multiLevelType w:val="hybridMultilevel"/>
    <w:tmpl w:val="BBA89A50"/>
    <w:lvl w:ilvl="0" w:tplc="7AC41E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E44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05D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E5E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AAD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2D8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EB8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4E9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C6F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805E2"/>
    <w:multiLevelType w:val="hybridMultilevel"/>
    <w:tmpl w:val="D7FEE8E0"/>
    <w:lvl w:ilvl="0" w:tplc="7C203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478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24C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4D7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6CB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AF3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C86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8BB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6C8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6B608D"/>
    <w:multiLevelType w:val="hybridMultilevel"/>
    <w:tmpl w:val="75B2B1E6"/>
    <w:lvl w:ilvl="0" w:tplc="6CF20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0AF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20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8DB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E2B8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4C2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CC5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C2A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C30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81185A"/>
    <w:multiLevelType w:val="hybridMultilevel"/>
    <w:tmpl w:val="F08CAB32"/>
    <w:lvl w:ilvl="0" w:tplc="3280E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4D0EC">
      <w:start w:val="19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885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B204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40C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0BC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3E3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04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68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6545EE4"/>
    <w:multiLevelType w:val="hybridMultilevel"/>
    <w:tmpl w:val="55B438A0"/>
    <w:lvl w:ilvl="0" w:tplc="D9E263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681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83E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8C5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050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CE9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CB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085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E86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887FF1"/>
    <w:multiLevelType w:val="hybridMultilevel"/>
    <w:tmpl w:val="422CF374"/>
    <w:lvl w:ilvl="0" w:tplc="5C8033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820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C09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C04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0DD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000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A60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BA4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0F1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944EF"/>
    <w:multiLevelType w:val="hybridMultilevel"/>
    <w:tmpl w:val="B16CFD8C"/>
    <w:lvl w:ilvl="0" w:tplc="885A82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612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441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ABB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651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670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AEC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6A9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62B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D2037F"/>
    <w:multiLevelType w:val="hybridMultilevel"/>
    <w:tmpl w:val="8CD2D422"/>
    <w:lvl w:ilvl="0" w:tplc="B74C78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9A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AEB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64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A09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410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4D9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32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AE1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41D8D"/>
    <w:multiLevelType w:val="hybridMultilevel"/>
    <w:tmpl w:val="A1E2C708"/>
    <w:lvl w:ilvl="0" w:tplc="1BE0AC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8DC78">
      <w:start w:val="124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A066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24C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A55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AD9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E79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AB0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3F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0711F2"/>
    <w:multiLevelType w:val="hybridMultilevel"/>
    <w:tmpl w:val="68BE9E9C"/>
    <w:lvl w:ilvl="0" w:tplc="5EE4DB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EC6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A3F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E35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691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43D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52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498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C94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21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14"/>
  </w:num>
  <w:num w:numId="18">
    <w:abstractNumId w:val="18"/>
  </w:num>
  <w:num w:numId="19">
    <w:abstractNumId w:val="2"/>
  </w:num>
  <w:num w:numId="20">
    <w:abstractNumId w:val="1"/>
  </w:num>
  <w:num w:numId="21">
    <w:abstractNumId w:val="17"/>
  </w:num>
  <w:num w:numId="22">
    <w:abstractNumId w:val="20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212"/>
    <w:rsid w:val="00036212"/>
    <w:rsid w:val="000D72E9"/>
    <w:rsid w:val="001D2B77"/>
    <w:rsid w:val="007815E9"/>
    <w:rsid w:val="007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B7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63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2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8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5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1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6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2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0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6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5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4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0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6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7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8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242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968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4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4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2700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5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9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3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7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177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1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2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6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1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4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9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4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0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9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6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0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2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0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1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5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3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5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8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3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1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5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8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1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4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7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9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dcterms:created xsi:type="dcterms:W3CDTF">2010-10-20T13:59:00Z</dcterms:created>
  <dcterms:modified xsi:type="dcterms:W3CDTF">2010-10-20T14:09:00Z</dcterms:modified>
</cp:coreProperties>
</file>