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BSFA0321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452285" w:rsidRPr="008A1A7A" w:rsidRDefault="00452285" w:rsidP="00387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2285" w:rsidRDefault="00452285" w:rsidP="00387E9D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sz w:val="26"/>
          <w:szCs w:val="26"/>
          <w:lang w:eastAsia="cs-CZ"/>
        </w:rPr>
        <w:t>Lékařský předpis. Legislativa oblasti léčiv a omamných a psychotropních látek</w:t>
      </w:r>
    </w:p>
    <w:p w:rsid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Lékařský předpis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Záhlaví – údaje o pacientovi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452285">
        <w:rPr>
          <w:rFonts w:ascii="Times New Roman" w:hAnsi="Times New Roman" w:cs="Times New Roman"/>
          <w:sz w:val="24"/>
          <w:szCs w:val="24"/>
        </w:rPr>
        <w:t>Tělo receptu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452285">
        <w:rPr>
          <w:rFonts w:ascii="Times New Roman" w:hAnsi="Times New Roman" w:cs="Times New Roman"/>
          <w:sz w:val="24"/>
          <w:szCs w:val="24"/>
        </w:rPr>
        <w:t>Zápatí – údaje o lékaři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Terminologie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HVLP – hromadně vyráběné léčivé přípravky, předepisuje se počet balení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IPLP – individuálně připravované léčivé přípravky, předepisuje se složení přípravku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Platnost receptu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klasický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: 14 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na ATB: 5 dní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52285">
        <w:rPr>
          <w:rFonts w:ascii="Times New Roman" w:hAnsi="Times New Roman" w:cs="Times New Roman"/>
          <w:sz w:val="24"/>
          <w:szCs w:val="24"/>
        </w:rPr>
        <w:t>L, 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2285">
        <w:rPr>
          <w:rFonts w:ascii="Times New Roman" w:hAnsi="Times New Roman" w:cs="Times New Roman"/>
          <w:sz w:val="24"/>
          <w:szCs w:val="24"/>
        </w:rPr>
        <w:t>L: 14 dní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na ATB topicky: 14 dní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 „opakovací“ recept: 6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1 rok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pohotovotní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služba: den následující po dni vystavení (max. 48 h)</w:t>
      </w:r>
    </w:p>
    <w:p w:rsid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Základní legislativa oblasti léčiv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léčivech (378/2007 Sb.)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příslušné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předepisování LP, správné lékárenské praxi, výrobě a distribuci LP, registraci léčiv, o vyhrazených léčivých přípravcích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Zákon o léčivech stanovuje podmínky pro: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výzkum, výrobu, přípravu, distribuci, kontrolu a zneškodňování léčiv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registraci, předepisování a výdej léčivých přípravků a prodej vyhrazených léčiv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poregistrační sledování a mezinárodní spolupráci při zajišťování ochrany veřejného zdraví a vytváření jednotného trhu léčivých přípravků v rámci EU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povinnosti lékáren při přípravě, úpravě a vydávání LP</w:t>
      </w:r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zajišťování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</w:p>
    <w:p w:rsidR="00452285" w:rsidRPr="00452285" w:rsidRDefault="00452285" w:rsidP="00387E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kontrolu činnosti a sankce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návykových látkách (167/1998 Sb.)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evidenci a dokumentaci NL, tiskopisy, …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= pravidla pro zacházení s OL a PL, s přípravky obsahujícím návykové látky a s látkami používanými při výrobě nebo zpracování návykových látek, tzv. prekurzory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Předepisování NL: </w:t>
      </w:r>
      <w:r w:rsidRPr="00452285">
        <w:rPr>
          <w:rFonts w:ascii="Times New Roman" w:hAnsi="Times New Roman" w:cs="Times New Roman"/>
          <w:b/>
          <w:sz w:val="24"/>
          <w:szCs w:val="24"/>
        </w:rPr>
        <w:t>recept/žádanka s modrým pruhem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Podléhá přísné evidenci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Recept – originál, dva průpisy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Žádanka – originál, tři průpisy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Na recept s modrým pruhem lze předepsat jeden druh LP , na žádanku 5 druhů LP s obsahem omamných látek skupiny I a psychotropních látek skupiny II</w:t>
      </w:r>
    </w:p>
    <w:p w:rsidR="00452285" w:rsidRPr="00452285" w:rsidRDefault="00452285" w:rsidP="00387E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Nelze použít recept pro opakovaný výdej (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Repetatur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Omamné látky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opioidy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vysokým rizikem vzniku závislosti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nižším rizikem vzniku závislosti (např. kodein)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heroin, konopí, pryskyřice z konopí (především pro výzkumné účely)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Psychotropní látky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lysergid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, mezkalin, MDMA…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 rizikem vzniku psychické závislosti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barbituráty s možným vývojem závislosti (např. amobarbital, pentobarbital…)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IV – benzodiazepiny, některé barbituráty a další látky s možným vývojem závislosti při delším podávání (např. diazepam, oxazepam, fenobarbital…)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Lékopisné prekurzory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Efedrin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Pseudoefedrin → LP: výdej s omezením</w:t>
      </w:r>
    </w:p>
    <w:p w:rsidR="00452285" w:rsidRPr="00452285" w:rsidRDefault="00452285" w:rsidP="0038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Ergotamin</w:t>
      </w:r>
    </w:p>
    <w:p w:rsidR="00452285" w:rsidRPr="00452285" w:rsidRDefault="00452285" w:rsidP="00387E9D">
      <w:pPr>
        <w:spacing w:after="0" w:line="240" w:lineRule="auto"/>
        <w:rPr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Ergometrin</w:t>
      </w:r>
      <w:bookmarkEnd w:id="0"/>
    </w:p>
    <w:sectPr w:rsidR="00452285" w:rsidRPr="00452285" w:rsidSect="0045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5"/>
    <w:rsid w:val="00387E9D"/>
    <w:rsid w:val="00452285"/>
    <w:rsid w:val="005436A8"/>
    <w:rsid w:val="009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2014-09-11T07:53:00Z</dcterms:created>
  <dcterms:modified xsi:type="dcterms:W3CDTF">2014-09-11T07:53:00Z</dcterms:modified>
</cp:coreProperties>
</file>