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80" w:rsidRDefault="00BC6080" w:rsidP="00BC608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lang w:eastAsia="cs-CZ"/>
        </w:rPr>
        <w:t>Antibiotika, chemoterapeutika, antivirotika, antimykotika</w:t>
      </w:r>
    </w:p>
    <w:p w:rsidR="00BC6080" w:rsidRPr="00021C6B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32A0">
        <w:rPr>
          <w:rFonts w:ascii="Times New Roman" w:hAnsi="Times New Roman" w:cs="Times New Roman"/>
          <w:b/>
          <w:sz w:val="20"/>
          <w:szCs w:val="20"/>
        </w:rPr>
        <w:t>Terminologie: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>G+ bakterie</w:t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  <w:t>G- bakterie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>Antibiotikum</w:t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  <w:t>Chemoterapeutikum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 xml:space="preserve">Bakteriostatický účinek </w:t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>Baktericidní účinek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 xml:space="preserve">Širokospektré látky </w:t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  <w:t>Látky s úzkým spektrem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>Koncentračně-dependentní killing</w:t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>Časově-dependentní killing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>Minimální inhibiční koncentrace (MIC)</w:t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>Postantibiotický efekt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32A0">
        <w:rPr>
          <w:rFonts w:ascii="Times New Roman" w:hAnsi="Times New Roman" w:cs="Times New Roman"/>
          <w:b/>
          <w:sz w:val="20"/>
          <w:szCs w:val="20"/>
        </w:rPr>
        <w:t>Obecně o farmakoterapii ATB: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 xml:space="preserve">Léčba empirická </w:t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  <w:t>Léčba kauzální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>Běžná a rezervní ATB</w:t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  <w:t xml:space="preserve">Preskripční a indikační omezení 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>Antibiotická střediska</w:t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  <w:t xml:space="preserve">Národní antibiotický program 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>Volba správného ATB = identifikace patogena + farmakokinetika* uvažovaného léčiva + osoba nemocného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>*Farmakokinetika:</w:t>
      </w:r>
      <w:r w:rsidRPr="00A932A0">
        <w:rPr>
          <w:rFonts w:ascii="Times New Roman" w:hAnsi="Times New Roman" w:cs="Times New Roman"/>
          <w:sz w:val="20"/>
          <w:szCs w:val="20"/>
        </w:rPr>
        <w:tab/>
        <w:t>Biologický poločas – interval podávání</w:t>
      </w:r>
    </w:p>
    <w:p w:rsidR="00BC6080" w:rsidRPr="00A932A0" w:rsidRDefault="00BC6080" w:rsidP="00BC6080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>Distribuce – vlastní použití (prostup HEB, koncentrace v moči atd.)</w:t>
      </w:r>
    </w:p>
    <w:p w:rsidR="00BC6080" w:rsidRPr="00A932A0" w:rsidRDefault="00BC6080" w:rsidP="00BC6080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 xml:space="preserve">Exkrece – nejčastěji ledviny 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C6080" w:rsidRPr="00A932A0" w:rsidSect="00FA51A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32A0">
        <w:rPr>
          <w:rFonts w:ascii="Times New Roman" w:hAnsi="Times New Roman" w:cs="Times New Roman"/>
          <w:b/>
          <w:sz w:val="20"/>
          <w:szCs w:val="20"/>
        </w:rPr>
        <w:lastRenderedPageBreak/>
        <w:t>Klasifikace antimikrobiálních látek: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C6080" w:rsidRPr="00A932A0" w:rsidSect="00021C6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32A0">
        <w:rPr>
          <w:rFonts w:ascii="Times New Roman" w:hAnsi="Times New Roman" w:cs="Times New Roman"/>
          <w:b/>
          <w:sz w:val="20"/>
          <w:szCs w:val="20"/>
        </w:rPr>
        <w:lastRenderedPageBreak/>
        <w:t>Antibiotika</w:t>
      </w:r>
    </w:p>
    <w:p w:rsidR="00BC6080" w:rsidRPr="00A932A0" w:rsidRDefault="00BC6080" w:rsidP="00BC608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932A0">
        <w:rPr>
          <w:rFonts w:ascii="Times New Roman" w:hAnsi="Times New Roman" w:cs="Times New Roman"/>
          <w:sz w:val="20"/>
          <w:szCs w:val="20"/>
          <w:u w:val="single"/>
        </w:rPr>
        <w:t>β-laktamová antibiotika: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ab/>
        <w:t>a) Peniciliny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ab/>
        <w:t>b) Cefalosporiny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ab/>
        <w:t>c) Monobaktamy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ab/>
        <w:t>d) Karbapenemy</w:t>
      </w:r>
    </w:p>
    <w:p w:rsidR="00BC6080" w:rsidRPr="00A932A0" w:rsidRDefault="00BC6080" w:rsidP="00BC608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932A0">
        <w:rPr>
          <w:rFonts w:ascii="Times New Roman" w:hAnsi="Times New Roman" w:cs="Times New Roman"/>
          <w:sz w:val="20"/>
          <w:szCs w:val="20"/>
          <w:u w:val="single"/>
        </w:rPr>
        <w:t>Non-β-laktamová antibiotika: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ab/>
        <w:t>a) Tetracykliny</w:t>
      </w:r>
      <w:r w:rsidRPr="00A932A0">
        <w:rPr>
          <w:rFonts w:ascii="Times New Roman" w:hAnsi="Times New Roman" w:cs="Times New Roman"/>
          <w:sz w:val="20"/>
          <w:szCs w:val="20"/>
        </w:rPr>
        <w:tab/>
      </w:r>
      <w:r w:rsidRPr="00A932A0">
        <w:rPr>
          <w:rFonts w:ascii="Times New Roman" w:hAnsi="Times New Roman" w:cs="Times New Roman"/>
          <w:sz w:val="20"/>
          <w:szCs w:val="20"/>
        </w:rPr>
        <w:tab/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ab/>
        <w:t>b) Makrolidy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ab/>
        <w:t>c) Aminoglykosidy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ab/>
        <w:t xml:space="preserve">d) Linkosamidy 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ab/>
        <w:t>e) Polypeptidy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ab/>
        <w:t>f) Glykopeptidy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32A0">
        <w:rPr>
          <w:rFonts w:ascii="Times New Roman" w:hAnsi="Times New Roman" w:cs="Times New Roman"/>
          <w:b/>
          <w:sz w:val="20"/>
          <w:szCs w:val="20"/>
        </w:rPr>
        <w:t>Chemoterapeutika</w:t>
      </w:r>
    </w:p>
    <w:p w:rsidR="00BC6080" w:rsidRPr="00A932A0" w:rsidRDefault="00BC6080" w:rsidP="00BC608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>Sulfonamidy a pyrimidiny</w:t>
      </w:r>
    </w:p>
    <w:p w:rsidR="00BC6080" w:rsidRPr="00A932A0" w:rsidRDefault="00BC6080" w:rsidP="00BC608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>Chinolony</w:t>
      </w:r>
    </w:p>
    <w:p w:rsidR="00BC6080" w:rsidRPr="00A932A0" w:rsidRDefault="00BC6080" w:rsidP="00BC608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>Nitrofurany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32A0">
        <w:rPr>
          <w:rFonts w:ascii="Times New Roman" w:hAnsi="Times New Roman" w:cs="Times New Roman"/>
          <w:b/>
          <w:sz w:val="20"/>
          <w:szCs w:val="20"/>
        </w:rPr>
        <w:t>Antimykotika</w:t>
      </w:r>
    </w:p>
    <w:p w:rsidR="00BC6080" w:rsidRPr="00A932A0" w:rsidRDefault="00BC6080" w:rsidP="00BC608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>Polyenová</w:t>
      </w:r>
    </w:p>
    <w:p w:rsidR="00BC6080" w:rsidRPr="00A932A0" w:rsidRDefault="00BC6080" w:rsidP="00BC608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>Azolová</w:t>
      </w:r>
    </w:p>
    <w:p w:rsidR="00BC6080" w:rsidRPr="00A932A0" w:rsidRDefault="00BC6080" w:rsidP="00BC608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>Ostatní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32A0">
        <w:rPr>
          <w:rFonts w:ascii="Times New Roman" w:hAnsi="Times New Roman" w:cs="Times New Roman"/>
          <w:b/>
          <w:sz w:val="20"/>
          <w:szCs w:val="20"/>
        </w:rPr>
        <w:t>Antivirotika</w:t>
      </w:r>
    </w:p>
    <w:p w:rsidR="00BC6080" w:rsidRPr="00A932A0" w:rsidRDefault="00BC6080" w:rsidP="00BC6080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>Antiherpetika</w:t>
      </w:r>
    </w:p>
    <w:p w:rsidR="00BC6080" w:rsidRPr="00A932A0" w:rsidRDefault="00BC6080" w:rsidP="00BC6080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>Léčiva chřipky</w:t>
      </w:r>
    </w:p>
    <w:p w:rsidR="00BC6080" w:rsidRPr="00A932A0" w:rsidRDefault="00BC6080" w:rsidP="00BC6080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>Antiretrovirotika</w:t>
      </w:r>
    </w:p>
    <w:p w:rsidR="00BC6080" w:rsidRPr="00A932A0" w:rsidRDefault="00BC6080" w:rsidP="00BC6080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2A0">
        <w:rPr>
          <w:rFonts w:ascii="Times New Roman" w:hAnsi="Times New Roman" w:cs="Times New Roman"/>
          <w:sz w:val="20"/>
          <w:szCs w:val="20"/>
        </w:rPr>
        <w:t>Ostatní</w:t>
      </w:r>
    </w:p>
    <w:p w:rsidR="00BC6080" w:rsidRPr="00A932A0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C6080" w:rsidRPr="00A932A0" w:rsidSect="00021C6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A932A0">
        <w:rPr>
          <w:rFonts w:ascii="Times New Roman" w:hAnsi="Times New Roman" w:cs="Times New Roman"/>
          <w:b/>
          <w:sz w:val="20"/>
          <w:szCs w:val="20"/>
        </w:rPr>
        <w:t>Dezinficiencia a antiseptika</w:t>
      </w:r>
    </w:p>
    <w:p w:rsidR="00BC6080" w:rsidRPr="00021C6B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C6B">
        <w:rPr>
          <w:rFonts w:ascii="Times New Roman" w:hAnsi="Times New Roman" w:cs="Times New Roman"/>
          <w:b/>
          <w:sz w:val="24"/>
          <w:szCs w:val="24"/>
        </w:rPr>
        <w:lastRenderedPageBreak/>
        <w:t>Peniciliny</w:t>
      </w:r>
    </w:p>
    <w:p w:rsidR="00BC6080" w:rsidRPr="0077093B" w:rsidRDefault="00BC6080" w:rsidP="00BC608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MÚ: vazba na penicillin-binding proteins (PBP) → zásah do mtb peptidoglykanů BS → aktivace autolyzinů → rozpad BS</w:t>
      </w:r>
    </w:p>
    <w:p w:rsidR="00BC6080" w:rsidRPr="0077093B" w:rsidRDefault="00BC6080" w:rsidP="00BC608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Úzkospektré PNC (G+): penicilin G, benzathin-penicilin, penicilin V</w:t>
      </w:r>
    </w:p>
    <w:p w:rsidR="00BC6080" w:rsidRPr="0077093B" w:rsidRDefault="00BC6080" w:rsidP="00BC608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Úzkospektré PNC odolné proti β-laktamáze a ↓ pH: oxacilin, kloxacilin, dikloxacilin</w:t>
      </w:r>
    </w:p>
    <w:p w:rsidR="00BC6080" w:rsidRPr="0077093B" w:rsidRDefault="00BC6080" w:rsidP="00BC608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Širokospektré PNC (G+ i G-): ampicilin, amoxicilin, piperacilin, tikarcilin, azlocilin</w:t>
      </w:r>
    </w:p>
    <w:p w:rsidR="00BC6080" w:rsidRPr="0077093B" w:rsidRDefault="00BC6080" w:rsidP="00BC608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Inhibitory β-laktamáz: klavulanát, sulbaktam</w:t>
      </w:r>
    </w:p>
    <w:p w:rsidR="00BC6080" w:rsidRPr="0077093B" w:rsidRDefault="00BC6080" w:rsidP="00BC608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Potencované peniciliny: PNC + inhibitor β-laktamáz (např. ko-amoxicilin = amoxicilin + sulbaktam)</w:t>
      </w:r>
    </w:p>
    <w:p w:rsidR="00BC6080" w:rsidRPr="00021C6B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C6B">
        <w:rPr>
          <w:rFonts w:ascii="Times New Roman" w:hAnsi="Times New Roman" w:cs="Times New Roman"/>
          <w:b/>
          <w:sz w:val="24"/>
          <w:szCs w:val="24"/>
        </w:rPr>
        <w:t>Cefalosporiny</w:t>
      </w:r>
    </w:p>
    <w:p w:rsidR="00BC6080" w:rsidRPr="0077093B" w:rsidRDefault="00BC6080" w:rsidP="00BC608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MÚ: stejný jako PNC</w:t>
      </w:r>
    </w:p>
    <w:p w:rsidR="00BC6080" w:rsidRPr="0077093B" w:rsidRDefault="00BC6080" w:rsidP="00BC608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generace: G+ a některé G- (</w:t>
      </w:r>
      <w:r w:rsidRPr="0077093B">
        <w:rPr>
          <w:rFonts w:ascii="Times New Roman" w:hAnsi="Times New Roman" w:cs="Times New Roman"/>
          <w:i/>
          <w:sz w:val="24"/>
          <w:szCs w:val="24"/>
        </w:rPr>
        <w:t>E. coli</w:t>
      </w:r>
      <w:r w:rsidRPr="0077093B">
        <w:rPr>
          <w:rFonts w:ascii="Times New Roman" w:hAnsi="Times New Roman" w:cs="Times New Roman"/>
          <w:sz w:val="24"/>
          <w:szCs w:val="24"/>
        </w:rPr>
        <w:t>) – cefazolin, cefadroxil, cefalexin…</w:t>
      </w:r>
    </w:p>
    <w:p w:rsidR="00BC6080" w:rsidRPr="0077093B" w:rsidRDefault="00BC6080" w:rsidP="00BC608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generace: spíše G- (</w:t>
      </w:r>
      <w:r w:rsidRPr="0077093B">
        <w:rPr>
          <w:rFonts w:ascii="Times New Roman" w:hAnsi="Times New Roman" w:cs="Times New Roman"/>
          <w:i/>
          <w:sz w:val="24"/>
          <w:szCs w:val="24"/>
        </w:rPr>
        <w:t>H. influenzae</w:t>
      </w:r>
      <w:r w:rsidRPr="0077093B">
        <w:rPr>
          <w:rFonts w:ascii="Times New Roman" w:hAnsi="Times New Roman" w:cs="Times New Roman"/>
          <w:sz w:val="24"/>
          <w:szCs w:val="24"/>
        </w:rPr>
        <w:t>), některé G+ – cefuroxim, cefaklor…</w:t>
      </w:r>
    </w:p>
    <w:p w:rsidR="00BC6080" w:rsidRPr="0077093B" w:rsidRDefault="00BC6080" w:rsidP="00BC608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generace: především G- (</w:t>
      </w:r>
      <w:r w:rsidRPr="0077093B">
        <w:rPr>
          <w:rFonts w:ascii="Times New Roman" w:hAnsi="Times New Roman" w:cs="Times New Roman"/>
          <w:i/>
          <w:sz w:val="24"/>
          <w:szCs w:val="24"/>
        </w:rPr>
        <w:t>Pseudomonas</w:t>
      </w:r>
      <w:r w:rsidRPr="0077093B">
        <w:rPr>
          <w:rFonts w:ascii="Times New Roman" w:hAnsi="Times New Roman" w:cs="Times New Roman"/>
          <w:sz w:val="24"/>
          <w:szCs w:val="24"/>
        </w:rPr>
        <w:t>), slabě účinný na G+ – ceftriaxon, ceftazidim, cefotaxim</w:t>
      </w:r>
    </w:p>
    <w:p w:rsidR="00BC6080" w:rsidRPr="0077093B" w:rsidRDefault="00BC6080" w:rsidP="00BC6080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generace: G+ i G- (rezervní, vysoce účinné) – cefepim, cefpirom</w:t>
      </w:r>
    </w:p>
    <w:p w:rsidR="00BC6080" w:rsidRPr="00021C6B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C6B">
        <w:rPr>
          <w:rFonts w:ascii="Times New Roman" w:hAnsi="Times New Roman" w:cs="Times New Roman"/>
          <w:b/>
          <w:sz w:val="24"/>
          <w:szCs w:val="24"/>
        </w:rPr>
        <w:t>Monobaktamy a karbapenemy</w:t>
      </w:r>
    </w:p>
    <w:p w:rsidR="00BC6080" w:rsidRPr="0077093B" w:rsidRDefault="00BC6080" w:rsidP="00BC6080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MÚ: vazba na specifické proteiny (ne PBP), zásah do mtb peptidoglykanů BS</w:t>
      </w:r>
    </w:p>
    <w:p w:rsidR="00BC6080" w:rsidRPr="0077093B" w:rsidRDefault="00BC6080" w:rsidP="00BC6080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Monobaktamy – aztreonam</w:t>
      </w:r>
    </w:p>
    <w:p w:rsidR="00BC6080" w:rsidRPr="0077093B" w:rsidRDefault="00BC6080" w:rsidP="00BC6080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Karbapenemy – imipenem, meropenem</w:t>
      </w:r>
    </w:p>
    <w:p w:rsidR="00BC6080" w:rsidRPr="00021C6B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C6B">
        <w:rPr>
          <w:rFonts w:ascii="Times New Roman" w:hAnsi="Times New Roman" w:cs="Times New Roman"/>
          <w:b/>
          <w:sz w:val="24"/>
          <w:szCs w:val="24"/>
        </w:rPr>
        <w:t>Polypeptidy</w:t>
      </w:r>
    </w:p>
    <w:p w:rsidR="00BC6080" w:rsidRPr="0077093B" w:rsidRDefault="00BC6080" w:rsidP="00BC608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MÚ: povrchově aktivní látky, porušují integritu CM + některé zasahují do mtb. BS (bacitracin)</w:t>
      </w:r>
    </w:p>
    <w:p w:rsidR="00BC6080" w:rsidRPr="0077093B" w:rsidRDefault="00BC6080" w:rsidP="00BC608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bacitracin – HVLP Framykoin; polymyxin B, kolistin</w:t>
      </w:r>
    </w:p>
    <w:p w:rsidR="00BC6080" w:rsidRPr="00021C6B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C6B">
        <w:rPr>
          <w:rFonts w:ascii="Times New Roman" w:hAnsi="Times New Roman" w:cs="Times New Roman"/>
          <w:b/>
          <w:sz w:val="24"/>
          <w:szCs w:val="24"/>
        </w:rPr>
        <w:t>Glykopeptidy</w:t>
      </w:r>
    </w:p>
    <w:p w:rsidR="00BC6080" w:rsidRPr="0077093B" w:rsidRDefault="00BC6080" w:rsidP="00BC6080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MÚ: vazba na prekurzory glykopeptidů BS – inhibice syntézy BS</w:t>
      </w:r>
    </w:p>
    <w:p w:rsidR="00BC6080" w:rsidRPr="0077093B" w:rsidRDefault="00BC6080" w:rsidP="00BC6080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vankomycin, teikoplanin</w:t>
      </w:r>
    </w:p>
    <w:p w:rsidR="00BC6080" w:rsidRPr="00021C6B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C6B">
        <w:rPr>
          <w:rFonts w:ascii="Times New Roman" w:hAnsi="Times New Roman" w:cs="Times New Roman"/>
          <w:b/>
          <w:sz w:val="24"/>
          <w:szCs w:val="24"/>
        </w:rPr>
        <w:t>Tetracykliny</w:t>
      </w:r>
    </w:p>
    <w:p w:rsidR="00BC6080" w:rsidRPr="0077093B" w:rsidRDefault="00BC6080" w:rsidP="00BC6080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MÚ: vazba na 30S podjednotku ribozomu = blok proteosyntézy</w:t>
      </w:r>
    </w:p>
    <w:p w:rsidR="00BC6080" w:rsidRPr="0077093B" w:rsidRDefault="00BC6080" w:rsidP="00BC6080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tetracyklin – externě, dermatologika; doxycyklin, minocyklin</w:t>
      </w:r>
    </w:p>
    <w:p w:rsidR="00BC6080" w:rsidRPr="00021C6B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C6B">
        <w:rPr>
          <w:rFonts w:ascii="Times New Roman" w:hAnsi="Times New Roman" w:cs="Times New Roman"/>
          <w:b/>
          <w:sz w:val="24"/>
          <w:szCs w:val="24"/>
        </w:rPr>
        <w:t>Amfenikoly</w:t>
      </w:r>
    </w:p>
    <w:p w:rsidR="00BC6080" w:rsidRPr="0077093B" w:rsidRDefault="00BC6080" w:rsidP="00BC6080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MÚ: vazba na 50S podjednotku ribozomu = blok proteosyntézy</w:t>
      </w:r>
    </w:p>
    <w:p w:rsidR="00BC6080" w:rsidRPr="0077093B" w:rsidRDefault="00BC6080" w:rsidP="00BC6080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chloramfenikol</w:t>
      </w:r>
    </w:p>
    <w:p w:rsidR="00BC6080" w:rsidRPr="00021C6B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C6B">
        <w:rPr>
          <w:rFonts w:ascii="Times New Roman" w:hAnsi="Times New Roman" w:cs="Times New Roman"/>
          <w:b/>
          <w:sz w:val="24"/>
          <w:szCs w:val="24"/>
        </w:rPr>
        <w:t>Aminoglykosidy</w:t>
      </w:r>
    </w:p>
    <w:p w:rsidR="00BC6080" w:rsidRPr="0077093B" w:rsidRDefault="00BC6080" w:rsidP="00BC6080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MÚ: vazba na 30S podjednotku ribozomu = blok proteosyntézy (baktericidní)</w:t>
      </w:r>
    </w:p>
    <w:p w:rsidR="00BC6080" w:rsidRPr="0077093B" w:rsidRDefault="00BC6080" w:rsidP="00BC6080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streptomycin – antituberkulotikum</w:t>
      </w:r>
    </w:p>
    <w:p w:rsidR="00BC6080" w:rsidRPr="0077093B" w:rsidRDefault="00BC6080" w:rsidP="00BC6080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neomycin – lokálně s bacitracinem (Framykoin ung.)</w:t>
      </w:r>
    </w:p>
    <w:p w:rsidR="00BC6080" w:rsidRPr="0077093B" w:rsidRDefault="00BC6080" w:rsidP="00BC6080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kanamycin, gentamicin, tobramycin, netilmicin</w:t>
      </w:r>
    </w:p>
    <w:p w:rsidR="00BC6080" w:rsidRPr="00021C6B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C6B">
        <w:rPr>
          <w:rFonts w:ascii="Times New Roman" w:hAnsi="Times New Roman" w:cs="Times New Roman"/>
          <w:b/>
          <w:sz w:val="24"/>
          <w:szCs w:val="24"/>
        </w:rPr>
        <w:t>Makrolidy</w:t>
      </w:r>
    </w:p>
    <w:p w:rsidR="00BC6080" w:rsidRPr="0077093B" w:rsidRDefault="00BC6080" w:rsidP="00BC608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MÚ: vazba na 50S podjednotku ribozomu = blok proteosyntézy</w:t>
      </w:r>
    </w:p>
    <w:p w:rsidR="00BC6080" w:rsidRPr="0077093B" w:rsidRDefault="00BC6080" w:rsidP="00BC608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erythromycin, klarithromycin, azithromycin, roxithromycin, rovamycin</w:t>
      </w:r>
    </w:p>
    <w:p w:rsidR="00BC6080" w:rsidRPr="00021C6B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C6B">
        <w:rPr>
          <w:rFonts w:ascii="Times New Roman" w:hAnsi="Times New Roman" w:cs="Times New Roman"/>
          <w:b/>
          <w:sz w:val="24"/>
          <w:szCs w:val="24"/>
        </w:rPr>
        <w:t>Linkosamidy</w:t>
      </w:r>
    </w:p>
    <w:p w:rsidR="00BC6080" w:rsidRPr="0077093B" w:rsidRDefault="00BC6080" w:rsidP="00BC6080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MÚ: inhibice tvorby peptidické vazby = blok proteosyntézy</w:t>
      </w:r>
    </w:p>
    <w:p w:rsidR="00BC6080" w:rsidRPr="0077093B" w:rsidRDefault="00BC6080" w:rsidP="00BC6080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klindamycin, linkomycin</w:t>
      </w:r>
    </w:p>
    <w:p w:rsidR="00BC6080" w:rsidRPr="00021C6B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C6B">
        <w:rPr>
          <w:rFonts w:ascii="Times New Roman" w:hAnsi="Times New Roman" w:cs="Times New Roman"/>
          <w:b/>
          <w:sz w:val="24"/>
          <w:szCs w:val="24"/>
        </w:rPr>
        <w:t>Sulfonamidy a pyrimidiny</w:t>
      </w:r>
    </w:p>
    <w:p w:rsidR="00BC6080" w:rsidRPr="0077093B" w:rsidRDefault="00BC6080" w:rsidP="00BC6080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MÚ: interference s mtb kyseliny listové = SA: kompetice s PABA o dihydropteroátsyntázu; PY: inhibice dihydrofolátreduktázy</w:t>
      </w:r>
    </w:p>
    <w:p w:rsidR="00BC6080" w:rsidRPr="0077093B" w:rsidRDefault="00BC6080" w:rsidP="00BC6080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sulfamethoxazol + trimethoprim (kotrimoxazol), sulfathiazol – vaginální globulky</w:t>
      </w:r>
    </w:p>
    <w:p w:rsidR="00BC6080" w:rsidRPr="00021C6B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C6B">
        <w:rPr>
          <w:rFonts w:ascii="Times New Roman" w:hAnsi="Times New Roman" w:cs="Times New Roman"/>
          <w:b/>
          <w:sz w:val="24"/>
          <w:szCs w:val="24"/>
        </w:rPr>
        <w:lastRenderedPageBreak/>
        <w:t>Chinolony</w:t>
      </w:r>
    </w:p>
    <w:p w:rsidR="00BC6080" w:rsidRPr="0077093B" w:rsidRDefault="00BC6080" w:rsidP="00BC6080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MÚ: inhibice DNA-gyrázy (topoizomerázy II) = inhibice replikace DNA</w:t>
      </w:r>
    </w:p>
    <w:p w:rsidR="00BC6080" w:rsidRPr="0077093B" w:rsidRDefault="00BC6080" w:rsidP="00BC6080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generace: G- – nalidixová, oxolinová kyselina</w:t>
      </w:r>
    </w:p>
    <w:p w:rsidR="00BC6080" w:rsidRPr="0077093B" w:rsidRDefault="00BC6080" w:rsidP="00BC6080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generace: G- (</w:t>
      </w:r>
      <w:r w:rsidRPr="0077093B">
        <w:rPr>
          <w:rFonts w:ascii="Times New Roman" w:hAnsi="Times New Roman" w:cs="Times New Roman"/>
          <w:i/>
          <w:sz w:val="24"/>
          <w:szCs w:val="24"/>
        </w:rPr>
        <w:t>Pseudomonas</w:t>
      </w:r>
      <w:r w:rsidRPr="0077093B">
        <w:rPr>
          <w:rFonts w:ascii="Times New Roman" w:hAnsi="Times New Roman" w:cs="Times New Roman"/>
          <w:sz w:val="24"/>
          <w:szCs w:val="24"/>
        </w:rPr>
        <w:t>), některé G+ – ciprofloxacin, ofloxacin, norfloxacin</w:t>
      </w:r>
    </w:p>
    <w:p w:rsidR="00BC6080" w:rsidRPr="0077093B" w:rsidRDefault="00BC6080" w:rsidP="00BC6080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generace: G- i G+ – sparfloxacin</w:t>
      </w:r>
    </w:p>
    <w:p w:rsidR="00BC6080" w:rsidRPr="0077093B" w:rsidRDefault="00BC6080" w:rsidP="00BC6080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generace: G- i G+ – trovafloxacin</w:t>
      </w:r>
    </w:p>
    <w:p w:rsidR="00BC6080" w:rsidRPr="00021C6B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C6B">
        <w:rPr>
          <w:rFonts w:ascii="Times New Roman" w:hAnsi="Times New Roman" w:cs="Times New Roman"/>
          <w:b/>
          <w:sz w:val="24"/>
          <w:szCs w:val="24"/>
        </w:rPr>
        <w:t>Nitrofurany</w:t>
      </w:r>
    </w:p>
    <w:p w:rsidR="00BC6080" w:rsidRPr="0077093B" w:rsidRDefault="00BC6080" w:rsidP="00BC6080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MÚ: tvorba kovalentní vazby s DNA nebo ribozomy = blok replikace nebo proteosyntézy</w:t>
      </w:r>
    </w:p>
    <w:p w:rsidR="00BC6080" w:rsidRPr="0077093B" w:rsidRDefault="00BC6080" w:rsidP="00BC6080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nitrofurantoin, nifuroxazid, nifuratel</w:t>
      </w:r>
    </w:p>
    <w:p w:rsidR="00BC6080" w:rsidRPr="00021C6B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C6B">
        <w:rPr>
          <w:rFonts w:ascii="Times New Roman" w:hAnsi="Times New Roman" w:cs="Times New Roman"/>
          <w:b/>
          <w:sz w:val="24"/>
          <w:szCs w:val="24"/>
        </w:rPr>
        <w:t>Nitroimidazoly</w:t>
      </w:r>
    </w:p>
    <w:p w:rsidR="00BC6080" w:rsidRPr="0077093B" w:rsidRDefault="00BC6080" w:rsidP="00BC6080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MÚ: poškození DNA, tvorba zlomů = blok replikace</w:t>
      </w:r>
    </w:p>
    <w:p w:rsidR="00BC6080" w:rsidRPr="0077093B" w:rsidRDefault="00BC6080" w:rsidP="00BC6080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93B">
        <w:rPr>
          <w:rFonts w:ascii="Times New Roman" w:hAnsi="Times New Roman" w:cs="Times New Roman"/>
          <w:sz w:val="24"/>
          <w:szCs w:val="24"/>
        </w:rPr>
        <w:t>metronidazol, ornidazol</w:t>
      </w:r>
    </w:p>
    <w:p w:rsidR="00BC6080" w:rsidRDefault="00BC6080" w:rsidP="00BC6080">
      <w:pPr>
        <w:spacing w:line="240" w:lineRule="auto"/>
        <w:rPr>
          <w:sz w:val="24"/>
          <w:szCs w:val="24"/>
        </w:rPr>
      </w:pPr>
    </w:p>
    <w:p w:rsidR="00BC6080" w:rsidRPr="0077093B" w:rsidRDefault="00BC6080" w:rsidP="00BC60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7093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Antivirotika</w:t>
      </w:r>
    </w:p>
    <w:p w:rsidR="00BC6080" w:rsidRPr="0077093B" w:rsidRDefault="00BC6080" w:rsidP="00BC60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77093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Antivirové látky proti chřipce</w:t>
      </w:r>
    </w:p>
    <w:p w:rsidR="00BC6080" w:rsidRPr="0077093B" w:rsidRDefault="00BC6080" w:rsidP="00BC6080">
      <w:pPr>
        <w:pStyle w:val="Odstavecseseznamem"/>
        <w:numPr>
          <w:ilvl w:val="0"/>
          <w:numId w:val="19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09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amantadin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7709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MÚ</w:t>
      </w:r>
      <w:r w:rsidRPr="00892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blokáda opláštění virionu a vyplavení NK</w:t>
      </w:r>
    </w:p>
    <w:p w:rsidR="00BC6080" w:rsidRPr="0077093B" w:rsidRDefault="00BC6080" w:rsidP="00BC6080">
      <w:pPr>
        <w:pStyle w:val="Odstavecseseznamem"/>
        <w:numPr>
          <w:ilvl w:val="0"/>
          <w:numId w:val="19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</w:t>
      </w:r>
      <w:r w:rsidRPr="007709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imantadin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erivát a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>mantadinu</w:t>
      </w:r>
    </w:p>
    <w:p w:rsidR="00BC6080" w:rsidRPr="0077093B" w:rsidRDefault="00BC6080" w:rsidP="00BC6080">
      <w:pPr>
        <w:pStyle w:val="Odstavecseseznamem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09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FK</w:t>
      </w:r>
      <w:r w:rsidRPr="00892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dobré 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>vstřebán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GIT </w:t>
      </w:r>
    </w:p>
    <w:p w:rsidR="00BC6080" w:rsidRPr="00892F93" w:rsidRDefault="00BC6080" w:rsidP="00BC6080">
      <w:pPr>
        <w:pStyle w:val="Odstavecseseznamem"/>
        <w:numPr>
          <w:ilvl w:val="0"/>
          <w:numId w:val="19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Pr="00892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seltamivir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892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</w:t>
      </w:r>
      <w:r w:rsidRPr="00892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892F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proléčivo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Pr="00892F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aktivace na oseltamivir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892F93">
        <w:rPr>
          <w:rFonts w:ascii="Times New Roman" w:eastAsia="Times New Roman" w:hAnsi="Times New Roman" w:cs="Times New Roman"/>
          <w:sz w:val="24"/>
          <w:szCs w:val="24"/>
          <w:lang w:eastAsia="cs-CZ"/>
        </w:rPr>
        <w:t>karboxylát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Pr="00892F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selektivní inhibitor 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eur</w:t>
      </w:r>
      <w:r w:rsidRPr="00892F93">
        <w:rPr>
          <w:rFonts w:ascii="Times New Roman" w:eastAsia="Times New Roman" w:hAnsi="Times New Roman" w:cs="Times New Roman"/>
          <w:sz w:val="24"/>
          <w:szCs w:val="24"/>
          <w:lang w:eastAsia="cs-CZ"/>
        </w:rPr>
        <w:t>aminidázy chřipkového viru typu A a B</w:t>
      </w:r>
    </w:p>
    <w:p w:rsidR="00BC6080" w:rsidRPr="0077093B" w:rsidRDefault="00BC6080" w:rsidP="00BC6080">
      <w:pPr>
        <w:pStyle w:val="Odstavecseseznamem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</w:t>
      </w:r>
      <w:r w:rsidRPr="0077093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erapeutické podání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zkrácení doby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nemoci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>, zmírnění příznak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chřipky</w:t>
      </w:r>
    </w:p>
    <w:p w:rsidR="00BC6080" w:rsidRPr="0077093B" w:rsidRDefault="00BC6080" w:rsidP="00BC6080">
      <w:pPr>
        <w:pStyle w:val="Odstavecseseznamem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</w:t>
      </w:r>
      <w:r w:rsidRPr="0077093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rofylaktické použití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snížení incidence chřipky</w:t>
      </w:r>
    </w:p>
    <w:p w:rsidR="00BC6080" w:rsidRPr="0077093B" w:rsidRDefault="00BC6080" w:rsidP="00BC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6080" w:rsidRPr="0077093B" w:rsidRDefault="00BC6080" w:rsidP="00BC60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77093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Antiherpetické látky</w:t>
      </w:r>
    </w:p>
    <w:p w:rsidR="00BC6080" w:rsidRPr="0077093B" w:rsidRDefault="00BC6080" w:rsidP="00BC6080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trifluridin, vidarabin, idoxuridin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892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709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I: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lokální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léčba herpetických infekcí oka</w:t>
      </w:r>
    </w:p>
    <w:p w:rsidR="00BC6080" w:rsidRPr="0077093B" w:rsidRDefault="00BC6080" w:rsidP="00BC6080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aciklovir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MÚ</w:t>
      </w:r>
      <w:r w:rsidRPr="007709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konvertován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kinázou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účinný trifosfát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inhibice virové DNA polymerázy a inkorporace do virové DNA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má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větší afinitu k virové kin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áze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k lidské = účinný a bezpečný </w:t>
      </w:r>
    </w:p>
    <w:p w:rsidR="00BC6080" w:rsidRPr="00892F93" w:rsidRDefault="00BC6080" w:rsidP="00BC6080">
      <w:pPr>
        <w:pStyle w:val="Odstavecseseznamem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Pr="00892F93">
        <w:rPr>
          <w:rFonts w:ascii="Times New Roman" w:eastAsia="Times New Roman" w:hAnsi="Times New Roman" w:cs="Times New Roman"/>
          <w:sz w:val="24"/>
          <w:szCs w:val="24"/>
          <w:lang w:eastAsia="cs-CZ"/>
        </w:rPr>
        <w:t>erpes simplex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</w:t>
      </w:r>
      <w:r w:rsidRPr="00892F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okální nebo p.o. podání)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herpes </w:t>
      </w:r>
      <w:r w:rsidRPr="00892F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zoster (p.o. podání) </w:t>
      </w:r>
    </w:p>
    <w:p w:rsidR="00BC6080" w:rsidRPr="00892F93" w:rsidRDefault="00BC6080" w:rsidP="00BC6080">
      <w:pPr>
        <w:pStyle w:val="Odstavecseseznamem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NÚ:</w:t>
      </w:r>
      <w:r w:rsidRPr="00892F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snížená funkce ledvin, neurologické problémy (třes, zmatenost), u pacientů s oslabenou imunitou byly zjištěny herpetické viry rezistentní vůči acikloviru</w:t>
      </w:r>
    </w:p>
    <w:p w:rsidR="00BC6080" w:rsidRPr="0077093B" w:rsidRDefault="00BC6080" w:rsidP="00BC6080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ganciklovir - </w:t>
      </w:r>
      <w:r w:rsidRPr="007709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Pr="00892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Ú:</w:t>
      </w:r>
      <w:r w:rsidRPr="00892F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inhibice DNA polymerázy; 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derivát acikloviru, vyšší účinnost, vyšší toxicita </w:t>
      </w:r>
    </w:p>
    <w:p w:rsidR="00BC6080" w:rsidRPr="00892F93" w:rsidRDefault="00BC6080" w:rsidP="00BC6080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I: </w:t>
      </w:r>
      <w:r w:rsidRPr="00892F93">
        <w:rPr>
          <w:rFonts w:ascii="Times New Roman" w:eastAsia="Times New Roman" w:hAnsi="Times New Roman" w:cs="Times New Roman"/>
          <w:sz w:val="24"/>
          <w:szCs w:val="24"/>
          <w:lang w:eastAsia="cs-CZ"/>
        </w:rPr>
        <w:t>i.v. u cytomegalovirových infekcích a imunodeficitních stavech (p.o. AIDS, stavy po cytostaticích)</w:t>
      </w:r>
    </w:p>
    <w:p w:rsidR="00BC6080" w:rsidRDefault="00BC6080" w:rsidP="00BC6080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</w:t>
      </w:r>
      <w:r w:rsidRPr="00892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892F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deprese krvetvorby, neutropenie</w:t>
      </w:r>
    </w:p>
    <w:p w:rsidR="00BC6080" w:rsidRPr="0077093B" w:rsidRDefault="00BC6080" w:rsidP="00BC6080">
      <w:pPr>
        <w:pStyle w:val="Odstavecseseznamem"/>
        <w:numPr>
          <w:ilvl w:val="0"/>
          <w:numId w:val="2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famciklovir, penciklovir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892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892F93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>odobné acikloviru</w:t>
      </w:r>
    </w:p>
    <w:p w:rsidR="00BC6080" w:rsidRPr="00892F93" w:rsidRDefault="00BC6080" w:rsidP="00BC6080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I:</w:t>
      </w:r>
      <w:r w:rsidRPr="00892F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akutní herpes zoster, h. opthalmicus, h. genit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92F93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</w:p>
    <w:p w:rsidR="00BC6080" w:rsidRPr="0077093B" w:rsidRDefault="00BC6080" w:rsidP="00BC6080">
      <w:pPr>
        <w:pStyle w:val="Odstavecseseznamem"/>
        <w:numPr>
          <w:ilvl w:val="0"/>
          <w:numId w:val="2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ribavirin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892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709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>: inhibice širokého spektra DNA a RNA virů</w:t>
      </w:r>
    </w:p>
    <w:p w:rsidR="00BC6080" w:rsidRPr="00892F93" w:rsidRDefault="00BC6080" w:rsidP="00BC6080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I: </w:t>
      </w:r>
      <w:r w:rsidRPr="00892F93">
        <w:rPr>
          <w:rFonts w:ascii="Times New Roman" w:eastAsia="Times New Roman" w:hAnsi="Times New Roman" w:cs="Times New Roman"/>
          <w:sz w:val="24"/>
          <w:szCs w:val="24"/>
          <w:lang w:eastAsia="cs-CZ"/>
        </w:rPr>
        <w:t>i.v. léčba virové bronchiolitidy a pneumonie vyvolaná respiračním syncytiálním virem, hepatitida C</w:t>
      </w:r>
    </w:p>
    <w:p w:rsidR="00BC6080" w:rsidRPr="00892F93" w:rsidRDefault="00BC6080" w:rsidP="00BC6080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2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</w:t>
      </w:r>
      <w:r w:rsidRPr="005F2E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892F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hemolýza, anémie, neutropenie, potenciální teratogenita a kancerogenita</w:t>
      </w:r>
    </w:p>
    <w:p w:rsidR="00BC6080" w:rsidRPr="005F2E25" w:rsidRDefault="00BC6080" w:rsidP="00BC6080">
      <w:pPr>
        <w:pStyle w:val="Odstavecseseznamem"/>
        <w:numPr>
          <w:ilvl w:val="0"/>
          <w:numId w:val="22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</w:t>
      </w:r>
      <w:r w:rsidRPr="005F2E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oskarnet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 w:rsidRPr="005F2E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</w:t>
      </w:r>
      <w:r w:rsidRPr="005F2E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2E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blokuje vazebné místo pro pyrofosfát na virové RNA polymeráze a HIV reverzní transkriptáze </w:t>
      </w:r>
    </w:p>
    <w:p w:rsidR="00BC6080" w:rsidRPr="005F2E25" w:rsidRDefault="00BC6080" w:rsidP="00BC6080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E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I:  </w:t>
      </w:r>
      <w:r w:rsidRPr="005F2E25">
        <w:rPr>
          <w:rFonts w:ascii="Times New Roman" w:eastAsia="Times New Roman" w:hAnsi="Times New Roman" w:cs="Times New Roman"/>
          <w:sz w:val="24"/>
          <w:szCs w:val="24"/>
          <w:lang w:eastAsia="cs-CZ"/>
        </w:rPr>
        <w:t>i.v. aplikace u těžkých CMV retinitid u pacientů s AIDS (v 80 % stabilizuje obraz očního pozadí) i onemocnění rezistentních na aciklovir (HSV)</w:t>
      </w:r>
    </w:p>
    <w:p w:rsidR="00BC6080" w:rsidRPr="005F2E25" w:rsidRDefault="00BC6080" w:rsidP="00BC6080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2E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NU</w:t>
      </w:r>
      <w:r w:rsidRPr="005F2E25">
        <w:rPr>
          <w:rFonts w:ascii="Times New Roman" w:eastAsia="Times New Roman" w:hAnsi="Times New Roman" w:cs="Times New Roman"/>
          <w:sz w:val="24"/>
          <w:szCs w:val="24"/>
          <w:lang w:eastAsia="cs-CZ"/>
        </w:rPr>
        <w:t>: bolest hlavy, třes, nefrotoxicita</w:t>
      </w:r>
    </w:p>
    <w:p w:rsidR="00BC6080" w:rsidRPr="0077093B" w:rsidRDefault="00BC6080" w:rsidP="00BC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6080" w:rsidRPr="0077093B" w:rsidRDefault="00BC6080" w:rsidP="00BC6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7093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Antiretrovirové látky</w:t>
      </w:r>
    </w:p>
    <w:p w:rsidR="00BC6080" w:rsidRPr="009D05F9" w:rsidRDefault="00BC6080" w:rsidP="00BC6080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 léčbě</w:t>
      </w:r>
      <w:r w:rsidRPr="009D0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HIV</w:t>
      </w:r>
    </w:p>
    <w:p w:rsidR="00BC6080" w:rsidRPr="009D05F9" w:rsidRDefault="00BC6080" w:rsidP="00BC6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Inhibitory</w:t>
      </w:r>
      <w:r w:rsidRPr="009D05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reverzní transkriptázy viru</w:t>
      </w:r>
    </w:p>
    <w:p w:rsidR="00BC6080" w:rsidRPr="009D05F9" w:rsidRDefault="00BC6080" w:rsidP="00BC6080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MÚ</w:t>
      </w:r>
      <w:r w:rsidRPr="009D05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9D0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blokáda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HIV-1 reverzní transkriptázy-1</w:t>
      </w:r>
    </w:p>
    <w:p w:rsidR="00BC6080" w:rsidRPr="009D05F9" w:rsidRDefault="00BC6080" w:rsidP="00BC6080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9D05F9">
        <w:rPr>
          <w:rFonts w:ascii="Times New Roman" w:eastAsia="Times New Roman" w:hAnsi="Times New Roman" w:cs="Times New Roman"/>
          <w:sz w:val="24"/>
          <w:szCs w:val="24"/>
          <w:lang w:eastAsia="cs-CZ"/>
        </w:rPr>
        <w:t>utná intracelulární aktivace</w:t>
      </w:r>
    </w:p>
    <w:p w:rsidR="00BC6080" w:rsidRPr="0077093B" w:rsidRDefault="00BC6080" w:rsidP="00BC6080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5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zidovudin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9D05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>absorpce z GIT, přestup HEB</w:t>
      </w:r>
    </w:p>
    <w:p w:rsidR="00BC6080" w:rsidRPr="009D05F9" w:rsidRDefault="00BC6080" w:rsidP="00BC6080">
      <w:pPr>
        <w:pStyle w:val="Odstavecseseznamem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5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D05F9">
        <w:rPr>
          <w:rFonts w:ascii="Times New Roman" w:eastAsia="Times New Roman" w:hAnsi="Times New Roman" w:cs="Times New Roman"/>
          <w:sz w:val="24"/>
          <w:szCs w:val="24"/>
          <w:lang w:eastAsia="cs-CZ"/>
        </w:rPr>
        <w:t>nemocní AIDS nebo profylakticky u HIV pozitivních, redukce přenosu infekce z matky na plod</w:t>
      </w:r>
    </w:p>
    <w:p w:rsidR="00BC6080" w:rsidRPr="009D05F9" w:rsidRDefault="00BC6080" w:rsidP="00BC6080">
      <w:pPr>
        <w:pStyle w:val="Odstavecseseznamem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NÚ</w:t>
      </w:r>
      <w:r w:rsidRPr="009D05F9">
        <w:rPr>
          <w:rFonts w:ascii="Times New Roman" w:eastAsia="Times New Roman" w:hAnsi="Times New Roman" w:cs="Times New Roman"/>
          <w:sz w:val="24"/>
          <w:szCs w:val="24"/>
          <w:lang w:eastAsia="cs-CZ"/>
        </w:rPr>
        <w:t>: myelosuprese, dyspepsie</w:t>
      </w:r>
    </w:p>
    <w:p w:rsidR="00BC6080" w:rsidRPr="0077093B" w:rsidRDefault="00BC6080" w:rsidP="00BC6080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5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didanosin, zalcitabin, stavudin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9D05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709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>: alternativa pro nemocné rezistentní na zidovudin, 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ají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potencovat v kombinaci s jinými antivirotiky</w:t>
      </w:r>
    </w:p>
    <w:p w:rsidR="00BC6080" w:rsidRPr="009D05F9" w:rsidRDefault="00BC6080" w:rsidP="00BC6080">
      <w:pPr>
        <w:pStyle w:val="Odstavecseseznamem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05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</w:t>
      </w:r>
      <w:r w:rsidRPr="009D05F9">
        <w:rPr>
          <w:rFonts w:ascii="Times New Roman" w:eastAsia="Times New Roman" w:hAnsi="Times New Roman" w:cs="Times New Roman"/>
          <w:sz w:val="24"/>
          <w:szCs w:val="24"/>
          <w:lang w:eastAsia="cs-CZ"/>
        </w:rPr>
        <w:t>: pankreatitida, periferní neuropatie, vliv na CNS</w:t>
      </w:r>
    </w:p>
    <w:p w:rsidR="00BC6080" w:rsidRPr="0077093B" w:rsidRDefault="00BC6080" w:rsidP="00BC6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D05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Inhibitory </w:t>
      </w:r>
      <w:r w:rsidRPr="007709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HIV preoteázy</w:t>
      </w:r>
    </w:p>
    <w:p w:rsidR="00BC6080" w:rsidRPr="00FB2AC7" w:rsidRDefault="00BC6080" w:rsidP="00BC6080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saquinavir, ritonavir,  indinavir</w:t>
      </w:r>
    </w:p>
    <w:p w:rsidR="00BC6080" w:rsidRPr="00FB2AC7" w:rsidRDefault="00BC6080" w:rsidP="00BC6080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MÚ</w:t>
      </w: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>: inhibice proteázy, nutnou pro vyplavení infekčního virionu</w:t>
      </w:r>
    </w:p>
    <w:p w:rsidR="00BC6080" w:rsidRPr="00FB2AC7" w:rsidRDefault="00BC6080" w:rsidP="00BC6080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>aplikují se perorálně</w:t>
      </w:r>
    </w:p>
    <w:p w:rsidR="00BC6080" w:rsidRPr="00FB2AC7" w:rsidRDefault="00BC6080" w:rsidP="00BC6080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NÚ</w:t>
      </w: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>: GIT poruchy, nevolnost, průjem, časté interakce (CYP)</w:t>
      </w:r>
    </w:p>
    <w:p w:rsidR="00BC6080" w:rsidRPr="0077093B" w:rsidRDefault="00BC6080" w:rsidP="00BC6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709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Inhibitory virových DNA polymeráz</w:t>
      </w:r>
    </w:p>
    <w:p w:rsidR="00BC6080" w:rsidRPr="0077093B" w:rsidRDefault="00BC6080" w:rsidP="00BC6080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cidofovir</w:t>
      </w:r>
      <w:r w:rsidRPr="00FB2A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Pr="00FB2A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>derivát cytidinu</w:t>
      </w:r>
    </w:p>
    <w:p w:rsidR="00BC6080" w:rsidRPr="00FB2AC7" w:rsidRDefault="00BC6080" w:rsidP="00BC6080">
      <w:pPr>
        <w:pStyle w:val="Odstavecseseznamem"/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I:</w:t>
      </w: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proti rezistentnímu CMV, i.v při retinitid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pacientů s HIV</w:t>
      </w:r>
    </w:p>
    <w:p w:rsidR="00BC6080" w:rsidRPr="00FB2AC7" w:rsidRDefault="00BC6080" w:rsidP="00BC6080">
      <w:pPr>
        <w:pStyle w:val="Odstavecseseznamem"/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</w:t>
      </w: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>: nefrotoxicita</w:t>
      </w:r>
    </w:p>
    <w:p w:rsidR="00BC6080" w:rsidRPr="00FB2AC7" w:rsidRDefault="00BC6080" w:rsidP="00BC6080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Pr="00FB2A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defovir</w:t>
      </w:r>
    </w:p>
    <w:p w:rsidR="00BC6080" w:rsidRPr="00FB2AC7" w:rsidRDefault="00BC6080" w:rsidP="00BC6080">
      <w:pPr>
        <w:pStyle w:val="Odstavecseseznamem"/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I: </w:t>
      </w: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hepadnavirům, chronická hepatitida B</w:t>
      </w:r>
    </w:p>
    <w:p w:rsidR="00BC6080" w:rsidRPr="00FB2AC7" w:rsidRDefault="00BC6080" w:rsidP="00BC6080">
      <w:pPr>
        <w:pStyle w:val="Odstavecseseznamem"/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NÚ:</w:t>
      </w: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nefrotoxicita</w:t>
      </w:r>
    </w:p>
    <w:p w:rsidR="00BC6080" w:rsidRPr="0077093B" w:rsidRDefault="00BC6080" w:rsidP="00BC6080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tenofovir - </w:t>
      </w:r>
      <w:r w:rsidRPr="0077093B">
        <w:rPr>
          <w:rFonts w:ascii="Times New Roman" w:eastAsia="Times New Roman" w:hAnsi="Times New Roman" w:cs="Times New Roman"/>
          <w:sz w:val="24"/>
          <w:szCs w:val="24"/>
          <w:lang w:eastAsia="cs-CZ"/>
        </w:rPr>
        <w:t>p.o. proléčivo</w:t>
      </w:r>
    </w:p>
    <w:p w:rsidR="00BC6080" w:rsidRPr="00FB2AC7" w:rsidRDefault="00BC6080" w:rsidP="00BC6080">
      <w:pPr>
        <w:pStyle w:val="Odstavecseseznamem"/>
        <w:numPr>
          <w:ilvl w:val="1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>: nemocn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í, u kterých</w:t>
      </w: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předchozí</w:t>
      </w: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antiretrovirová léčba nebyla úspěšná</w:t>
      </w:r>
    </w:p>
    <w:p w:rsidR="00BC6080" w:rsidRDefault="00BC6080" w:rsidP="00BC60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BC6080" w:rsidRPr="00FB2AC7" w:rsidRDefault="00BC6080" w:rsidP="00BC60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B2AC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Antimykotika</w:t>
      </w:r>
    </w:p>
    <w:p w:rsidR="00BC6080" w:rsidRPr="00FB2AC7" w:rsidRDefault="00BC6080" w:rsidP="00BC60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Antimykotika pro systémovou léčbu</w:t>
      </w:r>
    </w:p>
    <w:p w:rsidR="00BC6080" w:rsidRPr="00FB2AC7" w:rsidRDefault="00BC6080" w:rsidP="00BC6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Amfotericin 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polyenové antimykotikum pro systémovou léčbu</w:t>
      </w:r>
    </w:p>
    <w:p w:rsidR="00BC6080" w:rsidRPr="00FB2AC7" w:rsidRDefault="00BC6080" w:rsidP="00BC6080">
      <w:pPr>
        <w:pStyle w:val="Odstavecseseznamem"/>
        <w:numPr>
          <w:ilvl w:val="0"/>
          <w:numId w:val="2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</w:t>
      </w: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>: vazba na ergosterol, změna permeability buněčné stěny, tvorba pórů, únik iontů a makromolekul do prostředí → zánik buňky</w:t>
      </w:r>
    </w:p>
    <w:p w:rsidR="00BC6080" w:rsidRPr="00FB2AC7" w:rsidRDefault="00BC6080" w:rsidP="00BC6080">
      <w:pPr>
        <w:pStyle w:val="Odstavecseseznamem"/>
        <w:numPr>
          <w:ilvl w:val="0"/>
          <w:numId w:val="2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pro všechny </w:t>
      </w:r>
      <w:r w:rsidRPr="00FB2AC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život ohrožující</w:t>
      </w: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systémové mykotické infekce </w:t>
      </w:r>
    </w:p>
    <w:p w:rsidR="00BC6080" w:rsidRPr="00FB2AC7" w:rsidRDefault="00BC6080" w:rsidP="00BC6080">
      <w:pPr>
        <w:pStyle w:val="Odstavecseseznamem"/>
        <w:numPr>
          <w:ilvl w:val="0"/>
          <w:numId w:val="2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podáván </w:t>
      </w: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>v počátečn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>m indukčním režimu, potom nahrazen jiným antimykotikem</w:t>
      </w:r>
    </w:p>
    <w:p w:rsidR="00BC6080" w:rsidRPr="00FB2AC7" w:rsidRDefault="00BC6080" w:rsidP="00BC6080">
      <w:pPr>
        <w:pStyle w:val="Odstavecseseznamem"/>
        <w:numPr>
          <w:ilvl w:val="0"/>
          <w:numId w:val="2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>místn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aplikace při mykotickém onemocnění oka</w:t>
      </w:r>
    </w:p>
    <w:p w:rsidR="00BC6080" w:rsidRPr="00FB2AC7" w:rsidRDefault="00BC6080" w:rsidP="00BC6080">
      <w:pPr>
        <w:pStyle w:val="Odstavecseseznamem"/>
        <w:numPr>
          <w:ilvl w:val="0"/>
          <w:numId w:val="2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FK: </w:t>
      </w: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>z GIT špatně absorbován (pouze pro onemocnění v trávicím traktu)</w:t>
      </w:r>
    </w:p>
    <w:p w:rsidR="00BC6080" w:rsidRPr="00FB2AC7" w:rsidRDefault="00BC6080" w:rsidP="00BC6080">
      <w:pPr>
        <w:pStyle w:val="Odstavecseseznamem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>pro systémový účinek i.v. aplikace</w:t>
      </w:r>
    </w:p>
    <w:p w:rsidR="00BC6080" w:rsidRPr="00FB2AC7" w:rsidRDefault="00BC6080" w:rsidP="00BC6080">
      <w:pPr>
        <w:pStyle w:val="Odstavecseseznamem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>vazba na plazmatické bílkoviny víc než 90%</w:t>
      </w:r>
    </w:p>
    <w:p w:rsidR="00BC6080" w:rsidRPr="00FB2AC7" w:rsidRDefault="00BC6080" w:rsidP="00BC6080">
      <w:pPr>
        <w:pStyle w:val="Odstavecseseznamem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>vylučován močí</w:t>
      </w:r>
    </w:p>
    <w:p w:rsidR="00BC6080" w:rsidRPr="00FB2AC7" w:rsidRDefault="00BC6080" w:rsidP="00BC6080">
      <w:pPr>
        <w:pStyle w:val="Odstavecseseznamem"/>
        <w:numPr>
          <w:ilvl w:val="0"/>
          <w:numId w:val="2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NÚ: </w:t>
      </w:r>
      <w:r w:rsidRPr="00FB2A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bezprostřední (i.v. infuze)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– </w:t>
      </w: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>horečka, bolesti hlavy, zvracení, hypotenze</w:t>
      </w:r>
    </w:p>
    <w:p w:rsidR="00BC6080" w:rsidRPr="00FB2AC7" w:rsidRDefault="00BC6080" w:rsidP="00BC6080">
      <w:pPr>
        <w:spacing w:after="0" w:line="240" w:lineRule="auto"/>
        <w:ind w:left="720" w:firstLine="69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opožděné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>postižení ledvin</w:t>
      </w:r>
    </w:p>
    <w:p w:rsidR="00BC6080" w:rsidRPr="00FB2AC7" w:rsidRDefault="00BC6080" w:rsidP="00BC608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>Riziko NÚ redukováno použitím amfotericinu B ve formě lipozomů</w:t>
      </w:r>
    </w:p>
    <w:p w:rsidR="00BC6080" w:rsidRPr="00FB2AC7" w:rsidRDefault="00BC6080" w:rsidP="00BC6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Azolová antimykotika pro systémové použití</w:t>
      </w:r>
    </w:p>
    <w:p w:rsidR="00BC6080" w:rsidRPr="00FA450F" w:rsidRDefault="00BC6080" w:rsidP="00BC6080">
      <w:pPr>
        <w:pStyle w:val="Odstavecseseznamem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A450F">
        <w:rPr>
          <w:rFonts w:ascii="Times New Roman" w:hAnsi="Times New Roman" w:cs="Times New Roman"/>
          <w:sz w:val="24"/>
          <w:szCs w:val="24"/>
        </w:rPr>
        <w:t>široké spektrum účinku</w:t>
      </w:r>
    </w:p>
    <w:p w:rsidR="00BC6080" w:rsidRPr="00FA450F" w:rsidRDefault="00BC6080" w:rsidP="00BC6080">
      <w:pPr>
        <w:pStyle w:val="Odstavecseseznamem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A450F">
        <w:rPr>
          <w:rFonts w:ascii="Times New Roman" w:hAnsi="Times New Roman" w:cs="Times New Roman"/>
          <w:b/>
          <w:sz w:val="24"/>
          <w:szCs w:val="24"/>
        </w:rPr>
        <w:t>MÚ:</w:t>
      </w:r>
      <w:r w:rsidRPr="00FA450F">
        <w:rPr>
          <w:rFonts w:ascii="Times New Roman" w:hAnsi="Times New Roman" w:cs="Times New Roman"/>
          <w:sz w:val="24"/>
          <w:szCs w:val="24"/>
        </w:rPr>
        <w:t xml:space="preserve"> inhibice enzymů konečné fáze syntézy ergosterolu v membráně mikromycet – klíčovou roli hraje cytochrom P450 (CYP)</w:t>
      </w:r>
    </w:p>
    <w:p w:rsidR="00BC6080" w:rsidRPr="00FA450F" w:rsidRDefault="00BC6080" w:rsidP="00BC6080">
      <w:pPr>
        <w:pStyle w:val="Odstavecseseznamem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A450F">
        <w:rPr>
          <w:rFonts w:ascii="Times New Roman" w:hAnsi="Times New Roman" w:cs="Times New Roman"/>
          <w:sz w:val="24"/>
          <w:szCs w:val="24"/>
        </w:rPr>
        <w:t>relativně bezpečná léčiva, podaní perorálně i parenterálně</w:t>
      </w:r>
    </w:p>
    <w:p w:rsidR="00BC6080" w:rsidRPr="00FA450F" w:rsidRDefault="00BC6080" w:rsidP="00BC6080">
      <w:pPr>
        <w:pStyle w:val="Odstavecseseznamem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A450F">
        <w:rPr>
          <w:rFonts w:ascii="Times New Roman" w:hAnsi="Times New Roman" w:cs="Times New Roman"/>
          <w:b/>
          <w:sz w:val="24"/>
          <w:szCs w:val="24"/>
        </w:rPr>
        <w:lastRenderedPageBreak/>
        <w:t>NÚ:</w:t>
      </w:r>
      <w:r w:rsidRPr="00FA450F">
        <w:rPr>
          <w:rFonts w:ascii="Times New Roman" w:hAnsi="Times New Roman" w:cs="Times New Roman"/>
          <w:sz w:val="24"/>
          <w:szCs w:val="24"/>
        </w:rPr>
        <w:t xml:space="preserve"> intolerance ze strany GIT, alergické reakce</w:t>
      </w:r>
    </w:p>
    <w:p w:rsidR="00BC6080" w:rsidRPr="00FA450F" w:rsidRDefault="00BC6080" w:rsidP="00BC6080">
      <w:pPr>
        <w:pStyle w:val="Odstavecseseznamem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A450F">
        <w:rPr>
          <w:rFonts w:ascii="Times New Roman" w:hAnsi="Times New Roman" w:cs="Times New Roman"/>
          <w:sz w:val="24"/>
          <w:szCs w:val="24"/>
        </w:rPr>
        <w:t>lékové interakce přes cytochrom P450</w:t>
      </w:r>
    </w:p>
    <w:p w:rsidR="00BC6080" w:rsidRPr="00FA450F" w:rsidRDefault="00BC6080" w:rsidP="00BC6080">
      <w:pPr>
        <w:pStyle w:val="Odstavecseseznamem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A450F">
        <w:rPr>
          <w:rFonts w:ascii="Times New Roman" w:hAnsi="Times New Roman" w:cs="Times New Roman"/>
          <w:b/>
          <w:sz w:val="24"/>
          <w:szCs w:val="24"/>
        </w:rPr>
        <w:t>ketokonazol, itrakonazol, flukonazol, vorikonazol</w:t>
      </w:r>
    </w:p>
    <w:p w:rsidR="00BC6080" w:rsidRPr="00FB2AC7" w:rsidRDefault="00BC6080" w:rsidP="00BC6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Echinokandiny</w:t>
      </w:r>
    </w:p>
    <w:p w:rsidR="00BC6080" w:rsidRPr="00FA450F" w:rsidRDefault="00BC6080" w:rsidP="00BC6080">
      <w:pPr>
        <w:pStyle w:val="Odstavecseseznamem"/>
        <w:numPr>
          <w:ilvl w:val="0"/>
          <w:numId w:val="3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5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MÚ:</w:t>
      </w:r>
      <w:r w:rsidRPr="00FA45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nekompetitivní inhibitory glukansyntázy, inhibice polymerace glukanu (složka buněčné stěny hub)</w:t>
      </w:r>
    </w:p>
    <w:p w:rsidR="00BC6080" w:rsidRPr="00FA450F" w:rsidRDefault="00BC6080" w:rsidP="00BC6080">
      <w:pPr>
        <w:pStyle w:val="Odstavecseseznamem"/>
        <w:numPr>
          <w:ilvl w:val="0"/>
          <w:numId w:val="30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45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kaspofungin</w:t>
      </w:r>
    </w:p>
    <w:p w:rsidR="00BC6080" w:rsidRPr="00FA450F" w:rsidRDefault="00BC6080" w:rsidP="00BC6080">
      <w:pPr>
        <w:pStyle w:val="Odstavecseseznamem"/>
        <w:numPr>
          <w:ilvl w:val="0"/>
          <w:numId w:val="30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5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 (azoly, echinokandiny)</w:t>
      </w:r>
      <w:r w:rsidRPr="00FA450F">
        <w:rPr>
          <w:rFonts w:ascii="Times New Roman" w:eastAsia="Times New Roman" w:hAnsi="Times New Roman" w:cs="Times New Roman"/>
          <w:sz w:val="24"/>
          <w:szCs w:val="24"/>
          <w:lang w:eastAsia="cs-CZ"/>
        </w:rPr>
        <w:t>: viz str. 322 Martínková a kol.: Farmakologie pro studenty zdravotnických oborů</w:t>
      </w:r>
    </w:p>
    <w:p w:rsidR="00BC6080" w:rsidRPr="00FB2AC7" w:rsidRDefault="00BC6080" w:rsidP="00BC6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Griseofulvin</w:t>
      </w:r>
    </w:p>
    <w:p w:rsidR="00BC6080" w:rsidRPr="00FA450F" w:rsidRDefault="00BC6080" w:rsidP="00BC6080">
      <w:pPr>
        <w:pStyle w:val="Odstavecseseznamem"/>
        <w:numPr>
          <w:ilvl w:val="0"/>
          <w:numId w:val="3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5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MÚ</w:t>
      </w:r>
      <w:r w:rsidRPr="00FA45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poškozuje cytoskelet buňky – neschopnost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buňky </w:t>
      </w:r>
      <w:r w:rsidRPr="00FA450F">
        <w:rPr>
          <w:rFonts w:ascii="Times New Roman" w:eastAsia="Times New Roman" w:hAnsi="Times New Roman" w:cs="Times New Roman"/>
          <w:sz w:val="24"/>
          <w:szCs w:val="24"/>
          <w:lang w:eastAsia="cs-CZ"/>
        </w:rPr>
        <w:t>dělit se</w:t>
      </w:r>
    </w:p>
    <w:p w:rsidR="00BC6080" w:rsidRPr="00FA450F" w:rsidRDefault="00BC6080" w:rsidP="00BC6080">
      <w:pPr>
        <w:pStyle w:val="Odstavecseseznamem"/>
        <w:numPr>
          <w:ilvl w:val="0"/>
          <w:numId w:val="3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5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FK</w:t>
      </w:r>
      <w:r w:rsidRPr="00FA450F">
        <w:rPr>
          <w:rFonts w:ascii="Times New Roman" w:eastAsia="Times New Roman" w:hAnsi="Times New Roman" w:cs="Times New Roman"/>
          <w:sz w:val="24"/>
          <w:szCs w:val="24"/>
          <w:lang w:eastAsia="cs-CZ"/>
        </w:rPr>
        <w:t>: podaní p.o. – průnik krevním oběhem do spodních vrstev kůže, nehtů, vlasových folikulů</w:t>
      </w:r>
    </w:p>
    <w:p w:rsidR="00BC6080" w:rsidRPr="00FA450F" w:rsidRDefault="00BC6080" w:rsidP="00BC6080">
      <w:pPr>
        <w:pStyle w:val="Odstavecseseznamem"/>
        <w:numPr>
          <w:ilvl w:val="0"/>
          <w:numId w:val="3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45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I: </w:t>
      </w:r>
      <w:r w:rsidRPr="00FA450F">
        <w:rPr>
          <w:rFonts w:ascii="Times New Roman" w:eastAsia="Times New Roman" w:hAnsi="Times New Roman" w:cs="Times New Roman"/>
          <w:sz w:val="24"/>
          <w:szCs w:val="24"/>
          <w:lang w:eastAsia="cs-CZ"/>
        </w:rPr>
        <w:t>infekce kůže a adnex způsobené dermatofyty</w:t>
      </w:r>
    </w:p>
    <w:p w:rsidR="00BC6080" w:rsidRPr="00FA450F" w:rsidRDefault="00BC6080" w:rsidP="00BC6080">
      <w:pPr>
        <w:pStyle w:val="Odstavecseseznamem"/>
        <w:numPr>
          <w:ilvl w:val="0"/>
          <w:numId w:val="3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5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NÚ: </w:t>
      </w:r>
      <w:r w:rsidRPr="00FA450F">
        <w:rPr>
          <w:rFonts w:ascii="Times New Roman" w:eastAsia="Times New Roman" w:hAnsi="Times New Roman" w:cs="Times New Roman"/>
          <w:sz w:val="24"/>
          <w:szCs w:val="24"/>
          <w:lang w:eastAsia="cs-CZ"/>
        </w:rPr>
        <w:t>dyspepsie, nechutenství, neurologické projevy</w:t>
      </w:r>
    </w:p>
    <w:p w:rsidR="00BC6080" w:rsidRPr="00FA450F" w:rsidRDefault="00BC6080" w:rsidP="00BC6080">
      <w:pPr>
        <w:pStyle w:val="Odstavecseseznamem"/>
        <w:numPr>
          <w:ilvl w:val="0"/>
          <w:numId w:val="3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5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Interakce:</w:t>
      </w:r>
      <w:r w:rsidRPr="00FA45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induktor CYP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FA45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snížení hladiny některých léčiv</w:t>
      </w:r>
    </w:p>
    <w:p w:rsidR="00BC6080" w:rsidRPr="00FB2AC7" w:rsidRDefault="00BC6080" w:rsidP="00BC6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Terbinafin</w:t>
      </w:r>
    </w:p>
    <w:p w:rsidR="00BC6080" w:rsidRPr="00FA450F" w:rsidRDefault="00BC6080" w:rsidP="00BC6080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5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MÚ:</w:t>
      </w:r>
      <w:r w:rsidRPr="00FA45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blokáda biosyntézy ergosterolu bez vlivu na aktivitu CYP</w:t>
      </w:r>
    </w:p>
    <w:p w:rsidR="00BC6080" w:rsidRPr="00FA450F" w:rsidRDefault="00BC6080" w:rsidP="00BC6080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50F">
        <w:rPr>
          <w:rFonts w:ascii="Times New Roman" w:eastAsia="Times New Roman" w:hAnsi="Times New Roman" w:cs="Times New Roman"/>
          <w:sz w:val="24"/>
          <w:szCs w:val="24"/>
          <w:lang w:eastAsia="cs-CZ"/>
        </w:rPr>
        <w:t>po p. o. dobrá absorpce, koncentruje se v tukové tkáni, kůži, adnexech</w:t>
      </w:r>
    </w:p>
    <w:p w:rsidR="00BC6080" w:rsidRPr="00FA450F" w:rsidRDefault="00BC6080" w:rsidP="00BC6080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5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I:</w:t>
      </w:r>
      <w:r w:rsidRPr="00FA45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léčba tine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FA450F">
        <w:rPr>
          <w:rFonts w:ascii="Times New Roman" w:eastAsia="Times New Roman" w:hAnsi="Times New Roman" w:cs="Times New Roman"/>
          <w:sz w:val="24"/>
          <w:szCs w:val="24"/>
          <w:lang w:eastAsia="cs-CZ"/>
        </w:rPr>
        <w:t>, kvasinkov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ých infekcí</w:t>
      </w:r>
    </w:p>
    <w:p w:rsidR="00BC6080" w:rsidRPr="00FA450F" w:rsidRDefault="00BC6080" w:rsidP="00BC6080">
      <w:pPr>
        <w:pStyle w:val="Odstavecseseznamem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5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NÚ:</w:t>
      </w:r>
      <w:r w:rsidRPr="00FA45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dyspepsie, kožní exantémy</w:t>
      </w:r>
    </w:p>
    <w:p w:rsidR="00BC6080" w:rsidRDefault="00BC6080" w:rsidP="00BC60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BC6080" w:rsidRPr="00FB2AC7" w:rsidRDefault="00BC6080" w:rsidP="00BC60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Antimykotika pro lokální léčbu</w:t>
      </w:r>
    </w:p>
    <w:p w:rsidR="00BC6080" w:rsidRDefault="00BC6080" w:rsidP="00BC6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Azol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ová antimykotika pro lokální použití</w:t>
      </w:r>
    </w:p>
    <w:p w:rsidR="00BC6080" w:rsidRPr="00FA450F" w:rsidRDefault="00BC6080" w:rsidP="00BC6080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50F">
        <w:rPr>
          <w:rFonts w:ascii="Times New Roman" w:eastAsia="Times New Roman" w:hAnsi="Times New Roman" w:cs="Times New Roman"/>
          <w:sz w:val="24"/>
          <w:szCs w:val="24"/>
          <w:lang w:eastAsia="cs-CZ"/>
        </w:rPr>
        <w:t>dermatologika, gynekologika – infekce kůže a sliznic</w:t>
      </w:r>
    </w:p>
    <w:p w:rsidR="00BC6080" w:rsidRPr="00FA450F" w:rsidRDefault="00BC6080" w:rsidP="00BC6080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50F">
        <w:rPr>
          <w:rFonts w:ascii="Times New Roman" w:eastAsia="Times New Roman" w:hAnsi="Times New Roman" w:cs="Times New Roman"/>
          <w:sz w:val="24"/>
          <w:szCs w:val="24"/>
          <w:lang w:eastAsia="cs-CZ"/>
        </w:rPr>
        <w:t>masti, krémy, čípky, globulky, tablety pro lokální užití</w:t>
      </w:r>
    </w:p>
    <w:p w:rsidR="00BC6080" w:rsidRPr="00FA450F" w:rsidRDefault="00BC6080" w:rsidP="00BC6080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45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ekonazol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klotrimazol, oxikonazol…</w:t>
      </w:r>
    </w:p>
    <w:p w:rsidR="00BC6080" w:rsidRPr="00FA450F" w:rsidRDefault="00BC6080" w:rsidP="00BC6080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45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FA450F">
        <w:rPr>
          <w:rFonts w:ascii="Times New Roman" w:eastAsia="Times New Roman" w:hAnsi="Times New Roman" w:cs="Times New Roman"/>
          <w:sz w:val="24"/>
          <w:szCs w:val="24"/>
          <w:lang w:eastAsia="cs-CZ"/>
        </w:rPr>
        <w:t>: terapie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poševních kandidóz, klotrimazol i k terapii dermatofytóz</w:t>
      </w:r>
    </w:p>
    <w:p w:rsidR="00BC6080" w:rsidRPr="00FB2AC7" w:rsidRDefault="00BC6080" w:rsidP="00BC6080">
      <w:pPr>
        <w:pStyle w:val="Odstavecseseznamem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45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NU:</w:t>
      </w:r>
      <w:r w:rsidRPr="00FA45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ojediněle pálení a zarudnutí v místě aplikace či alergická kožní reakce </w:t>
      </w:r>
      <w:r w:rsidRPr="00FA450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C6080" w:rsidRPr="00D01D03" w:rsidRDefault="00BC6080" w:rsidP="00BC6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1D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Polyenová antimykotika pro lokální použití</w:t>
      </w:r>
    </w:p>
    <w:p w:rsidR="00BC6080" w:rsidRPr="00FB2AC7" w:rsidRDefault="00BC6080" w:rsidP="00BC6080">
      <w:pPr>
        <w:pStyle w:val="Odstavecseseznamem"/>
        <w:numPr>
          <w:ilvl w:val="0"/>
          <w:numId w:val="2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2A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</w:t>
      </w:r>
      <w:r w:rsidRPr="00FB2AC7">
        <w:rPr>
          <w:rFonts w:ascii="Times New Roman" w:eastAsia="Times New Roman" w:hAnsi="Times New Roman" w:cs="Times New Roman"/>
          <w:sz w:val="24"/>
          <w:szCs w:val="24"/>
          <w:lang w:eastAsia="cs-CZ"/>
        </w:rPr>
        <w:t>: vazba na ergosterol, změna permeability buněčné stěny, tvorba pórů, únik iontů a makromolekul do prostředí → zánik buňky</w:t>
      </w:r>
    </w:p>
    <w:p w:rsidR="00BC6080" w:rsidRPr="00D01D03" w:rsidRDefault="00BC6080" w:rsidP="00BC6080">
      <w:pPr>
        <w:pStyle w:val="Odstavecseseznamem"/>
        <w:numPr>
          <w:ilvl w:val="0"/>
          <w:numId w:val="2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1D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nystatin</w:t>
      </w:r>
      <w:r w:rsidRPr="00D01D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povrchové kandidózy, k doplnění léčby poševní kandidózy</w:t>
      </w:r>
    </w:p>
    <w:p w:rsidR="00BC6080" w:rsidRDefault="00BC6080" w:rsidP="00BC6080">
      <w:pPr>
        <w:pStyle w:val="Odstavecseseznamem"/>
        <w:numPr>
          <w:ilvl w:val="0"/>
          <w:numId w:val="2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01D03">
        <w:rPr>
          <w:rFonts w:ascii="Times New Roman" w:hAnsi="Times New Roman" w:cs="Times New Roman"/>
          <w:b/>
          <w:sz w:val="24"/>
          <w:szCs w:val="24"/>
        </w:rPr>
        <w:t>natamycin</w:t>
      </w:r>
      <w:r w:rsidRPr="00D01D03">
        <w:rPr>
          <w:rFonts w:ascii="Times New Roman" w:hAnsi="Times New Roman" w:cs="Times New Roman"/>
          <w:sz w:val="24"/>
          <w:szCs w:val="24"/>
        </w:rPr>
        <w:t xml:space="preserve"> – kandidózy, infekce Trichomonas vaginalis, onychomykózy</w:t>
      </w:r>
    </w:p>
    <w:p w:rsidR="00BC6080" w:rsidRDefault="00BC6080" w:rsidP="00BC6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080" w:rsidRPr="00631DDA" w:rsidRDefault="00BC6080" w:rsidP="00BC6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1DDA">
        <w:rPr>
          <w:rFonts w:ascii="Times New Roman" w:hAnsi="Times New Roman" w:cs="Times New Roman"/>
          <w:b/>
          <w:sz w:val="24"/>
          <w:szCs w:val="24"/>
        </w:rPr>
        <w:t>Ostatní</w:t>
      </w:r>
      <w:r>
        <w:rPr>
          <w:rFonts w:ascii="Times New Roman" w:hAnsi="Times New Roman" w:cs="Times New Roman"/>
          <w:b/>
          <w:sz w:val="24"/>
          <w:szCs w:val="24"/>
        </w:rPr>
        <w:t xml:space="preserve"> pro lokální použití</w:t>
      </w:r>
    </w:p>
    <w:p w:rsidR="00BC6080" w:rsidRDefault="00BC6080" w:rsidP="00BC6080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DDA">
        <w:rPr>
          <w:rFonts w:ascii="Times New Roman" w:hAnsi="Times New Roman" w:cs="Times New Roman"/>
          <w:b/>
          <w:sz w:val="24"/>
          <w:szCs w:val="24"/>
        </w:rPr>
        <w:t>ciclopirox olamin</w:t>
      </w:r>
      <w:r w:rsidRPr="00631DDA">
        <w:rPr>
          <w:rFonts w:ascii="Times New Roman" w:hAnsi="Times New Roman" w:cs="Times New Roman"/>
          <w:sz w:val="24"/>
          <w:szCs w:val="24"/>
        </w:rPr>
        <w:t xml:space="preserve"> – onychomykózy a mykózy kůže, dobrý průnik i zrohovatělými vrstvami</w:t>
      </w:r>
    </w:p>
    <w:p w:rsidR="00BC6080" w:rsidRPr="00631DDA" w:rsidRDefault="00BC6080" w:rsidP="00BC6080">
      <w:pPr>
        <w:pStyle w:val="Odstavecseseznamem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terbinafin </w:t>
      </w:r>
      <w:r>
        <w:rPr>
          <w:rFonts w:ascii="Times New Roman" w:hAnsi="Times New Roman" w:cs="Times New Roman"/>
          <w:sz w:val="24"/>
          <w:szCs w:val="24"/>
        </w:rPr>
        <w:t>– onychomykózy</w:t>
      </w:r>
    </w:p>
    <w:p w:rsidR="004E3538" w:rsidRDefault="004E3538">
      <w:bookmarkStart w:id="0" w:name="_GoBack"/>
      <w:bookmarkEnd w:id="0"/>
    </w:p>
    <w:sectPr w:rsidR="004E35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A2" w:rsidRDefault="00A465A2" w:rsidP="005D7803">
      <w:pPr>
        <w:spacing w:after="0" w:line="240" w:lineRule="auto"/>
      </w:pPr>
      <w:r>
        <w:separator/>
      </w:r>
    </w:p>
  </w:endnote>
  <w:endnote w:type="continuationSeparator" w:id="0">
    <w:p w:rsidR="00A465A2" w:rsidRDefault="00A465A2" w:rsidP="005D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A2" w:rsidRDefault="00A465A2" w:rsidP="005D7803">
      <w:pPr>
        <w:spacing w:after="0" w:line="240" w:lineRule="auto"/>
      </w:pPr>
      <w:r>
        <w:separator/>
      </w:r>
    </w:p>
  </w:footnote>
  <w:footnote w:type="continuationSeparator" w:id="0">
    <w:p w:rsidR="00A465A2" w:rsidRDefault="00A465A2" w:rsidP="005D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803" w:rsidRPr="005D7803" w:rsidRDefault="005D7803" w:rsidP="005D7803">
    <w:pPr>
      <w:ind w:hanging="567"/>
      <w:rPr>
        <w:rFonts w:eastAsia="Times New Roman"/>
        <w:color w:val="A6A6A6"/>
        <w:sz w:val="20"/>
        <w:szCs w:val="20"/>
      </w:rPr>
    </w:pPr>
    <w:r w:rsidRPr="009777A7">
      <w:rPr>
        <w:rFonts w:eastAsia="Times New Roman"/>
        <w:color w:val="A6A6A6"/>
        <w:sz w:val="20"/>
        <w:szCs w:val="20"/>
      </w:rPr>
      <w:t>Podklady pro  BPFA0321p, BSFA0321p, BZFA031p Farmakologie – přednáška</w:t>
    </w:r>
    <w:r w:rsidRPr="009777A7">
      <w:rPr>
        <w:rFonts w:eastAsia="Times New Roman"/>
        <w:color w:val="A6A6A6"/>
        <w:sz w:val="20"/>
        <w:szCs w:val="20"/>
      </w:rPr>
      <w:tab/>
    </w:r>
    <w:r w:rsidRPr="009777A7">
      <w:rPr>
        <w:rFonts w:eastAsia="Times New Roman"/>
        <w:color w:val="A6A6A6"/>
        <w:sz w:val="20"/>
        <w:szCs w:val="20"/>
      </w:rPr>
      <w:tab/>
    </w:r>
    <w:r w:rsidRPr="009777A7">
      <w:rPr>
        <w:rFonts w:eastAsia="Times New Roman"/>
        <w:color w:val="A6A6A6"/>
        <w:sz w:val="20"/>
        <w:szCs w:val="20"/>
      </w:rPr>
      <w:tab/>
    </w:r>
    <w:r w:rsidRPr="009777A7">
      <w:rPr>
        <w:rFonts w:eastAsia="Times New Roman"/>
        <w:color w:val="A6A6A6"/>
        <w:sz w:val="20"/>
        <w:szCs w:val="20"/>
      </w:rPr>
      <w:tab/>
    </w:r>
    <w:r>
      <w:rPr>
        <w:rFonts w:eastAsia="Times New Roman"/>
        <w:color w:val="A6A6A6"/>
        <w:sz w:val="20"/>
        <w:szCs w:val="20"/>
      </w:rPr>
      <w:t>5. přednáška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331"/>
    <w:multiLevelType w:val="hybridMultilevel"/>
    <w:tmpl w:val="3330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13471"/>
    <w:multiLevelType w:val="hybridMultilevel"/>
    <w:tmpl w:val="2CD0A6E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9A122D"/>
    <w:multiLevelType w:val="hybridMultilevel"/>
    <w:tmpl w:val="F1BC7E7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C00A5D"/>
    <w:multiLevelType w:val="hybridMultilevel"/>
    <w:tmpl w:val="FA8A2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754AF"/>
    <w:multiLevelType w:val="hybridMultilevel"/>
    <w:tmpl w:val="E9842FD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5B57A2"/>
    <w:multiLevelType w:val="hybridMultilevel"/>
    <w:tmpl w:val="AAB0CDAC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0D2E4A"/>
    <w:multiLevelType w:val="hybridMultilevel"/>
    <w:tmpl w:val="6EFE675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D47B98"/>
    <w:multiLevelType w:val="hybridMultilevel"/>
    <w:tmpl w:val="B71421EE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E6142A"/>
    <w:multiLevelType w:val="hybridMultilevel"/>
    <w:tmpl w:val="546418C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A6849"/>
    <w:multiLevelType w:val="hybridMultilevel"/>
    <w:tmpl w:val="F490F14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2B3327"/>
    <w:multiLevelType w:val="hybridMultilevel"/>
    <w:tmpl w:val="3624500E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13FFE"/>
    <w:multiLevelType w:val="hybridMultilevel"/>
    <w:tmpl w:val="462C92DE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821E9"/>
    <w:multiLevelType w:val="hybridMultilevel"/>
    <w:tmpl w:val="45845B0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4E00CB"/>
    <w:multiLevelType w:val="hybridMultilevel"/>
    <w:tmpl w:val="499A1FAC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162F6A"/>
    <w:multiLevelType w:val="hybridMultilevel"/>
    <w:tmpl w:val="7384F47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195FCA"/>
    <w:multiLevelType w:val="hybridMultilevel"/>
    <w:tmpl w:val="0BE8044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823789"/>
    <w:multiLevelType w:val="hybridMultilevel"/>
    <w:tmpl w:val="9CE6B978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894D17"/>
    <w:multiLevelType w:val="hybridMultilevel"/>
    <w:tmpl w:val="63B8F18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7F14B2"/>
    <w:multiLevelType w:val="hybridMultilevel"/>
    <w:tmpl w:val="374229F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DD6084"/>
    <w:multiLevelType w:val="hybridMultilevel"/>
    <w:tmpl w:val="B3CC2D76"/>
    <w:lvl w:ilvl="0" w:tplc="EE28FD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242761F"/>
    <w:multiLevelType w:val="hybridMultilevel"/>
    <w:tmpl w:val="CDB2A55E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769BF"/>
    <w:multiLevelType w:val="hybridMultilevel"/>
    <w:tmpl w:val="19C89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C3507"/>
    <w:multiLevelType w:val="hybridMultilevel"/>
    <w:tmpl w:val="42F4E4E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2E4764"/>
    <w:multiLevelType w:val="hybridMultilevel"/>
    <w:tmpl w:val="C3F2ABC8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9535A9"/>
    <w:multiLevelType w:val="hybridMultilevel"/>
    <w:tmpl w:val="9B40787E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D631D4"/>
    <w:multiLevelType w:val="hybridMultilevel"/>
    <w:tmpl w:val="88A46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5481F"/>
    <w:multiLevelType w:val="hybridMultilevel"/>
    <w:tmpl w:val="20D601DE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4F6580"/>
    <w:multiLevelType w:val="hybridMultilevel"/>
    <w:tmpl w:val="687A9006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FB14E6"/>
    <w:multiLevelType w:val="hybridMultilevel"/>
    <w:tmpl w:val="BB7C0FC4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42F"/>
    <w:multiLevelType w:val="hybridMultilevel"/>
    <w:tmpl w:val="16E250F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12C75EF"/>
    <w:multiLevelType w:val="hybridMultilevel"/>
    <w:tmpl w:val="68143728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7300F0"/>
    <w:multiLevelType w:val="hybridMultilevel"/>
    <w:tmpl w:val="C51A18C8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D3B0DB2"/>
    <w:multiLevelType w:val="hybridMultilevel"/>
    <w:tmpl w:val="119C0B2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9C4D93"/>
    <w:multiLevelType w:val="hybridMultilevel"/>
    <w:tmpl w:val="7A9072FE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21"/>
  </w:num>
  <w:num w:numId="5">
    <w:abstractNumId w:val="24"/>
  </w:num>
  <w:num w:numId="6">
    <w:abstractNumId w:val="18"/>
  </w:num>
  <w:num w:numId="7">
    <w:abstractNumId w:val="13"/>
  </w:num>
  <w:num w:numId="8">
    <w:abstractNumId w:val="30"/>
  </w:num>
  <w:num w:numId="9">
    <w:abstractNumId w:val="33"/>
  </w:num>
  <w:num w:numId="10">
    <w:abstractNumId w:val="12"/>
  </w:num>
  <w:num w:numId="11">
    <w:abstractNumId w:val="2"/>
  </w:num>
  <w:num w:numId="12">
    <w:abstractNumId w:val="27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"/>
  </w:num>
  <w:num w:numId="18">
    <w:abstractNumId w:val="26"/>
  </w:num>
  <w:num w:numId="19">
    <w:abstractNumId w:val="8"/>
  </w:num>
  <w:num w:numId="20">
    <w:abstractNumId w:val="5"/>
  </w:num>
  <w:num w:numId="21">
    <w:abstractNumId w:val="22"/>
  </w:num>
  <w:num w:numId="22">
    <w:abstractNumId w:val="19"/>
  </w:num>
  <w:num w:numId="23">
    <w:abstractNumId w:val="31"/>
  </w:num>
  <w:num w:numId="24">
    <w:abstractNumId w:val="29"/>
  </w:num>
  <w:num w:numId="25">
    <w:abstractNumId w:val="7"/>
  </w:num>
  <w:num w:numId="26">
    <w:abstractNumId w:val="6"/>
  </w:num>
  <w:num w:numId="27">
    <w:abstractNumId w:val="23"/>
  </w:num>
  <w:num w:numId="28">
    <w:abstractNumId w:val="11"/>
  </w:num>
  <w:num w:numId="29">
    <w:abstractNumId w:val="10"/>
  </w:num>
  <w:num w:numId="30">
    <w:abstractNumId w:val="20"/>
  </w:num>
  <w:num w:numId="31">
    <w:abstractNumId w:val="28"/>
  </w:num>
  <w:num w:numId="32">
    <w:abstractNumId w:val="32"/>
  </w:num>
  <w:num w:numId="33">
    <w:abstractNumId w:val="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03"/>
    <w:rsid w:val="004E3538"/>
    <w:rsid w:val="005D7803"/>
    <w:rsid w:val="00A465A2"/>
    <w:rsid w:val="00B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0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803"/>
  </w:style>
  <w:style w:type="paragraph" w:styleId="Zpat">
    <w:name w:val="footer"/>
    <w:basedOn w:val="Normln"/>
    <w:link w:val="ZpatChar"/>
    <w:uiPriority w:val="99"/>
    <w:unhideWhenUsed/>
    <w:rsid w:val="005D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803"/>
  </w:style>
  <w:style w:type="paragraph" w:styleId="Odstavecseseznamem">
    <w:name w:val="List Paragraph"/>
    <w:basedOn w:val="Normln"/>
    <w:uiPriority w:val="34"/>
    <w:qFormat/>
    <w:rsid w:val="00BC6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0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803"/>
  </w:style>
  <w:style w:type="paragraph" w:styleId="Zpat">
    <w:name w:val="footer"/>
    <w:basedOn w:val="Normln"/>
    <w:link w:val="ZpatChar"/>
    <w:uiPriority w:val="99"/>
    <w:unhideWhenUsed/>
    <w:rsid w:val="005D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803"/>
  </w:style>
  <w:style w:type="paragraph" w:styleId="Odstavecseseznamem">
    <w:name w:val="List Paragraph"/>
    <w:basedOn w:val="Normln"/>
    <w:uiPriority w:val="34"/>
    <w:qFormat/>
    <w:rsid w:val="00BC6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1366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zendulka</cp:lastModifiedBy>
  <cp:revision>2</cp:revision>
  <dcterms:created xsi:type="dcterms:W3CDTF">2014-09-11T07:35:00Z</dcterms:created>
  <dcterms:modified xsi:type="dcterms:W3CDTF">2014-09-11T07:35:00Z</dcterms:modified>
</cp:coreProperties>
</file>