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80" w:rsidRPr="00864C80" w:rsidRDefault="00864C80" w:rsidP="00B406AA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bookmarkStart w:id="0" w:name="_GoBack"/>
      <w:bookmarkEnd w:id="0"/>
      <w:r w:rsidRPr="00864C8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</w:t>
      </w:r>
      <w:r w:rsidR="00AC056B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pro </w:t>
      </w:r>
      <w:r w:rsidRPr="00864C8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B</w:t>
      </w:r>
      <w:r w:rsidR="00D02F4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HFA031s</w:t>
      </w:r>
      <w:r w:rsidRPr="00864C8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Farmakologie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–</w:t>
      </w:r>
      <w:r w:rsidRPr="00864C8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</w:t>
      </w:r>
      <w:r w:rsidR="00D02F4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seminář</w:t>
      </w:r>
      <w:r w:rsidR="00D02F4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D02F4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D02F4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D02F4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D02F4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  <w:t xml:space="preserve">1. </w:t>
      </w:r>
      <w:r w:rsidR="00D02F4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seminář</w:t>
      </w:r>
    </w:p>
    <w:p w:rsidR="00864C80" w:rsidRDefault="00864C80" w:rsidP="00B406A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</w:p>
    <w:p w:rsidR="00864C80" w:rsidRPr="00864C80" w:rsidRDefault="00864C80" w:rsidP="00B406A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864C80">
        <w:rPr>
          <w:rFonts w:ascii="Arial" w:eastAsia="Times New Roman" w:hAnsi="Arial" w:cs="Arial"/>
          <w:b/>
          <w:sz w:val="26"/>
          <w:szCs w:val="26"/>
          <w:lang w:eastAsia="cs-CZ"/>
        </w:rPr>
        <w:t>Úvod do studia, obecná</w:t>
      </w:r>
      <w:r w:rsidR="00D02F41"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 farmakologie – základní pojmy. Informace o léčivech.</w:t>
      </w:r>
    </w:p>
    <w:p w:rsidR="00864C80" w:rsidRDefault="00864C80" w:rsidP="00B40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64C80" w:rsidRPr="00864C80" w:rsidRDefault="00864C80" w:rsidP="00B40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pojmy:</w:t>
      </w:r>
    </w:p>
    <w:p w:rsidR="00864C80" w:rsidRPr="00864C80" w:rsidRDefault="00864C80" w:rsidP="00B406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definice farmakologie (obecná, speciální)</w:t>
      </w:r>
    </w:p>
    <w:p w:rsidR="00864C80" w:rsidRPr="00864C80" w:rsidRDefault="00864C80" w:rsidP="00B406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farmakoterapie (kauzální, substituční, symptomatická, patogenetická, placebo)</w:t>
      </w:r>
    </w:p>
    <w:p w:rsidR="00864C80" w:rsidRPr="00864C80" w:rsidRDefault="00864C80" w:rsidP="00B406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farmakologie vs. farmacie</w:t>
      </w:r>
    </w:p>
    <w:p w:rsidR="00864C80" w:rsidRPr="00864C80" w:rsidRDefault="00864C80" w:rsidP="00B406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farmakokinetika, farmakodynamika</w:t>
      </w:r>
    </w:p>
    <w:p w:rsidR="00864C80" w:rsidRPr="00864C80" w:rsidRDefault="00864C80" w:rsidP="00B406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farmakoekonomika, farmakovigilance, farmakogenetika, farmakoepidemiologie</w:t>
      </w:r>
    </w:p>
    <w:p w:rsidR="00864C80" w:rsidRPr="00864C80" w:rsidRDefault="00864C80" w:rsidP="00B406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léčivo, léčivý přípravek, léčivá látka, pomocná látka</w:t>
      </w:r>
    </w:p>
    <w:p w:rsidR="00864C80" w:rsidRPr="00864C80" w:rsidRDefault="00864C80" w:rsidP="00B406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názvy léčiv: chemický, INN a generický, lékopisný, firemní</w:t>
      </w:r>
    </w:p>
    <w:p w:rsidR="00864C80" w:rsidRDefault="00864C80" w:rsidP="00B40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64C80" w:rsidRPr="00864C80" w:rsidRDefault="00864C80" w:rsidP="00B40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Mechanizmy účinků léčiv:</w:t>
      </w:r>
    </w:p>
    <w:p w:rsidR="00864C80" w:rsidRPr="00864C80" w:rsidRDefault="00864C80" w:rsidP="00B406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Nespecifický mechanizmus účinku: vychází z fyzikálně-chemických vlastností látky</w:t>
      </w:r>
    </w:p>
    <w:p w:rsidR="00864C80" w:rsidRPr="00864C80" w:rsidRDefault="00864C80" w:rsidP="00B406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Specifický mechanizmus účinku: interakce s makromolekulami organismu</w:t>
      </w:r>
    </w:p>
    <w:p w:rsidR="00864C80" w:rsidRPr="00864C80" w:rsidRDefault="00864C80" w:rsidP="00B406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Nereceptorový (vazba na jinou molekulu než receptor, např. transportér, protonovou pumpu, enzym, apod.)</w:t>
      </w:r>
    </w:p>
    <w:p w:rsidR="00864C80" w:rsidRPr="00864C80" w:rsidRDefault="00864C80" w:rsidP="00B406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Receptorový (vazba na receptor spojená s ovlivněním postreceptorových dějů)</w:t>
      </w:r>
    </w:p>
    <w:p w:rsidR="00864C80" w:rsidRPr="00864C80" w:rsidRDefault="00864C80" w:rsidP="00B406AA">
      <w:pPr>
        <w:numPr>
          <w:ilvl w:val="0"/>
          <w:numId w:val="1"/>
        </w:numPr>
        <w:tabs>
          <w:tab w:val="clear" w:pos="720"/>
          <w:tab w:val="num" w:pos="1200"/>
        </w:tabs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Typy receptorů: ionotropní, metabotropní = spřažené s G-proteinem, receptory s enzymovou aktivitou, receptory regulující genovou transkripci </w:t>
      </w:r>
    </w:p>
    <w:p w:rsidR="00864C80" w:rsidRPr="00864C80" w:rsidRDefault="00864C80" w:rsidP="00B406AA">
      <w:pPr>
        <w:numPr>
          <w:ilvl w:val="0"/>
          <w:numId w:val="1"/>
        </w:numPr>
        <w:tabs>
          <w:tab w:val="clear" w:pos="720"/>
          <w:tab w:val="num" w:pos="1200"/>
        </w:tabs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Typy ligandů (agonista, parciální agonista, antagonista: kompetitivní, nekompetitivní)</w:t>
      </w:r>
    </w:p>
    <w:p w:rsidR="00864C80" w:rsidRPr="00864C80" w:rsidRDefault="00864C80" w:rsidP="00B406AA">
      <w:pPr>
        <w:numPr>
          <w:ilvl w:val="0"/>
          <w:numId w:val="1"/>
        </w:numPr>
        <w:tabs>
          <w:tab w:val="clear" w:pos="720"/>
          <w:tab w:val="num" w:pos="1200"/>
        </w:tabs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Vlastnosti ligandů (afinita k receptoru, vnitřní aktivita)</w:t>
      </w:r>
    </w:p>
    <w:p w:rsidR="00864C80" w:rsidRDefault="00864C80" w:rsidP="00B40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64C80" w:rsidRPr="00864C80" w:rsidRDefault="00864C80" w:rsidP="00B40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Klasifikace léčiv:</w:t>
      </w:r>
    </w:p>
    <w:p w:rsidR="00864C80" w:rsidRPr="00864C80" w:rsidRDefault="00864C80" w:rsidP="00B406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HVLP a IPLP</w:t>
      </w:r>
    </w:p>
    <w:p w:rsidR="00864C80" w:rsidRPr="00864C80" w:rsidRDefault="00864C80" w:rsidP="00B406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ATC systém – anatomicko-terapeuticko-chemická klasifikace</w:t>
      </w:r>
    </w:p>
    <w:p w:rsidR="00864C80" w:rsidRPr="00864C80" w:rsidRDefault="00864C80" w:rsidP="00B406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Léčivo oficinální, neoficinální, obsolentní</w:t>
      </w:r>
    </w:p>
    <w:p w:rsidR="00864C80" w:rsidRPr="00864C80" w:rsidRDefault="00864C80" w:rsidP="00B406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Složení léčivého přípravku:</w:t>
      </w:r>
    </w:p>
    <w:p w:rsidR="00864C80" w:rsidRPr="00864C80" w:rsidRDefault="00864C80" w:rsidP="00B406A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remedium cardinale</w:t>
      </w:r>
    </w:p>
    <w:p w:rsidR="00864C80" w:rsidRPr="00864C80" w:rsidRDefault="00864C80" w:rsidP="00B406A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remedium adjuvans</w:t>
      </w:r>
    </w:p>
    <w:p w:rsidR="00864C80" w:rsidRPr="00864C80" w:rsidRDefault="00864C80" w:rsidP="00B406A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remedium corrigens</w:t>
      </w:r>
    </w:p>
    <w:p w:rsidR="00864C80" w:rsidRPr="00864C80" w:rsidRDefault="00864C80" w:rsidP="00B406A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remedium constituens nebo vehiculum </w:t>
      </w:r>
    </w:p>
    <w:p w:rsidR="00D02F41" w:rsidRDefault="00D02F41" w:rsidP="00B406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F41" w:rsidRPr="00AE5310" w:rsidRDefault="00D02F41" w:rsidP="00B406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310">
        <w:rPr>
          <w:rFonts w:ascii="Times New Roman" w:hAnsi="Times New Roman" w:cs="Times New Roman"/>
          <w:b/>
          <w:sz w:val="28"/>
          <w:szCs w:val="28"/>
        </w:rPr>
        <w:t>Informace o léčivech</w:t>
      </w:r>
    </w:p>
    <w:p w:rsidR="00D02F41" w:rsidRPr="00ED78F9" w:rsidRDefault="00D02F41" w:rsidP="00B4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>PIL</w:t>
      </w:r>
      <w:r w:rsidRPr="00ED78F9">
        <w:rPr>
          <w:rFonts w:ascii="Times New Roman" w:hAnsi="Times New Roman" w:cs="Times New Roman"/>
          <w:sz w:val="24"/>
          <w:szCs w:val="24"/>
        </w:rPr>
        <w:t xml:space="preserve"> = patient information leaflet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AE5310">
        <w:rPr>
          <w:rFonts w:ascii="Times New Roman" w:hAnsi="Times New Roman" w:cs="Times New Roman"/>
          <w:b/>
          <w:sz w:val="24"/>
          <w:szCs w:val="24"/>
        </w:rPr>
        <w:t>SPC</w:t>
      </w:r>
      <w:r w:rsidRPr="00ED78F9">
        <w:rPr>
          <w:rFonts w:ascii="Times New Roman" w:hAnsi="Times New Roman" w:cs="Times New Roman"/>
          <w:sz w:val="24"/>
          <w:szCs w:val="24"/>
        </w:rPr>
        <w:t xml:space="preserve"> = summary of product characteristics</w:t>
      </w:r>
    </w:p>
    <w:p w:rsidR="00D02F41" w:rsidRPr="00ED78F9" w:rsidRDefault="00D02F41" w:rsidP="00B4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>SÚKL</w:t>
      </w:r>
      <w:r w:rsidRPr="00ED78F9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6" w:history="1">
        <w:r w:rsidRPr="00E23DDE">
          <w:rPr>
            <w:rStyle w:val="Hypertextovodkaz"/>
            <w:rFonts w:ascii="Times New Roman" w:hAnsi="Times New Roman" w:cs="Times New Roman"/>
            <w:sz w:val="24"/>
            <w:szCs w:val="24"/>
          </w:rPr>
          <w:t>WWW.SUKL.CZ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D78F9">
        <w:rPr>
          <w:rFonts w:ascii="Times New Roman" w:hAnsi="Times New Roman" w:cs="Times New Roman"/>
          <w:sz w:val="24"/>
          <w:szCs w:val="24"/>
        </w:rPr>
        <w:t>databáze léčiv on-line, PIL i SPC</w:t>
      </w:r>
      <w:r>
        <w:rPr>
          <w:rFonts w:ascii="Times New Roman" w:hAnsi="Times New Roman" w:cs="Times New Roman"/>
          <w:sz w:val="24"/>
          <w:szCs w:val="24"/>
        </w:rPr>
        <w:t xml:space="preserve">, dále </w:t>
      </w:r>
      <w:r w:rsidRPr="00ED78F9">
        <w:rPr>
          <w:rFonts w:ascii="Times New Roman" w:hAnsi="Times New Roman" w:cs="Times New Roman"/>
          <w:sz w:val="24"/>
          <w:szCs w:val="24"/>
        </w:rPr>
        <w:t>informace o ukončení výroby, výpadcích, závadách v jakosti a stahování LP...</w:t>
      </w:r>
    </w:p>
    <w:p w:rsidR="00D02F41" w:rsidRPr="00ED78F9" w:rsidRDefault="00D02F41" w:rsidP="00B4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>AISLP</w:t>
      </w:r>
      <w:r w:rsidRPr="00ED78F9">
        <w:rPr>
          <w:rFonts w:ascii="Times New Roman" w:hAnsi="Times New Roman" w:cs="Times New Roman"/>
          <w:sz w:val="24"/>
          <w:szCs w:val="24"/>
        </w:rPr>
        <w:t xml:space="preserve"> = automatizovaný inf</w:t>
      </w:r>
      <w:r>
        <w:rPr>
          <w:rFonts w:ascii="Times New Roman" w:hAnsi="Times New Roman" w:cs="Times New Roman"/>
          <w:sz w:val="24"/>
          <w:szCs w:val="24"/>
        </w:rPr>
        <w:t>ormační</w:t>
      </w:r>
      <w:r w:rsidRPr="00ED78F9">
        <w:rPr>
          <w:rFonts w:ascii="Times New Roman" w:hAnsi="Times New Roman" w:cs="Times New Roman"/>
          <w:sz w:val="24"/>
          <w:szCs w:val="24"/>
        </w:rPr>
        <w:t xml:space="preserve"> systém léčivých přípravků</w:t>
      </w:r>
      <w:r>
        <w:rPr>
          <w:rFonts w:ascii="Times New Roman" w:hAnsi="Times New Roman" w:cs="Times New Roman"/>
          <w:sz w:val="24"/>
          <w:szCs w:val="24"/>
        </w:rPr>
        <w:t xml:space="preserve"> (placená databáze)</w:t>
      </w:r>
    </w:p>
    <w:p w:rsidR="00D02F41" w:rsidRDefault="00D02F41" w:rsidP="00B4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 </w:t>
      </w:r>
      <w:r w:rsidRPr="009E1F67">
        <w:rPr>
          <w:rFonts w:ascii="Times New Roman" w:hAnsi="Times New Roman" w:cs="Times New Roman"/>
          <w:sz w:val="24"/>
          <w:szCs w:val="24"/>
        </w:rPr>
        <w:t>– ema.europa.eu (Evropská léková agentura)</w:t>
      </w:r>
    </w:p>
    <w:p w:rsidR="00D02F41" w:rsidRPr="00ED78F9" w:rsidRDefault="00D02F41" w:rsidP="00B4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>Brevíře, Remedia compendium</w:t>
      </w:r>
      <w:r w:rsidRPr="00ED78F9">
        <w:rPr>
          <w:rFonts w:ascii="Times New Roman" w:hAnsi="Times New Roman" w:cs="Times New Roman"/>
          <w:sz w:val="24"/>
          <w:szCs w:val="24"/>
        </w:rPr>
        <w:t xml:space="preserve"> – souhrny registrovaných LP</w:t>
      </w:r>
      <w:r>
        <w:rPr>
          <w:rFonts w:ascii="Times New Roman" w:hAnsi="Times New Roman" w:cs="Times New Roman"/>
          <w:sz w:val="24"/>
          <w:szCs w:val="24"/>
        </w:rPr>
        <w:t xml:space="preserve"> (placené publikace)</w:t>
      </w:r>
    </w:p>
    <w:p w:rsidR="00D02F41" w:rsidRPr="00ED78F9" w:rsidRDefault="00D02F41" w:rsidP="00B4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8F9">
        <w:rPr>
          <w:rFonts w:ascii="Times New Roman" w:hAnsi="Times New Roman" w:cs="Times New Roman"/>
          <w:b/>
          <w:sz w:val="24"/>
          <w:szCs w:val="24"/>
        </w:rPr>
        <w:t>Český lékopis 2009</w:t>
      </w:r>
    </w:p>
    <w:p w:rsidR="00D02F41" w:rsidRPr="00AE5310" w:rsidRDefault="00D02F41" w:rsidP="00B406A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sz w:val="24"/>
          <w:szCs w:val="24"/>
        </w:rPr>
        <w:t>Farmaceutické dílo normativního charakteru, závazné</w:t>
      </w:r>
    </w:p>
    <w:p w:rsidR="00D02F41" w:rsidRPr="00AE5310" w:rsidRDefault="00D02F41" w:rsidP="00B406A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>Účel: zajištění bezpečných, účinných a jakostních léčiv</w:t>
      </w:r>
    </w:p>
    <w:p w:rsidR="00D02F41" w:rsidRPr="00AE5310" w:rsidRDefault="00D02F41" w:rsidP="00B406A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sz w:val="24"/>
          <w:szCs w:val="24"/>
        </w:rPr>
        <w:t>Informace o LP, LL a PL (a lékových formách) a zacházení s nimi při výrobě, přípravě, kontrole, skladování, předepisování a distribuci PRO farmaceuty, lékaře, veterináře, (bio)chemiky a biology, laboranty a osoby, podílející se na přípravě, výrobě, kontrole, hodnocení a skladování léčiv</w:t>
      </w:r>
    </w:p>
    <w:p w:rsidR="00D02F41" w:rsidRPr="00AE5310" w:rsidRDefault="00D02F41" w:rsidP="00B406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5310">
        <w:rPr>
          <w:rFonts w:ascii="Times New Roman" w:hAnsi="Times New Roman" w:cs="Times New Roman"/>
          <w:sz w:val="24"/>
          <w:szCs w:val="24"/>
          <w:u w:val="single"/>
        </w:rPr>
        <w:t>Evropská část</w:t>
      </w:r>
    </w:p>
    <w:p w:rsidR="00D02F41" w:rsidRPr="00ED78F9" w:rsidRDefault="00D02F41" w:rsidP="00B4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8F9">
        <w:rPr>
          <w:rFonts w:ascii="Times New Roman" w:hAnsi="Times New Roman" w:cs="Times New Roman"/>
          <w:sz w:val="24"/>
          <w:szCs w:val="24"/>
        </w:rPr>
        <w:t>1. díl: Zkušební metody, přístrojová technika a pomůcky, obalový materiál, obecné články lékových forem, obecné texty (např. o sterilitě), texty o specifických LF a LP (vakcíny, radiofarmaka, homeopatika...)</w:t>
      </w:r>
    </w:p>
    <w:p w:rsidR="00D02F41" w:rsidRPr="00ED78F9" w:rsidRDefault="00D02F41" w:rsidP="00B4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8F9">
        <w:rPr>
          <w:rFonts w:ascii="Times New Roman" w:hAnsi="Times New Roman" w:cs="Times New Roman"/>
          <w:sz w:val="24"/>
          <w:szCs w:val="24"/>
        </w:rPr>
        <w:t>2. a 3. díl: Monografie (jednotlivé články) LL</w:t>
      </w:r>
    </w:p>
    <w:p w:rsidR="00D02F41" w:rsidRPr="00AE5310" w:rsidRDefault="00D02F41" w:rsidP="00B406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5310">
        <w:rPr>
          <w:rFonts w:ascii="Times New Roman" w:hAnsi="Times New Roman" w:cs="Times New Roman"/>
          <w:sz w:val="24"/>
          <w:szCs w:val="24"/>
          <w:u w:val="single"/>
        </w:rPr>
        <w:t>Národní část</w:t>
      </w:r>
    </w:p>
    <w:p w:rsidR="00D02F41" w:rsidRPr="00ED78F9" w:rsidRDefault="00D02F41" w:rsidP="00B4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díl: Obecné tabulky</w:t>
      </w:r>
      <w:r w:rsidRPr="00ED78F9">
        <w:rPr>
          <w:rFonts w:ascii="Times New Roman" w:hAnsi="Times New Roman" w:cs="Times New Roman"/>
          <w:sz w:val="24"/>
          <w:szCs w:val="24"/>
        </w:rPr>
        <w:t>, speciální část (LL, PL a LP národně specifické)</w:t>
      </w:r>
    </w:p>
    <w:p w:rsidR="00D02F41" w:rsidRDefault="00D02F41" w:rsidP="00B406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2F41" w:rsidRPr="00ED78F9" w:rsidRDefault="00D02F41" w:rsidP="00B4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sz w:val="24"/>
          <w:szCs w:val="24"/>
          <w:u w:val="single"/>
        </w:rPr>
        <w:t>Lékopisná monografie</w:t>
      </w:r>
      <w:r>
        <w:rPr>
          <w:rFonts w:ascii="Times New Roman" w:hAnsi="Times New Roman" w:cs="Times New Roman"/>
          <w:sz w:val="24"/>
          <w:szCs w:val="24"/>
        </w:rPr>
        <w:t xml:space="preserve"> – viz příklad ve studijních materiálech v ISu</w:t>
      </w:r>
    </w:p>
    <w:p w:rsidR="00D02F41" w:rsidRPr="00D02F41" w:rsidRDefault="00D02F41" w:rsidP="00B406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2F41">
        <w:rPr>
          <w:rFonts w:ascii="Times New Roman" w:hAnsi="Times New Roman" w:cs="Times New Roman"/>
          <w:sz w:val="20"/>
          <w:szCs w:val="20"/>
          <w:u w:val="single"/>
        </w:rPr>
        <w:lastRenderedPageBreak/>
        <w:t>Tabulky Národní části</w:t>
      </w:r>
    </w:p>
    <w:p w:rsidR="00D02F41" w:rsidRPr="00D02F41" w:rsidRDefault="00D02F41" w:rsidP="00B406A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02F41">
        <w:rPr>
          <w:rFonts w:ascii="Times New Roman" w:hAnsi="Times New Roman" w:cs="Times New Roman"/>
          <w:i/>
          <w:sz w:val="20"/>
          <w:szCs w:val="20"/>
        </w:rPr>
        <w:t>Tab I: Omamné a psychotropní látky</w:t>
      </w:r>
    </w:p>
    <w:p w:rsidR="00D02F41" w:rsidRPr="00D02F41" w:rsidRDefault="00D02F41" w:rsidP="00B40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2F41">
        <w:rPr>
          <w:rFonts w:ascii="Times New Roman" w:hAnsi="Times New Roman" w:cs="Times New Roman"/>
          <w:sz w:val="20"/>
          <w:szCs w:val="20"/>
        </w:rPr>
        <w:t>omamné látky §§</w:t>
      </w:r>
    </w:p>
    <w:p w:rsidR="00D02F41" w:rsidRPr="00D02F41" w:rsidRDefault="00D02F41" w:rsidP="00B40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2F41">
        <w:rPr>
          <w:rFonts w:ascii="Times New Roman" w:hAnsi="Times New Roman" w:cs="Times New Roman"/>
          <w:sz w:val="20"/>
          <w:szCs w:val="20"/>
        </w:rPr>
        <w:t>psychotropní látky §</w:t>
      </w:r>
    </w:p>
    <w:p w:rsidR="00D02F41" w:rsidRPr="00D02F41" w:rsidRDefault="00D02F41" w:rsidP="00B40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2F41">
        <w:rPr>
          <w:rFonts w:ascii="Times New Roman" w:hAnsi="Times New Roman" w:cs="Times New Roman"/>
          <w:sz w:val="20"/>
          <w:szCs w:val="20"/>
        </w:rPr>
        <w:t>prekurzory OL a PL (§)</w:t>
      </w:r>
    </w:p>
    <w:p w:rsidR="00D02F41" w:rsidRPr="00D02F41" w:rsidRDefault="00D02F41" w:rsidP="00B40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2F41">
        <w:rPr>
          <w:rFonts w:ascii="Times New Roman" w:hAnsi="Times New Roman" w:cs="Times New Roman"/>
          <w:i/>
          <w:sz w:val="20"/>
          <w:szCs w:val="20"/>
        </w:rPr>
        <w:t>Tab II: Venena</w:t>
      </w:r>
      <w:r w:rsidRPr="00D02F41">
        <w:rPr>
          <w:rFonts w:ascii="Times New Roman" w:hAnsi="Times New Roman" w:cs="Times New Roman"/>
          <w:sz w:val="20"/>
          <w:szCs w:val="20"/>
        </w:rPr>
        <w:t xml:space="preserve"> = léčiva velmi silně účinná („jedy“), označení: ††</w:t>
      </w:r>
    </w:p>
    <w:p w:rsidR="00D02F41" w:rsidRPr="00D02F41" w:rsidRDefault="00D02F41" w:rsidP="00B40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2F41">
        <w:rPr>
          <w:rFonts w:ascii="Times New Roman" w:hAnsi="Times New Roman" w:cs="Times New Roman"/>
          <w:i/>
          <w:sz w:val="20"/>
          <w:szCs w:val="20"/>
        </w:rPr>
        <w:t>Tab III: Separanda</w:t>
      </w:r>
      <w:r w:rsidRPr="00D02F41">
        <w:rPr>
          <w:rFonts w:ascii="Times New Roman" w:hAnsi="Times New Roman" w:cs="Times New Roman"/>
          <w:sz w:val="20"/>
          <w:szCs w:val="20"/>
        </w:rPr>
        <w:t xml:space="preserve"> = léčiva silně účinná a žíraviny, označení: †</w:t>
      </w:r>
    </w:p>
    <w:p w:rsidR="00D02F41" w:rsidRPr="00D02F41" w:rsidRDefault="00D02F41" w:rsidP="00B406A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02F41">
        <w:rPr>
          <w:rFonts w:ascii="Times New Roman" w:hAnsi="Times New Roman" w:cs="Times New Roman"/>
          <w:i/>
          <w:sz w:val="20"/>
          <w:szCs w:val="20"/>
        </w:rPr>
        <w:t>Tab IV: Doporučené terapeutické dávky léčiv pro dospělé</w:t>
      </w:r>
    </w:p>
    <w:p w:rsidR="00D02F41" w:rsidRPr="00D02F41" w:rsidRDefault="00D02F41" w:rsidP="00B40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2F41">
        <w:rPr>
          <w:rFonts w:ascii="Times New Roman" w:hAnsi="Times New Roman" w:cs="Times New Roman"/>
          <w:sz w:val="20"/>
          <w:szCs w:val="20"/>
        </w:rPr>
        <w:t xml:space="preserve">jednotlivé i denní terapeutické dávky, u velmi silně účinných léčiv i dávka maximální </w:t>
      </w:r>
    </w:p>
    <w:p w:rsidR="00D02F41" w:rsidRPr="00D02F41" w:rsidRDefault="00D02F41" w:rsidP="00B406A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02F41">
        <w:rPr>
          <w:rFonts w:ascii="Times New Roman" w:hAnsi="Times New Roman" w:cs="Times New Roman"/>
          <w:i/>
          <w:sz w:val="20"/>
          <w:szCs w:val="20"/>
        </w:rPr>
        <w:t xml:space="preserve">Tab V: Doporučené terapeutické dávky léčiv pro děti </w:t>
      </w:r>
      <w:r w:rsidRPr="00D02F41">
        <w:rPr>
          <w:rFonts w:ascii="Times New Roman" w:hAnsi="Times New Roman" w:cs="Times New Roman"/>
          <w:sz w:val="20"/>
          <w:szCs w:val="20"/>
        </w:rPr>
        <w:t>podle věku (0-1 rok, 1-6 let, 6-15 let)</w:t>
      </w:r>
    </w:p>
    <w:p w:rsidR="00D02F41" w:rsidRPr="00D02F41" w:rsidRDefault="00D02F41" w:rsidP="00B406A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02F41">
        <w:rPr>
          <w:rFonts w:ascii="Times New Roman" w:hAnsi="Times New Roman" w:cs="Times New Roman"/>
          <w:i/>
          <w:sz w:val="20"/>
          <w:szCs w:val="20"/>
        </w:rPr>
        <w:t>Tab VI: Doporučené dávky některých léčiv používaných u zvířat</w:t>
      </w:r>
    </w:p>
    <w:p w:rsidR="00D02F41" w:rsidRPr="00D02F41" w:rsidRDefault="00D02F41" w:rsidP="00B40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2F41">
        <w:rPr>
          <w:rFonts w:ascii="Times New Roman" w:hAnsi="Times New Roman" w:cs="Times New Roman"/>
          <w:sz w:val="20"/>
          <w:szCs w:val="20"/>
        </w:rPr>
        <w:t>a další...</w:t>
      </w:r>
    </w:p>
    <w:p w:rsidR="00D02F41" w:rsidRDefault="00D02F41" w:rsidP="00B406AA">
      <w:pPr>
        <w:spacing w:line="240" w:lineRule="auto"/>
      </w:pPr>
    </w:p>
    <w:p w:rsidR="00864C80" w:rsidRDefault="00864C80" w:rsidP="00B406AA">
      <w:pPr>
        <w:spacing w:line="240" w:lineRule="auto"/>
      </w:pPr>
    </w:p>
    <w:sectPr w:rsidR="00864C80" w:rsidSect="00864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2C2C"/>
    <w:multiLevelType w:val="hybridMultilevel"/>
    <w:tmpl w:val="CD84E43E"/>
    <w:lvl w:ilvl="0" w:tplc="A036D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20508"/>
    <w:multiLevelType w:val="hybridMultilevel"/>
    <w:tmpl w:val="F47E1BC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173BFA"/>
    <w:multiLevelType w:val="hybridMultilevel"/>
    <w:tmpl w:val="4398A674"/>
    <w:lvl w:ilvl="0" w:tplc="650C1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7F477D"/>
    <w:multiLevelType w:val="hybridMultilevel"/>
    <w:tmpl w:val="73445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80"/>
    <w:rsid w:val="00516FE1"/>
    <w:rsid w:val="005F3A77"/>
    <w:rsid w:val="007347FA"/>
    <w:rsid w:val="00864C80"/>
    <w:rsid w:val="00AC056B"/>
    <w:rsid w:val="00B406AA"/>
    <w:rsid w:val="00D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C8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2F4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2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C8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2F4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cp:lastModifiedBy>japis</cp:lastModifiedBy>
  <cp:revision>2</cp:revision>
  <dcterms:created xsi:type="dcterms:W3CDTF">2016-09-21T08:48:00Z</dcterms:created>
  <dcterms:modified xsi:type="dcterms:W3CDTF">2016-09-21T08:48:00Z</dcterms:modified>
</cp:coreProperties>
</file>