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E8" w:rsidRPr="00864C80" w:rsidRDefault="009762E8" w:rsidP="00422781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</w:pPr>
      <w:bookmarkStart w:id="0" w:name="_GoBack"/>
      <w:bookmarkEnd w:id="0"/>
      <w:r w:rsidRPr="00864C8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Podklady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 pro </w:t>
      </w:r>
      <w:r w:rsidRPr="00864C8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B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HFA031s</w:t>
      </w:r>
      <w:r w:rsidRPr="00864C8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 Farmakologie 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–</w:t>
      </w:r>
      <w:r w:rsidRPr="00864C8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seminář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E56278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2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. seminář</w:t>
      </w:r>
    </w:p>
    <w:p w:rsidR="00B17A54" w:rsidRPr="008A1A7A" w:rsidRDefault="00B17A54" w:rsidP="00422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17A54" w:rsidRDefault="00B17A54" w:rsidP="00422781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sz w:val="26"/>
          <w:szCs w:val="26"/>
          <w:lang w:eastAsia="cs-CZ"/>
        </w:rPr>
        <w:t>L</w:t>
      </w:r>
      <w:r w:rsidR="009762E8">
        <w:rPr>
          <w:rFonts w:ascii="Arial" w:eastAsia="Times New Roman" w:hAnsi="Arial" w:cs="Arial"/>
          <w:b/>
          <w:sz w:val="26"/>
          <w:szCs w:val="26"/>
          <w:lang w:eastAsia="cs-CZ"/>
        </w:rPr>
        <w:t>ékové formy a aplikační způsoby</w:t>
      </w:r>
    </w:p>
    <w:p w:rsidR="00B17A54" w:rsidRDefault="00B17A54" w:rsidP="004227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7A54" w:rsidRDefault="00B17A54" w:rsidP="0042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278">
        <w:rPr>
          <w:rFonts w:ascii="Times New Roman" w:hAnsi="Times New Roman" w:cs="Times New Roman"/>
          <w:b/>
          <w:sz w:val="28"/>
          <w:szCs w:val="28"/>
        </w:rPr>
        <w:t>Léková forma</w:t>
      </w:r>
      <w:r w:rsidRPr="00B17A54">
        <w:rPr>
          <w:rFonts w:ascii="Times New Roman" w:hAnsi="Times New Roman" w:cs="Times New Roman"/>
          <w:sz w:val="24"/>
          <w:szCs w:val="24"/>
        </w:rPr>
        <w:t xml:space="preserve"> = konečná podoba léčivého přípravku, v níž je podáván pacientovi </w:t>
      </w:r>
    </w:p>
    <w:p w:rsidR="00B17A54" w:rsidRPr="00B17A54" w:rsidRDefault="00B17A54" w:rsidP="00422781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Směs léčivých (LL) a pomocných látek (PL), kt. určuje tvar a vlastnosti léčivého přípravku, je přizpůsobena způsobu aplikace a ovlivňuje chování LL v organismu</w:t>
      </w:r>
    </w:p>
    <w:p w:rsidR="00B17A54" w:rsidRPr="00B17A54" w:rsidRDefault="00B17A54" w:rsidP="004227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7A54">
        <w:rPr>
          <w:rFonts w:ascii="Times New Roman" w:hAnsi="Times New Roman" w:cs="Times New Roman"/>
          <w:i/>
          <w:sz w:val="24"/>
          <w:szCs w:val="24"/>
        </w:rPr>
        <w:t>Generace lékových forem:</w:t>
      </w:r>
    </w:p>
    <w:p w:rsidR="00B17A54" w:rsidRPr="00B17A54" w:rsidRDefault="00B17A54" w:rsidP="0042278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1. generace = klasické lékové formy</w:t>
      </w:r>
    </w:p>
    <w:p w:rsidR="00B17A54" w:rsidRPr="00B17A54" w:rsidRDefault="00B17A54" w:rsidP="0042278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2. generace = lékové formy s řízeným uvolňováním (retardety)</w:t>
      </w:r>
    </w:p>
    <w:p w:rsidR="00B17A54" w:rsidRPr="00B17A54" w:rsidRDefault="00B17A54" w:rsidP="0042278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3. generace = lékové formy s řízenou biodistribucí</w:t>
      </w:r>
    </w:p>
    <w:p w:rsidR="00B17A54" w:rsidRPr="00B17A54" w:rsidRDefault="00B17A54" w:rsidP="004227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7A54">
        <w:rPr>
          <w:rFonts w:ascii="Times New Roman" w:hAnsi="Times New Roman" w:cs="Times New Roman"/>
          <w:sz w:val="24"/>
          <w:szCs w:val="24"/>
          <w:u w:val="single"/>
        </w:rPr>
        <w:t>Klasifikace lékových forem</w:t>
      </w:r>
    </w:p>
    <w:p w:rsidR="00B17A54" w:rsidRPr="00B17A54" w:rsidRDefault="00B17A54" w:rsidP="0042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Podle konzistence: tekuté, polotuhé, tuhé, plynné (tuhé: tvarově specifické, tvarově nespecifické)</w:t>
      </w:r>
    </w:p>
    <w:p w:rsidR="00B17A54" w:rsidRPr="00B17A54" w:rsidRDefault="00B17A54" w:rsidP="0042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Podle způsobu užití:</w:t>
      </w:r>
      <w:r w:rsidRPr="00B17A54">
        <w:rPr>
          <w:rFonts w:ascii="Times New Roman" w:hAnsi="Times New Roman" w:cs="Times New Roman"/>
          <w:sz w:val="24"/>
          <w:szCs w:val="24"/>
        </w:rPr>
        <w:tab/>
        <w:t>K vnitřnímu užití (</w:t>
      </w:r>
      <w:r w:rsidRPr="00B17A54">
        <w:rPr>
          <w:rFonts w:ascii="Times New Roman" w:hAnsi="Times New Roman" w:cs="Times New Roman"/>
          <w:i/>
          <w:sz w:val="24"/>
          <w:szCs w:val="24"/>
        </w:rPr>
        <w:t>Ad usum internum</w:t>
      </w:r>
      <w:r w:rsidRPr="00B17A54">
        <w:rPr>
          <w:rFonts w:ascii="Times New Roman" w:hAnsi="Times New Roman" w:cs="Times New Roman"/>
          <w:sz w:val="24"/>
          <w:szCs w:val="24"/>
        </w:rPr>
        <w:t>) – Peroralia, Parenteralia</w:t>
      </w:r>
    </w:p>
    <w:p w:rsidR="00B17A54" w:rsidRPr="00B17A54" w:rsidRDefault="00B17A54" w:rsidP="00422781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K jinému užití (</w:t>
      </w:r>
      <w:r w:rsidRPr="00B17A54">
        <w:rPr>
          <w:rFonts w:ascii="Times New Roman" w:hAnsi="Times New Roman" w:cs="Times New Roman"/>
          <w:i/>
          <w:sz w:val="24"/>
          <w:szCs w:val="24"/>
        </w:rPr>
        <w:t>Ad usum alium</w:t>
      </w:r>
      <w:r w:rsidRPr="00B17A54">
        <w:rPr>
          <w:rFonts w:ascii="Times New Roman" w:hAnsi="Times New Roman" w:cs="Times New Roman"/>
          <w:sz w:val="24"/>
          <w:szCs w:val="24"/>
        </w:rPr>
        <w:t>) – Ocularia, Nasalia, Inhalanda...</w:t>
      </w:r>
    </w:p>
    <w:p w:rsidR="00B17A54" w:rsidRPr="00B17A54" w:rsidRDefault="00B17A54" w:rsidP="004227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A54">
        <w:rPr>
          <w:rFonts w:ascii="Times New Roman" w:hAnsi="Times New Roman" w:cs="Times New Roman"/>
          <w:b/>
          <w:sz w:val="24"/>
          <w:szCs w:val="24"/>
        </w:rPr>
        <w:t>Tekuté lékové formy</w:t>
      </w:r>
    </w:p>
    <w:p w:rsidR="00B17A54" w:rsidRPr="00B17A54" w:rsidRDefault="00B17A54" w:rsidP="0042278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Pro vnitřní užití:</w:t>
      </w:r>
    </w:p>
    <w:p w:rsidR="00B17A54" w:rsidRPr="00B17A54" w:rsidRDefault="00B17A54" w:rsidP="00422781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Perorální = roztoky, suspenze, emulze k perorálnímu použití, tinktury, kapky, sirupy</w:t>
      </w:r>
    </w:p>
    <w:p w:rsidR="00B17A54" w:rsidRPr="00B17A54" w:rsidRDefault="00B17A54" w:rsidP="00422781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Parenterální = injekce, infuze</w:t>
      </w:r>
    </w:p>
    <w:p w:rsidR="00B17A54" w:rsidRPr="00B17A54" w:rsidRDefault="00B17A54" w:rsidP="0042278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 xml:space="preserve">Pro zevní užití = oční kapky a vody, ušní kapky, nosní kapky; tekuté přípravky k aplikaci na kůži; tekuté přípravky k aplikaci na sliznice </w:t>
      </w:r>
    </w:p>
    <w:p w:rsidR="00B17A54" w:rsidRPr="00B17A54" w:rsidRDefault="00B17A54" w:rsidP="004227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A54">
        <w:rPr>
          <w:rFonts w:ascii="Times New Roman" w:hAnsi="Times New Roman" w:cs="Times New Roman"/>
          <w:b/>
          <w:sz w:val="24"/>
          <w:szCs w:val="24"/>
        </w:rPr>
        <w:t>Polotuhé lékové formy</w:t>
      </w:r>
    </w:p>
    <w:p w:rsidR="00B17A54" w:rsidRPr="00B17A54" w:rsidRDefault="00B17A54" w:rsidP="0042278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Aplikace na kůži nebo na sliznice, místní účinek (dermatologika) nebo celkový účinek (TTS)</w:t>
      </w:r>
    </w:p>
    <w:p w:rsidR="00B17A54" w:rsidRPr="00B17A54" w:rsidRDefault="00B17A54" w:rsidP="0042278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Masti, krémy, gely, pasty, náplasti s léčivy (TTS, Emplastra)</w:t>
      </w:r>
    </w:p>
    <w:p w:rsidR="00B17A54" w:rsidRPr="00B17A54" w:rsidRDefault="00B17A54" w:rsidP="004227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A54">
        <w:rPr>
          <w:rFonts w:ascii="Times New Roman" w:hAnsi="Times New Roman" w:cs="Times New Roman"/>
          <w:b/>
          <w:sz w:val="24"/>
          <w:szCs w:val="24"/>
        </w:rPr>
        <w:t>Tuhé lékové formy</w:t>
      </w:r>
    </w:p>
    <w:p w:rsidR="00B17A54" w:rsidRPr="00B17A54" w:rsidRDefault="00B17A54" w:rsidP="0042278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Tvarově specifické: tablety, čípky (rektální), vaginální globulky, tobolky</w:t>
      </w:r>
    </w:p>
    <w:p w:rsidR="00B17A54" w:rsidRPr="00B17A54" w:rsidRDefault="00B17A54" w:rsidP="0042278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Tablety: neobalené, obalené, enterosolventní, šumivé, dispergovatelné v ústech, s řízeným uvolňováním, žvýkací, vaginální</w:t>
      </w:r>
    </w:p>
    <w:p w:rsidR="00B17A54" w:rsidRPr="00B17A54" w:rsidRDefault="00B17A54" w:rsidP="0042278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Tobolky: tvrdé, měkké, enterosolventní, s modifikovaným uvolňováním</w:t>
      </w:r>
    </w:p>
    <w:p w:rsidR="00B17A54" w:rsidRPr="00B17A54" w:rsidRDefault="00B17A54" w:rsidP="0042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b/>
          <w:sz w:val="24"/>
          <w:szCs w:val="24"/>
        </w:rPr>
        <w:t>Plynné lékové formy</w:t>
      </w:r>
      <w:r w:rsidRPr="00B17A54">
        <w:rPr>
          <w:rFonts w:ascii="Times New Roman" w:hAnsi="Times New Roman" w:cs="Times New Roman"/>
          <w:sz w:val="24"/>
          <w:szCs w:val="24"/>
        </w:rPr>
        <w:t xml:space="preserve"> = aerodisperze</w:t>
      </w:r>
    </w:p>
    <w:p w:rsidR="00B17A54" w:rsidRPr="00B17A54" w:rsidRDefault="00B17A54" w:rsidP="00422781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Topické = ušní, nosní, orální, sublinvální a kožní spreje</w:t>
      </w:r>
    </w:p>
    <w:p w:rsidR="00B17A54" w:rsidRPr="00B17A54" w:rsidRDefault="00B17A54" w:rsidP="00422781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Inhalační přípravky = tekuté (rozprašování tekutin), prášky k inhalaci (velikost částic určuje místo vstřebávání)</w:t>
      </w:r>
    </w:p>
    <w:p w:rsidR="00B17A54" w:rsidRPr="00B17A54" w:rsidRDefault="00B17A54" w:rsidP="00422781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Pěny = kožní, rektální, vaginální pěny</w:t>
      </w:r>
    </w:p>
    <w:p w:rsidR="00C42DD4" w:rsidRDefault="00C42DD4" w:rsidP="00C42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C42DD4" w:rsidRDefault="00C42DD4" w:rsidP="00C42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Specifické s</w:t>
      </w:r>
      <w:r w:rsidRPr="00E5627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tomatologické lékové formy</w:t>
      </w:r>
    </w:p>
    <w:p w:rsidR="00C42DD4" w:rsidRPr="00C42DD4" w:rsidRDefault="00C42DD4" w:rsidP="00C42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42D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Oromucosalia (Orální přípravky)</w:t>
      </w:r>
    </w:p>
    <w:p w:rsidR="00C42DD4" w:rsidRPr="00C42DD4" w:rsidRDefault="00C42DD4" w:rsidP="00C42DD4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2DD4">
        <w:rPr>
          <w:rFonts w:ascii="Times New Roman" w:eastAsia="Times New Roman" w:hAnsi="Times New Roman" w:cs="Times New Roman"/>
          <w:sz w:val="24"/>
          <w:szCs w:val="24"/>
          <w:lang w:eastAsia="cs-CZ"/>
        </w:rPr>
        <w:t>pevné, polotuhé nebo tekuté lékové formy</w:t>
      </w:r>
    </w:p>
    <w:p w:rsidR="00C42DD4" w:rsidRPr="00C42DD4" w:rsidRDefault="00C42DD4" w:rsidP="00C42DD4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2DD4">
        <w:rPr>
          <w:rFonts w:ascii="Times New Roman" w:eastAsia="Times New Roman" w:hAnsi="Times New Roman" w:cs="Times New Roman"/>
          <w:sz w:val="24"/>
          <w:szCs w:val="24"/>
          <w:lang w:eastAsia="cs-CZ"/>
        </w:rPr>
        <w:t>jedn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C42D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více léčivých látek </w:t>
      </w:r>
    </w:p>
    <w:p w:rsidR="00C42DD4" w:rsidRPr="00C42DD4" w:rsidRDefault="00C42DD4" w:rsidP="00C42DD4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2D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určeny k aplikaci do ústní dutiny a/nebo ústní části hltanu </w:t>
      </w:r>
    </w:p>
    <w:p w:rsidR="00C42DD4" w:rsidRPr="00C42DD4" w:rsidRDefault="00C42DD4" w:rsidP="00C42DD4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2DD4">
        <w:rPr>
          <w:rFonts w:ascii="Times New Roman" w:eastAsia="Times New Roman" w:hAnsi="Times New Roman" w:cs="Times New Roman"/>
          <w:sz w:val="24"/>
          <w:szCs w:val="24"/>
          <w:lang w:eastAsia="cs-CZ"/>
        </w:rPr>
        <w:t>místní nebo systémový účinek</w:t>
      </w:r>
    </w:p>
    <w:p w:rsidR="00C42DD4" w:rsidRPr="00C42DD4" w:rsidRDefault="00C42DD4" w:rsidP="00C42DD4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2DD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příklady: kloktadla, přípravky pro ústní výplachy, roztoky určené k aplikaci na dásně, orální roztoky a suspenze, polotuhé orální přípravky (gely a pasty na dásně, orální gely a pasty), orální kapky, orální a sublingvální spreje, tvrdé, měkké a lisované pastilky, bukální a sublingvální tablety, orální tobolky a mukoadhezivní přípravky</w:t>
      </w:r>
    </w:p>
    <w:p w:rsidR="00C42DD4" w:rsidRPr="00C42DD4" w:rsidRDefault="00C42DD4" w:rsidP="00C42DD4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42DD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mukoadhezivní přípravky:</w:t>
      </w:r>
    </w:p>
    <w:p w:rsidR="00C42DD4" w:rsidRPr="00C42DD4" w:rsidRDefault="00C42DD4" w:rsidP="00C42DD4">
      <w:pPr>
        <w:pStyle w:val="Odstavecseseznamem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2DD4">
        <w:rPr>
          <w:rFonts w:ascii="Times New Roman" w:eastAsia="Times New Roman" w:hAnsi="Times New Roman" w:cs="Times New Roman"/>
          <w:sz w:val="24"/>
          <w:szCs w:val="24"/>
          <w:lang w:eastAsia="cs-CZ"/>
        </w:rPr>
        <w:t>pomocí adheze se zadržují v dutině ústní na slizničním epitelu, v místě podání modifikují absorpci systémově účinkujících léčiv</w:t>
      </w:r>
    </w:p>
    <w:p w:rsidR="00C42DD4" w:rsidRPr="00C42DD4" w:rsidRDefault="00C42DD4" w:rsidP="00C42DD4">
      <w:pPr>
        <w:pStyle w:val="Odstavecseseznamem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2DD4">
        <w:rPr>
          <w:rFonts w:ascii="Times New Roman" w:eastAsia="Times New Roman" w:hAnsi="Times New Roman" w:cs="Times New Roman"/>
          <w:sz w:val="24"/>
          <w:szCs w:val="24"/>
          <w:lang w:eastAsia="cs-CZ"/>
        </w:rPr>
        <w:t>obsahují jednu nebo více léčivých látek určených k systémové absorpci sliznicí tváře v delším časovém období</w:t>
      </w:r>
    </w:p>
    <w:p w:rsidR="00C42DD4" w:rsidRDefault="00C42DD4" w:rsidP="00C42DD4">
      <w:pPr>
        <w:pStyle w:val="Odstavecseseznamem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2DD4">
        <w:rPr>
          <w:rFonts w:ascii="Times New Roman" w:eastAsia="Times New Roman" w:hAnsi="Times New Roman" w:cs="Times New Roman"/>
          <w:sz w:val="24"/>
          <w:szCs w:val="24"/>
          <w:lang w:eastAsia="cs-CZ"/>
        </w:rPr>
        <w:t>mukoadheze je dosa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C42DD4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C42D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pomocnou látkou – např. hydrofilními polymery (po zvlhčení slinami vytvoří pružný hydrogel, který se přilepí na sliznici tváře) </w:t>
      </w:r>
    </w:p>
    <w:p w:rsidR="00C42DD4" w:rsidRPr="00C42DD4" w:rsidRDefault="00C42DD4" w:rsidP="00C42DD4">
      <w:pPr>
        <w:pStyle w:val="Odstavecseseznamem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2DD4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 mukoadhezivní bukální tablety</w:t>
      </w:r>
    </w:p>
    <w:p w:rsidR="00B17A54" w:rsidRPr="00E56278" w:rsidRDefault="00B17A54" w:rsidP="004227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6278">
        <w:rPr>
          <w:rFonts w:ascii="Times New Roman" w:hAnsi="Times New Roman" w:cs="Times New Roman"/>
          <w:b/>
          <w:sz w:val="28"/>
          <w:szCs w:val="28"/>
        </w:rPr>
        <w:lastRenderedPageBreak/>
        <w:t>Aplikační způsoby</w:t>
      </w:r>
    </w:p>
    <w:p w:rsidR="00B17A54" w:rsidRPr="00B17A54" w:rsidRDefault="00B17A54" w:rsidP="0042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b/>
          <w:sz w:val="24"/>
          <w:szCs w:val="24"/>
        </w:rPr>
        <w:t>Systémová aplikace</w:t>
      </w:r>
      <w:r w:rsidRPr="00B17A54">
        <w:rPr>
          <w:rFonts w:ascii="Times New Roman" w:hAnsi="Times New Roman" w:cs="Times New Roman"/>
          <w:sz w:val="24"/>
          <w:szCs w:val="24"/>
        </w:rPr>
        <w:t xml:space="preserve"> = léčivo se dostává do krevního oběhu → působí na celý organismus</w:t>
      </w:r>
    </w:p>
    <w:p w:rsidR="00B17A54" w:rsidRPr="00B17A54" w:rsidRDefault="00B17A54" w:rsidP="0042278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Enterální aplikace: p.o. a p.r.</w:t>
      </w:r>
    </w:p>
    <w:p w:rsidR="00B17A54" w:rsidRPr="00B17A54" w:rsidRDefault="00B17A54" w:rsidP="0042278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Parenterální aplikace: injekce a infuze</w:t>
      </w:r>
    </w:p>
    <w:p w:rsidR="00B17A54" w:rsidRPr="00B17A54" w:rsidRDefault="00B17A54" w:rsidP="0042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b/>
          <w:sz w:val="24"/>
          <w:szCs w:val="24"/>
        </w:rPr>
        <w:t>Lokální aplikace</w:t>
      </w:r>
      <w:r w:rsidRPr="00B17A54">
        <w:rPr>
          <w:rFonts w:ascii="Times New Roman" w:hAnsi="Times New Roman" w:cs="Times New Roman"/>
          <w:sz w:val="24"/>
          <w:szCs w:val="24"/>
        </w:rPr>
        <w:t xml:space="preserve"> = léčivo se nevstřebává do krevního oběhu → působí jen v místě podání</w:t>
      </w:r>
    </w:p>
    <w:p w:rsidR="00B17A54" w:rsidRPr="00B17A54" w:rsidRDefault="00B17A54" w:rsidP="0042278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Zevní aplikace: na kůži, sliznice, oko, ucho...</w:t>
      </w:r>
    </w:p>
    <w:p w:rsidR="00B17A54" w:rsidRPr="00B17A54" w:rsidRDefault="00B17A54" w:rsidP="0042278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Vnitřní aplikace: léčivo podáno do GIT, ale z GIT se nevstřebává</w:t>
      </w:r>
    </w:p>
    <w:p w:rsidR="00B17A54" w:rsidRPr="00B17A54" w:rsidRDefault="00B17A54" w:rsidP="0042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b/>
          <w:i/>
          <w:sz w:val="24"/>
          <w:szCs w:val="24"/>
        </w:rPr>
        <w:t>Systémová aplikace – enterální</w:t>
      </w:r>
      <w:r w:rsidRPr="00B17A54">
        <w:rPr>
          <w:rFonts w:ascii="Times New Roman" w:hAnsi="Times New Roman" w:cs="Times New Roman"/>
          <w:sz w:val="24"/>
          <w:szCs w:val="24"/>
        </w:rPr>
        <w:t xml:space="preserve"> </w:t>
      </w:r>
      <w:r w:rsidRPr="00B17A54">
        <w:rPr>
          <w:rFonts w:ascii="Times New Roman" w:hAnsi="Times New Roman" w:cs="Times New Roman"/>
          <w:sz w:val="24"/>
          <w:szCs w:val="24"/>
        </w:rPr>
        <w:tab/>
      </w:r>
      <w:r w:rsidRPr="00B17A54">
        <w:rPr>
          <w:rFonts w:ascii="Times New Roman" w:hAnsi="Times New Roman" w:cs="Times New Roman"/>
          <w:sz w:val="24"/>
          <w:szCs w:val="24"/>
        </w:rPr>
        <w:tab/>
      </w:r>
    </w:p>
    <w:p w:rsidR="00B17A54" w:rsidRPr="00B17A54" w:rsidRDefault="00B17A54" w:rsidP="0042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  <w:u w:val="single"/>
        </w:rPr>
        <w:t>1. Perorální (per os, p.</w:t>
      </w:r>
      <w:r w:rsidRPr="00B17A54">
        <w:rPr>
          <w:rFonts w:ascii="Times New Roman" w:hAnsi="Times New Roman" w:cs="Times New Roman"/>
          <w:sz w:val="24"/>
          <w:szCs w:val="24"/>
        </w:rPr>
        <w:t>o</w:t>
      </w:r>
      <w:r w:rsidRPr="00B17A54">
        <w:rPr>
          <w:rFonts w:ascii="Times New Roman" w:hAnsi="Times New Roman" w:cs="Times New Roman"/>
          <w:sz w:val="24"/>
          <w:szCs w:val="24"/>
          <w:u w:val="single"/>
        </w:rPr>
        <w:t>.)</w:t>
      </w:r>
      <w:r w:rsidRPr="00B17A54">
        <w:rPr>
          <w:rFonts w:ascii="Times New Roman" w:hAnsi="Times New Roman" w:cs="Times New Roman"/>
          <w:sz w:val="24"/>
          <w:szCs w:val="24"/>
        </w:rPr>
        <w:t xml:space="preserve"> – nástup účinku závisí na fyz-chem vlastnostech LL a PL, někdy ↓ biolog. dostupnost: first-pass efekt </w:t>
      </w:r>
    </w:p>
    <w:p w:rsidR="00B17A54" w:rsidRPr="00B17A54" w:rsidRDefault="00B17A54" w:rsidP="0042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  <w:u w:val="single"/>
        </w:rPr>
        <w:t>2. Perrektální (per rectum)</w:t>
      </w:r>
      <w:r w:rsidRPr="00B17A54">
        <w:rPr>
          <w:rFonts w:ascii="Times New Roman" w:hAnsi="Times New Roman" w:cs="Times New Roman"/>
          <w:sz w:val="24"/>
          <w:szCs w:val="24"/>
        </w:rPr>
        <w:t xml:space="preserve"> – nevyvolává nauzeu, ↓ biologická dostupnost než p.o. – malá plocha střevní stěny, kratší nástup účinku než p.o. – </w:t>
      </w:r>
      <w:r w:rsidRPr="00B17A54">
        <w:rPr>
          <w:rFonts w:ascii="Times New Roman" w:hAnsi="Times New Roman" w:cs="Times New Roman"/>
          <w:i/>
          <w:sz w:val="24"/>
          <w:szCs w:val="24"/>
        </w:rPr>
        <w:t>plexus venosus rectalis</w:t>
      </w:r>
      <w:r w:rsidRPr="00B17A54">
        <w:rPr>
          <w:rFonts w:ascii="Times New Roman" w:hAnsi="Times New Roman" w:cs="Times New Roman"/>
          <w:sz w:val="24"/>
          <w:szCs w:val="24"/>
        </w:rPr>
        <w:t xml:space="preserve"> ústí přímo do dolní duté žíly („obchází játra“)</w:t>
      </w:r>
    </w:p>
    <w:p w:rsidR="00B17A54" w:rsidRPr="00B17A54" w:rsidRDefault="00B17A54" w:rsidP="0042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b/>
          <w:i/>
          <w:sz w:val="24"/>
          <w:szCs w:val="24"/>
        </w:rPr>
        <w:t>Systémová aplikace – parenterální</w:t>
      </w:r>
      <w:r w:rsidRPr="00B17A5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17A5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B17A54" w:rsidRPr="00B17A54" w:rsidRDefault="00B17A54" w:rsidP="004227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7A54">
        <w:rPr>
          <w:rFonts w:ascii="Times New Roman" w:hAnsi="Times New Roman" w:cs="Times New Roman"/>
          <w:sz w:val="24"/>
          <w:szCs w:val="24"/>
          <w:u w:val="single"/>
        </w:rPr>
        <w:t>1. Neinjekční aplikace</w:t>
      </w:r>
    </w:p>
    <w:p w:rsidR="00B17A54" w:rsidRPr="00B17A54" w:rsidRDefault="00B17A54" w:rsidP="0042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a) orální – vstřebávání sliznicí úst (bukálně, subligválně), lipofilní látky – rychlá absorpce, př. nitroglycerin</w:t>
      </w:r>
    </w:p>
    <w:p w:rsidR="00B17A54" w:rsidRDefault="00B17A54" w:rsidP="0042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 xml:space="preserve">b) inhalační – plyny, páry těkavých roztoků nebo velmi drobné částice, terapie onem. dýchacích cest </w:t>
      </w:r>
    </w:p>
    <w:p w:rsidR="00B17A54" w:rsidRPr="00B17A54" w:rsidRDefault="00B17A54" w:rsidP="0042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c) transdermální – lékové formy vyšších generací, řízené uvolňování (tzv. TTS), př. Evra (HAK), nikotinová náplast, opioidní analgetika</w:t>
      </w:r>
    </w:p>
    <w:p w:rsidR="00B17A54" w:rsidRPr="00B17A54" w:rsidRDefault="00B17A54" w:rsidP="0042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d) transnazální – velké prokrvení nosní sliznice, ale lokální dráždivost nebo možnost narušení funkce cilií, př. kalcitonin, antimigrenika</w:t>
      </w:r>
    </w:p>
    <w:p w:rsidR="00B17A54" w:rsidRPr="00B17A54" w:rsidRDefault="00B17A54" w:rsidP="0042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e) vaginální – př. Nuvaring (HAK)</w:t>
      </w:r>
    </w:p>
    <w:p w:rsidR="00B17A54" w:rsidRPr="00B17A54" w:rsidRDefault="00B17A54" w:rsidP="0042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  <w:u w:val="single"/>
        </w:rPr>
        <w:t>2. Injekční aplikace</w:t>
      </w:r>
    </w:p>
    <w:p w:rsidR="00B17A54" w:rsidRPr="00B17A54" w:rsidRDefault="00B17A54" w:rsidP="0042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a) injekce – malý objem kapaliny, i.v. aplikace – rychlý nástup účinku, i.m., s.c. – depo ve tkáni, postupná absorpce do krevního oběhu</w:t>
      </w:r>
    </w:p>
    <w:p w:rsidR="00B17A54" w:rsidRPr="00B17A54" w:rsidRDefault="00B17A54" w:rsidP="00422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b) infuze – větší objemy kapaliny, parenterální výživa, minerály, glukóza, ATB, cytostatika atd.</w:t>
      </w:r>
    </w:p>
    <w:p w:rsidR="00B17A54" w:rsidRDefault="00B17A54" w:rsidP="00422781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</w:p>
    <w:p w:rsidR="00C42DD4" w:rsidRPr="00C42DD4" w:rsidRDefault="00C42DD4" w:rsidP="00C4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C42DD4" w:rsidRPr="00C42DD4" w:rsidSect="00B17A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8E2"/>
    <w:multiLevelType w:val="hybridMultilevel"/>
    <w:tmpl w:val="504E21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176270"/>
    <w:multiLevelType w:val="hybridMultilevel"/>
    <w:tmpl w:val="48A6A0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007568"/>
    <w:multiLevelType w:val="hybridMultilevel"/>
    <w:tmpl w:val="E092D3EE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283E53"/>
    <w:multiLevelType w:val="hybridMultilevel"/>
    <w:tmpl w:val="831ADC44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B83A08"/>
    <w:multiLevelType w:val="hybridMultilevel"/>
    <w:tmpl w:val="1D28F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05D6B"/>
    <w:multiLevelType w:val="hybridMultilevel"/>
    <w:tmpl w:val="F0D830F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19443A"/>
    <w:multiLevelType w:val="hybridMultilevel"/>
    <w:tmpl w:val="428ED0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235F6A"/>
    <w:multiLevelType w:val="hybridMultilevel"/>
    <w:tmpl w:val="3CFCE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14C42"/>
    <w:multiLevelType w:val="hybridMultilevel"/>
    <w:tmpl w:val="8158951A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7F477D"/>
    <w:multiLevelType w:val="hybridMultilevel"/>
    <w:tmpl w:val="73445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6C08CA"/>
    <w:multiLevelType w:val="hybridMultilevel"/>
    <w:tmpl w:val="DFC89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E6EA5"/>
    <w:multiLevelType w:val="hybridMultilevel"/>
    <w:tmpl w:val="FE2ECE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0"/>
  </w:num>
  <w:num w:numId="5">
    <w:abstractNumId w:val="5"/>
  </w:num>
  <w:num w:numId="6">
    <w:abstractNumId w:val="11"/>
  </w:num>
  <w:num w:numId="7">
    <w:abstractNumId w:val="6"/>
  </w:num>
  <w:num w:numId="8">
    <w:abstractNumId w:val="1"/>
  </w:num>
  <w:num w:numId="9">
    <w:abstractNumId w:val="2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54"/>
    <w:rsid w:val="00422781"/>
    <w:rsid w:val="008469D4"/>
    <w:rsid w:val="009762E8"/>
    <w:rsid w:val="009827BA"/>
    <w:rsid w:val="009E1F67"/>
    <w:rsid w:val="00B17A54"/>
    <w:rsid w:val="00C42DD4"/>
    <w:rsid w:val="00E5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7A5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17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7A5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17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janam</dc:creator>
  <cp:lastModifiedBy>japis</cp:lastModifiedBy>
  <cp:revision>2</cp:revision>
  <dcterms:created xsi:type="dcterms:W3CDTF">2016-09-21T08:50:00Z</dcterms:created>
  <dcterms:modified xsi:type="dcterms:W3CDTF">2016-09-21T08:50:00Z</dcterms:modified>
</cp:coreProperties>
</file>