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AC" w:rsidRDefault="00DF07E3" w:rsidP="00B22DA6">
      <w:pPr>
        <w:spacing w:line="276" w:lineRule="auto"/>
        <w:jc w:val="center"/>
        <w:rPr>
          <w:b/>
        </w:rPr>
      </w:pPr>
      <w:r w:rsidRPr="002713E2">
        <w:rPr>
          <w:b/>
        </w:rPr>
        <w:t>GIT</w:t>
      </w:r>
    </w:p>
    <w:p w:rsidR="00DF07E3" w:rsidRPr="002713E2" w:rsidRDefault="00DF07E3" w:rsidP="00B22DA6">
      <w:pPr>
        <w:spacing w:line="276" w:lineRule="auto"/>
      </w:pPr>
    </w:p>
    <w:p w:rsidR="00DF07E3" w:rsidRDefault="00B22DA6" w:rsidP="00B22DA6">
      <w:pPr>
        <w:spacing w:line="276" w:lineRule="auto"/>
      </w:pPr>
      <w:r>
        <w:t xml:space="preserve">Antidiaroika (obstipancia) – </w:t>
      </w:r>
      <w:r w:rsidR="00DF07E3" w:rsidRPr="002713E2">
        <w:t>léčiva působící proti průjmu</w:t>
      </w:r>
    </w:p>
    <w:p w:rsidR="00605712" w:rsidRPr="00605712" w:rsidRDefault="00605712" w:rsidP="00B22DA6">
      <w:pPr>
        <w:spacing w:line="276" w:lineRule="auto"/>
        <w:rPr>
          <w:sz w:val="10"/>
          <w:szCs w:val="10"/>
        </w:rPr>
      </w:pPr>
    </w:p>
    <w:p w:rsidR="00EE5536" w:rsidRPr="002713E2" w:rsidRDefault="00EB74AF" w:rsidP="00B22DA6">
      <w:pPr>
        <w:pStyle w:val="Odstavecseseznamem"/>
        <w:numPr>
          <w:ilvl w:val="0"/>
          <w:numId w:val="3"/>
        </w:numPr>
        <w:spacing w:line="276" w:lineRule="auto"/>
      </w:pPr>
      <w:r w:rsidRPr="002713E2">
        <w:rPr>
          <w:b/>
        </w:rPr>
        <w:t>střevní adsorbencia</w:t>
      </w:r>
      <w:r w:rsidR="00EE5536" w:rsidRPr="002713E2">
        <w:t>: carbo medicinalis, diosmektit</w:t>
      </w:r>
      <w:r w:rsidRPr="002713E2">
        <w:t xml:space="preserve"> </w:t>
      </w:r>
    </w:p>
    <w:p w:rsidR="00DB23E2" w:rsidRPr="002713E2" w:rsidRDefault="00EB74AF" w:rsidP="00B22DA6">
      <w:pPr>
        <w:pStyle w:val="Odstavecseseznamem"/>
        <w:numPr>
          <w:ilvl w:val="0"/>
          <w:numId w:val="3"/>
        </w:numPr>
        <w:spacing w:line="276" w:lineRule="auto"/>
      </w:pPr>
      <w:r w:rsidRPr="002713E2">
        <w:rPr>
          <w:b/>
        </w:rPr>
        <w:t>střevní dezinficiencia</w:t>
      </w:r>
      <w:r w:rsidR="00EE5536" w:rsidRPr="002713E2">
        <w:rPr>
          <w:b/>
        </w:rPr>
        <w:t>:</w:t>
      </w:r>
      <w:r w:rsidR="00EE5536" w:rsidRPr="002713E2">
        <w:t xml:space="preserve"> cloroxin, nifuroxazid, rifaximin</w:t>
      </w:r>
    </w:p>
    <w:p w:rsidR="00DB23E2" w:rsidRPr="002713E2" w:rsidRDefault="00EB74AF" w:rsidP="00B22DA6">
      <w:pPr>
        <w:pStyle w:val="Odstavecseseznamem"/>
        <w:numPr>
          <w:ilvl w:val="0"/>
          <w:numId w:val="3"/>
        </w:numPr>
        <w:spacing w:line="276" w:lineRule="auto"/>
      </w:pPr>
      <w:r w:rsidRPr="002713E2">
        <w:rPr>
          <w:b/>
        </w:rPr>
        <w:t>látky snižující peristaltiku = opioidy</w:t>
      </w:r>
      <w:r w:rsidR="00EE5536" w:rsidRPr="002713E2">
        <w:rPr>
          <w:b/>
        </w:rPr>
        <w:t>:</w:t>
      </w:r>
      <w:r w:rsidR="00260103" w:rsidRPr="002713E2">
        <w:t xml:space="preserve"> l</w:t>
      </w:r>
      <w:r w:rsidR="00EE5536" w:rsidRPr="002713E2">
        <w:t>operamid, difenoxylát</w:t>
      </w:r>
    </w:p>
    <w:p w:rsidR="00614181" w:rsidRPr="002713E2" w:rsidRDefault="00EB74AF" w:rsidP="00B22DA6">
      <w:pPr>
        <w:pStyle w:val="Odstavecseseznamem"/>
        <w:numPr>
          <w:ilvl w:val="0"/>
          <w:numId w:val="3"/>
        </w:numPr>
        <w:spacing w:line="276" w:lineRule="auto"/>
      </w:pPr>
      <w:r w:rsidRPr="002713E2">
        <w:rPr>
          <w:b/>
        </w:rPr>
        <w:t>ostatní antidiaroika</w:t>
      </w:r>
      <w:r w:rsidR="00EE5536" w:rsidRPr="002713E2">
        <w:rPr>
          <w:b/>
        </w:rPr>
        <w:t>:</w:t>
      </w:r>
      <w:r w:rsidR="00EE5536" w:rsidRPr="002713E2">
        <w:t xml:space="preserve"> </w:t>
      </w:r>
      <w:r w:rsidR="00614181" w:rsidRPr="002713E2">
        <w:rPr>
          <w:bCs/>
        </w:rPr>
        <w:t xml:space="preserve">Sacharomyces boulardi, </w:t>
      </w:r>
      <w:r w:rsidR="00614181" w:rsidRPr="002713E2">
        <w:t xml:space="preserve">drogy s obsahem tříslovin (tanin), </w:t>
      </w:r>
      <w:r w:rsidR="00614181" w:rsidRPr="002713E2">
        <w:rPr>
          <w:bCs/>
        </w:rPr>
        <w:t>cholestyramin, oktreotid</w:t>
      </w:r>
    </w:p>
    <w:p w:rsidR="00614181" w:rsidRPr="002713E2" w:rsidRDefault="00614181" w:rsidP="00B22DA6">
      <w:pPr>
        <w:pStyle w:val="Odstavecseseznamem"/>
        <w:spacing w:line="276" w:lineRule="auto"/>
      </w:pPr>
    </w:p>
    <w:p w:rsidR="00CD44D3" w:rsidRDefault="00260103" w:rsidP="00B22DA6">
      <w:pPr>
        <w:spacing w:line="276" w:lineRule="auto"/>
      </w:pPr>
      <w:r w:rsidRPr="002713E2">
        <w:t>Laxativa</w:t>
      </w:r>
      <w:r w:rsidR="00E54067" w:rsidRPr="002713E2">
        <w:t xml:space="preserve"> (projímadla)</w:t>
      </w:r>
    </w:p>
    <w:p w:rsidR="00605712" w:rsidRPr="00605712" w:rsidRDefault="00605712" w:rsidP="00B22DA6">
      <w:pPr>
        <w:spacing w:line="276" w:lineRule="auto"/>
        <w:rPr>
          <w:sz w:val="10"/>
          <w:szCs w:val="10"/>
        </w:rPr>
      </w:pPr>
    </w:p>
    <w:p w:rsidR="00DB23E2" w:rsidRPr="002713E2" w:rsidRDefault="00EB74AF" w:rsidP="00B22DA6">
      <w:pPr>
        <w:pStyle w:val="Odstavecseseznamem"/>
        <w:numPr>
          <w:ilvl w:val="0"/>
          <w:numId w:val="4"/>
        </w:numPr>
        <w:spacing w:line="276" w:lineRule="auto"/>
      </w:pPr>
      <w:r w:rsidRPr="002713E2">
        <w:rPr>
          <w:b/>
          <w:bCs/>
        </w:rPr>
        <w:t xml:space="preserve">Objemová </w:t>
      </w:r>
      <w:r w:rsidRPr="002713E2">
        <w:t>– tvorba objemné gelovité hmoty</w:t>
      </w:r>
      <w:r w:rsidR="00BD0A74" w:rsidRPr="002713E2">
        <w:t>; nutný dostatečný příjem vody</w:t>
      </w:r>
    </w:p>
    <w:p w:rsidR="00E93ADC" w:rsidRDefault="00E54067" w:rsidP="00966BD7">
      <w:pPr>
        <w:pStyle w:val="Odstavecseseznamem"/>
        <w:numPr>
          <w:ilvl w:val="1"/>
          <w:numId w:val="14"/>
        </w:numPr>
        <w:spacing w:line="276" w:lineRule="auto"/>
      </w:pPr>
      <w:r w:rsidRPr="002713E2">
        <w:rPr>
          <w:bCs/>
        </w:rPr>
        <w:t>přírodní</w:t>
      </w:r>
      <w:r w:rsidRPr="002713E2">
        <w:t>: agar, psyllium, tragant</w:t>
      </w:r>
    </w:p>
    <w:p w:rsidR="00E54067" w:rsidRDefault="00E54067" w:rsidP="00966BD7">
      <w:pPr>
        <w:pStyle w:val="Odstavecseseznamem"/>
        <w:numPr>
          <w:ilvl w:val="1"/>
          <w:numId w:val="14"/>
        </w:numPr>
        <w:spacing w:line="276" w:lineRule="auto"/>
      </w:pPr>
      <w:r w:rsidRPr="002713E2">
        <w:t xml:space="preserve">semisyntetické: </w:t>
      </w:r>
      <w:r w:rsidRPr="00E93ADC">
        <w:rPr>
          <w:bCs/>
        </w:rPr>
        <w:t>methylcelulóza, karboxymethylcelulóza</w:t>
      </w:r>
      <w:r w:rsidRPr="002713E2">
        <w:t xml:space="preserve"> </w:t>
      </w:r>
    </w:p>
    <w:p w:rsidR="005F1527" w:rsidRPr="005F1527" w:rsidRDefault="005F1527" w:rsidP="005F1527">
      <w:pPr>
        <w:pStyle w:val="Odstavecseseznamem"/>
        <w:spacing w:line="276" w:lineRule="auto"/>
        <w:ind w:left="1500"/>
        <w:rPr>
          <w:sz w:val="4"/>
          <w:szCs w:val="4"/>
        </w:rPr>
      </w:pPr>
    </w:p>
    <w:p w:rsidR="00DB23E2" w:rsidRPr="002713E2" w:rsidRDefault="00EB74AF" w:rsidP="00B22DA6">
      <w:pPr>
        <w:pStyle w:val="Odstavecseseznamem"/>
        <w:numPr>
          <w:ilvl w:val="0"/>
          <w:numId w:val="4"/>
        </w:numPr>
        <w:spacing w:line="276" w:lineRule="auto"/>
      </w:pPr>
      <w:r w:rsidRPr="002713E2">
        <w:rPr>
          <w:b/>
          <w:bCs/>
        </w:rPr>
        <w:t>Salinická</w:t>
      </w:r>
      <w:r w:rsidRPr="002713E2">
        <w:t xml:space="preserve"> – anorganické ionty vážou vodu</w:t>
      </w:r>
    </w:p>
    <w:p w:rsidR="00E54067" w:rsidRDefault="00E54067" w:rsidP="00966BD7">
      <w:pPr>
        <w:pStyle w:val="Odstavecseseznamem"/>
        <w:numPr>
          <w:ilvl w:val="1"/>
          <w:numId w:val="15"/>
        </w:numPr>
        <w:spacing w:line="276" w:lineRule="auto"/>
        <w:rPr>
          <w:bCs/>
        </w:rPr>
      </w:pPr>
      <w:r w:rsidRPr="002713E2">
        <w:rPr>
          <w:bCs/>
        </w:rPr>
        <w:t xml:space="preserve">síran sodný </w:t>
      </w:r>
      <w:r w:rsidRPr="002713E2">
        <w:t xml:space="preserve">(Glauberova sůl), </w:t>
      </w:r>
      <w:r w:rsidRPr="002713E2">
        <w:rPr>
          <w:bCs/>
        </w:rPr>
        <w:t xml:space="preserve">síran hořečnatý </w:t>
      </w:r>
      <w:r w:rsidRPr="002713E2">
        <w:t xml:space="preserve">(Hořká sůl), </w:t>
      </w:r>
      <w:r w:rsidRPr="002713E2">
        <w:rPr>
          <w:bCs/>
        </w:rPr>
        <w:t>minerální vody</w:t>
      </w:r>
    </w:p>
    <w:p w:rsidR="005F1527" w:rsidRPr="005F1527" w:rsidRDefault="005F1527" w:rsidP="00B22DA6">
      <w:pPr>
        <w:pStyle w:val="Odstavecseseznamem"/>
        <w:spacing w:line="276" w:lineRule="auto"/>
        <w:ind w:left="780"/>
        <w:rPr>
          <w:sz w:val="4"/>
          <w:szCs w:val="4"/>
        </w:rPr>
      </w:pPr>
    </w:p>
    <w:p w:rsidR="00DB23E2" w:rsidRPr="002713E2" w:rsidRDefault="00EB74AF" w:rsidP="00B22DA6">
      <w:pPr>
        <w:pStyle w:val="Odstavecseseznamem"/>
        <w:numPr>
          <w:ilvl w:val="0"/>
          <w:numId w:val="4"/>
        </w:numPr>
        <w:spacing w:line="276" w:lineRule="auto"/>
      </w:pPr>
      <w:r w:rsidRPr="002713E2">
        <w:rPr>
          <w:b/>
          <w:bCs/>
        </w:rPr>
        <w:t xml:space="preserve">Osmotická </w:t>
      </w:r>
      <w:r w:rsidRPr="002713E2">
        <w:t xml:space="preserve">– osmoticky aktivní organické látky vážou vodu </w:t>
      </w:r>
    </w:p>
    <w:p w:rsidR="00E54067" w:rsidRDefault="00E54067" w:rsidP="00966BD7">
      <w:pPr>
        <w:pStyle w:val="Odstavecseseznamem"/>
        <w:numPr>
          <w:ilvl w:val="1"/>
          <w:numId w:val="16"/>
        </w:numPr>
        <w:spacing w:line="276" w:lineRule="auto"/>
        <w:rPr>
          <w:bCs/>
        </w:rPr>
      </w:pPr>
      <w:r w:rsidRPr="002713E2">
        <w:rPr>
          <w:bCs/>
        </w:rPr>
        <w:t>laktulóza, glukóza, sorbitol (</w:t>
      </w:r>
      <w:r w:rsidR="00CD44D3" w:rsidRPr="002713E2">
        <w:rPr>
          <w:bCs/>
        </w:rPr>
        <w:t xml:space="preserve">např. </w:t>
      </w:r>
      <w:r w:rsidRPr="002713E2">
        <w:rPr>
          <w:bCs/>
        </w:rPr>
        <w:t>klysmata ženy před porodem), m</w:t>
      </w:r>
      <w:r w:rsidR="00CD44D3" w:rsidRPr="002713E2">
        <w:rPr>
          <w:bCs/>
        </w:rPr>
        <w:t>ak</w:t>
      </w:r>
      <w:r w:rsidRPr="002713E2">
        <w:rPr>
          <w:bCs/>
        </w:rPr>
        <w:t>rogol 4000</w:t>
      </w:r>
      <w:r w:rsidR="00CD44D3" w:rsidRPr="002713E2">
        <w:rPr>
          <w:bCs/>
        </w:rPr>
        <w:t xml:space="preserve"> (před diagnostickými a chirurgickými výkony)</w:t>
      </w:r>
    </w:p>
    <w:p w:rsidR="005F1527" w:rsidRPr="005F1527" w:rsidRDefault="005F1527" w:rsidP="00B22DA6">
      <w:pPr>
        <w:pStyle w:val="Odstavecseseznamem"/>
        <w:spacing w:line="276" w:lineRule="auto"/>
        <w:ind w:left="780"/>
        <w:rPr>
          <w:sz w:val="4"/>
          <w:szCs w:val="4"/>
        </w:rPr>
      </w:pPr>
    </w:p>
    <w:p w:rsidR="00DB23E2" w:rsidRPr="002713E2" w:rsidRDefault="00EB74AF" w:rsidP="00B22DA6">
      <w:pPr>
        <w:pStyle w:val="Odstavecseseznamem"/>
        <w:numPr>
          <w:ilvl w:val="0"/>
          <w:numId w:val="4"/>
        </w:numPr>
        <w:spacing w:line="276" w:lineRule="auto"/>
      </w:pPr>
      <w:r w:rsidRPr="002713E2">
        <w:rPr>
          <w:b/>
          <w:bCs/>
        </w:rPr>
        <w:t>Kontaktní</w:t>
      </w:r>
      <w:r w:rsidRPr="002713E2">
        <w:t xml:space="preserve"> – látky dráždící stěnu střevní</w:t>
      </w:r>
      <w:r w:rsidR="00CD44D3" w:rsidRPr="002713E2">
        <w:t>, nepodávat dlouhodobě</w:t>
      </w:r>
    </w:p>
    <w:p w:rsidR="00BD0A74" w:rsidRPr="002713E2" w:rsidRDefault="00BD0A74" w:rsidP="00966BD7">
      <w:pPr>
        <w:pStyle w:val="Odstavecseseznamem"/>
        <w:numPr>
          <w:ilvl w:val="1"/>
          <w:numId w:val="17"/>
        </w:numPr>
        <w:spacing w:line="276" w:lineRule="auto"/>
      </w:pPr>
      <w:r w:rsidRPr="002713E2">
        <w:rPr>
          <w:bCs/>
        </w:rPr>
        <w:t>KI</w:t>
      </w:r>
      <w:r w:rsidRPr="002713E2">
        <w:t>:</w:t>
      </w:r>
      <w:r w:rsidRPr="002713E2">
        <w:rPr>
          <w:rFonts w:asciiTheme="minorHAnsi" w:eastAsiaTheme="minorEastAsia" w:hAnsi="Calibri"/>
          <w:color w:val="000000" w:themeColor="text1"/>
          <w:kern w:val="24"/>
          <w:sz w:val="52"/>
          <w:szCs w:val="52"/>
        </w:rPr>
        <w:t xml:space="preserve"> </w:t>
      </w:r>
      <w:r w:rsidRPr="002713E2">
        <w:t>gravidita (riziko abortu), kojící</w:t>
      </w:r>
    </w:p>
    <w:p w:rsidR="00CD44D3" w:rsidRPr="002713E2" w:rsidRDefault="00BD0A74" w:rsidP="00966BD7">
      <w:pPr>
        <w:pStyle w:val="Odstavecseseznamem"/>
        <w:numPr>
          <w:ilvl w:val="1"/>
          <w:numId w:val="17"/>
        </w:numPr>
        <w:spacing w:line="276" w:lineRule="auto"/>
      </w:pPr>
      <w:r w:rsidRPr="002713E2">
        <w:rPr>
          <w:bCs/>
        </w:rPr>
        <w:t>bisacodyl, p</w:t>
      </w:r>
      <w:r w:rsidR="00CD44D3" w:rsidRPr="002713E2">
        <w:rPr>
          <w:bCs/>
        </w:rPr>
        <w:t>ikosulfát</w:t>
      </w:r>
      <w:r w:rsidRPr="002713E2">
        <w:rPr>
          <w:bCs/>
        </w:rPr>
        <w:t>, a</w:t>
      </w:r>
      <w:r w:rsidR="00CD44D3" w:rsidRPr="002713E2">
        <w:rPr>
          <w:bCs/>
        </w:rPr>
        <w:t>ntrachinony</w:t>
      </w:r>
      <w:r w:rsidRPr="002713E2">
        <w:rPr>
          <w:bCs/>
        </w:rPr>
        <w:t xml:space="preserve"> </w:t>
      </w:r>
      <w:r w:rsidRPr="002713E2">
        <w:rPr>
          <w:b/>
          <w:bCs/>
        </w:rPr>
        <w:sym w:font="Symbol" w:char="F0AE"/>
      </w:r>
      <w:r w:rsidRPr="002713E2">
        <w:rPr>
          <w:b/>
          <w:bCs/>
        </w:rPr>
        <w:t xml:space="preserve"> </w:t>
      </w:r>
      <w:r w:rsidR="00CD44D3" w:rsidRPr="002713E2">
        <w:t xml:space="preserve">list a plod </w:t>
      </w:r>
      <w:r w:rsidR="003B4DA1" w:rsidRPr="002713E2">
        <w:t>sen</w:t>
      </w:r>
      <w:r w:rsidR="00592A11">
        <w:t>n</w:t>
      </w:r>
      <w:r w:rsidR="003B4DA1" w:rsidRPr="002713E2">
        <w:t>y</w:t>
      </w:r>
      <w:bookmarkStart w:id="0" w:name="_GoBack"/>
      <w:bookmarkEnd w:id="0"/>
      <w:r w:rsidR="00CD44D3" w:rsidRPr="002713E2">
        <w:t>, šťáva aloe, kořen reveně</w:t>
      </w:r>
    </w:p>
    <w:p w:rsidR="00CD44D3" w:rsidRPr="002713E2" w:rsidRDefault="00CD44D3" w:rsidP="00B22DA6">
      <w:pPr>
        <w:pStyle w:val="Odstavecseseznamem"/>
        <w:spacing w:line="276" w:lineRule="auto"/>
        <w:ind w:left="780"/>
      </w:pPr>
    </w:p>
    <w:p w:rsidR="00E54067" w:rsidRDefault="00BD0A74" w:rsidP="00B22DA6">
      <w:pPr>
        <w:spacing w:line="276" w:lineRule="auto"/>
      </w:pPr>
      <w:r w:rsidRPr="002713E2">
        <w:t>Spasmolytika</w:t>
      </w:r>
    </w:p>
    <w:p w:rsidR="00605712" w:rsidRPr="00605712" w:rsidRDefault="00605712" w:rsidP="00B22DA6">
      <w:pPr>
        <w:spacing w:line="276" w:lineRule="auto"/>
        <w:rPr>
          <w:sz w:val="10"/>
          <w:szCs w:val="10"/>
        </w:rPr>
      </w:pPr>
    </w:p>
    <w:p w:rsidR="000C6146" w:rsidRPr="002713E2" w:rsidRDefault="000C6146" w:rsidP="00B22DA6">
      <w:pPr>
        <w:pStyle w:val="Odstavecseseznamem"/>
        <w:numPr>
          <w:ilvl w:val="0"/>
          <w:numId w:val="7"/>
        </w:numPr>
        <w:spacing w:line="276" w:lineRule="auto"/>
      </w:pPr>
      <w:r w:rsidRPr="002713E2">
        <w:t>často</w:t>
      </w:r>
      <w:r w:rsidR="00C952CC" w:rsidRPr="002713E2">
        <w:t xml:space="preserve"> </w:t>
      </w:r>
      <w:r w:rsidRPr="002713E2">
        <w:t>se kombinují</w:t>
      </w:r>
      <w:r w:rsidR="00A03D19" w:rsidRPr="002713E2">
        <w:t xml:space="preserve"> s analgetiky (např. s</w:t>
      </w:r>
      <w:r w:rsidR="006C6F85" w:rsidRPr="002713E2">
        <w:t> </w:t>
      </w:r>
      <w:r w:rsidR="00A03D19" w:rsidRPr="002713E2">
        <w:t>metamizolem</w:t>
      </w:r>
      <w:r w:rsidR="006C6F85" w:rsidRPr="002713E2">
        <w:t>, kodeinem</w:t>
      </w:r>
      <w:r w:rsidR="00C952CC" w:rsidRPr="002713E2">
        <w:t>)</w:t>
      </w:r>
    </w:p>
    <w:p w:rsidR="000C6146" w:rsidRPr="002713E2" w:rsidRDefault="000C6146" w:rsidP="00B22DA6">
      <w:pPr>
        <w:pStyle w:val="Odstavecseseznamem"/>
        <w:numPr>
          <w:ilvl w:val="0"/>
          <w:numId w:val="4"/>
        </w:numPr>
        <w:spacing w:line="276" w:lineRule="auto"/>
        <w:ind w:left="709"/>
      </w:pPr>
      <w:r w:rsidRPr="002713E2">
        <w:rPr>
          <w:b/>
          <w:bCs/>
        </w:rPr>
        <w:t>Rozdělení:</w:t>
      </w:r>
    </w:p>
    <w:p w:rsidR="000F4B9D" w:rsidRPr="002713E2" w:rsidRDefault="000F4B9D" w:rsidP="00966BD7">
      <w:pPr>
        <w:pStyle w:val="Odstavecseseznamem"/>
        <w:numPr>
          <w:ilvl w:val="1"/>
          <w:numId w:val="18"/>
        </w:numPr>
        <w:spacing w:line="276" w:lineRule="auto"/>
      </w:pPr>
      <w:r w:rsidRPr="002713E2">
        <w:rPr>
          <w:b/>
          <w:bCs/>
        </w:rPr>
        <w:t xml:space="preserve">Neurotropní spasmolytika </w:t>
      </w:r>
      <w:r w:rsidRPr="002713E2">
        <w:t>→ účinkují prostřednictvím VNS</w:t>
      </w:r>
    </w:p>
    <w:p w:rsidR="000F4B9D" w:rsidRPr="002713E2" w:rsidRDefault="00C952CC" w:rsidP="00966BD7">
      <w:pPr>
        <w:pStyle w:val="Odstavecseseznamem"/>
        <w:numPr>
          <w:ilvl w:val="2"/>
          <w:numId w:val="20"/>
        </w:numPr>
        <w:spacing w:line="276" w:lineRule="auto"/>
      </w:pPr>
      <w:r w:rsidRPr="002713E2">
        <w:t>Parasympatolytika:</w:t>
      </w:r>
      <w:r w:rsidR="00D6631F" w:rsidRPr="002713E2">
        <w:t xml:space="preserve"> atropin, trospiu</w:t>
      </w:r>
      <w:r w:rsidR="008F6CF6" w:rsidRPr="002713E2">
        <w:t>m, tolterodin</w:t>
      </w:r>
    </w:p>
    <w:p w:rsidR="000C6146" w:rsidRPr="002713E2" w:rsidRDefault="000C6146" w:rsidP="00966BD7">
      <w:pPr>
        <w:pStyle w:val="Odstavecseseznamem"/>
        <w:numPr>
          <w:ilvl w:val="2"/>
          <w:numId w:val="20"/>
        </w:numPr>
        <w:spacing w:line="276" w:lineRule="auto"/>
      </w:pPr>
      <w:r w:rsidRPr="002713E2">
        <w:t>Anticholinergika: otilonium, fenpiverin</w:t>
      </w:r>
    </w:p>
    <w:p w:rsidR="008F6CF6" w:rsidRPr="002713E2" w:rsidRDefault="008F6CF6" w:rsidP="00966BD7">
      <w:pPr>
        <w:pStyle w:val="Odstavecseseznamem"/>
        <w:numPr>
          <w:ilvl w:val="2"/>
          <w:numId w:val="20"/>
        </w:numPr>
        <w:spacing w:line="276" w:lineRule="auto"/>
      </w:pPr>
      <w:r w:rsidRPr="002713E2">
        <w:t xml:space="preserve">Uroselektivní: </w:t>
      </w:r>
      <w:r w:rsidR="00C549F5" w:rsidRPr="002713E2">
        <w:t>solifenacin, darifenacin</w:t>
      </w:r>
      <w:r w:rsidRPr="002713E2">
        <w:t xml:space="preserve"> </w:t>
      </w:r>
    </w:p>
    <w:p w:rsidR="000C6146" w:rsidRPr="00605712" w:rsidRDefault="000C6146" w:rsidP="00B22DA6">
      <w:pPr>
        <w:pStyle w:val="Odstavecseseznamem"/>
        <w:spacing w:line="276" w:lineRule="auto"/>
        <w:ind w:left="1500"/>
        <w:rPr>
          <w:sz w:val="16"/>
          <w:szCs w:val="16"/>
        </w:rPr>
      </w:pPr>
    </w:p>
    <w:p w:rsidR="000F4B9D" w:rsidRPr="002713E2" w:rsidRDefault="000F4B9D" w:rsidP="00966BD7">
      <w:pPr>
        <w:pStyle w:val="Odstavecseseznamem"/>
        <w:numPr>
          <w:ilvl w:val="1"/>
          <w:numId w:val="19"/>
        </w:numPr>
        <w:spacing w:line="276" w:lineRule="auto"/>
      </w:pPr>
      <w:r w:rsidRPr="002713E2">
        <w:rPr>
          <w:b/>
          <w:bCs/>
        </w:rPr>
        <w:t xml:space="preserve">Myotropní spasmolytika </w:t>
      </w:r>
      <w:r w:rsidRPr="002713E2">
        <w:t xml:space="preserve">→ přímo ovlivňují buňky hladkého svalstva </w:t>
      </w:r>
    </w:p>
    <w:p w:rsidR="004868F0" w:rsidRPr="002713E2" w:rsidRDefault="006C6F85" w:rsidP="00966BD7">
      <w:pPr>
        <w:pStyle w:val="Odstavecseseznamem"/>
        <w:numPr>
          <w:ilvl w:val="2"/>
          <w:numId w:val="21"/>
        </w:numPr>
        <w:spacing w:line="276" w:lineRule="auto"/>
      </w:pPr>
      <w:r w:rsidRPr="002713E2">
        <w:t>mají různé mechanismy účinku, především blok pomalých Ca</w:t>
      </w:r>
      <w:r w:rsidRPr="002713E2">
        <w:rPr>
          <w:vertAlign w:val="superscript"/>
        </w:rPr>
        <w:t xml:space="preserve">2+ </w:t>
      </w:r>
      <w:r w:rsidRPr="002713E2">
        <w:t>kanálů, aktivace K</w:t>
      </w:r>
      <w:r w:rsidRPr="002713E2">
        <w:rPr>
          <w:vertAlign w:val="superscript"/>
        </w:rPr>
        <w:t>+</w:t>
      </w:r>
      <w:r w:rsidRPr="002713E2">
        <w:t xml:space="preserve"> kanálů, zásah do biochemie svalové kontrakce</w:t>
      </w:r>
    </w:p>
    <w:p w:rsidR="00C549F5" w:rsidRDefault="006C6F85" w:rsidP="00966BD7">
      <w:pPr>
        <w:pStyle w:val="Odstavecseseznamem"/>
        <w:numPr>
          <w:ilvl w:val="2"/>
          <w:numId w:val="21"/>
        </w:numPr>
        <w:spacing w:line="276" w:lineRule="auto"/>
      </w:pPr>
      <w:r w:rsidRPr="002713E2">
        <w:t>papaverin, drotaverin, mebeverin, alverin, pitofenon</w:t>
      </w:r>
    </w:p>
    <w:p w:rsidR="00605712" w:rsidRPr="00605712" w:rsidRDefault="00605712" w:rsidP="00605712">
      <w:pPr>
        <w:pStyle w:val="Odstavecseseznamem"/>
        <w:spacing w:line="276" w:lineRule="auto"/>
        <w:ind w:left="2220"/>
        <w:rPr>
          <w:sz w:val="6"/>
          <w:szCs w:val="6"/>
        </w:rPr>
      </w:pPr>
    </w:p>
    <w:p w:rsidR="002713E2" w:rsidRDefault="002713E2" w:rsidP="00B22DA6">
      <w:pPr>
        <w:pStyle w:val="Odstavecseseznamem"/>
        <w:numPr>
          <w:ilvl w:val="0"/>
          <w:numId w:val="4"/>
        </w:numPr>
        <w:spacing w:line="276" w:lineRule="auto"/>
      </w:pPr>
      <w:r w:rsidRPr="002713E2">
        <w:t>pro optimální účinek se často kombinuje neurotropní a myotropní spasmolytikum</w:t>
      </w:r>
      <w:r>
        <w:t xml:space="preserve"> (+analgetikum)</w:t>
      </w:r>
    </w:p>
    <w:p w:rsidR="00B22DA6" w:rsidRDefault="00B22DA6" w:rsidP="00B22DA6">
      <w:pPr>
        <w:spacing w:line="276" w:lineRule="auto"/>
      </w:pPr>
    </w:p>
    <w:p w:rsidR="00B22DA6" w:rsidRDefault="00B22DA6" w:rsidP="00B22DA6">
      <w:pPr>
        <w:spacing w:line="276" w:lineRule="auto"/>
      </w:pPr>
      <w:r>
        <w:t>Prokinetika</w:t>
      </w:r>
    </w:p>
    <w:p w:rsidR="00605712" w:rsidRPr="00605712" w:rsidRDefault="00605712" w:rsidP="00B22DA6">
      <w:pPr>
        <w:spacing w:line="276" w:lineRule="auto"/>
        <w:rPr>
          <w:sz w:val="10"/>
          <w:szCs w:val="10"/>
        </w:rPr>
      </w:pPr>
    </w:p>
    <w:p w:rsidR="00B22DA6" w:rsidRDefault="00B22DA6" w:rsidP="00B22DA6">
      <w:pPr>
        <w:pStyle w:val="Odstavecseseznamem"/>
        <w:numPr>
          <w:ilvl w:val="0"/>
          <w:numId w:val="9"/>
        </w:numPr>
        <w:spacing w:line="276" w:lineRule="auto"/>
      </w:pPr>
      <w:r>
        <w:t xml:space="preserve">selektivně </w:t>
      </w:r>
      <w:r w:rsidR="007E16E1">
        <w:t>stimulují hladkou svalovinu v trávicím ústrojí (především v proximální části)</w:t>
      </w:r>
    </w:p>
    <w:p w:rsidR="007E16E1" w:rsidRDefault="007E16E1" w:rsidP="00B22DA6">
      <w:pPr>
        <w:pStyle w:val="Odstavecseseznamem"/>
        <w:numPr>
          <w:ilvl w:val="0"/>
          <w:numId w:val="9"/>
        </w:numPr>
        <w:spacing w:line="276" w:lineRule="auto"/>
      </w:pPr>
      <w:r>
        <w:t>některá z nich se používají také jako antiemetika</w:t>
      </w:r>
    </w:p>
    <w:p w:rsidR="007E16E1" w:rsidRPr="007E16E1" w:rsidRDefault="007E16E1" w:rsidP="007E16E1">
      <w:pPr>
        <w:pStyle w:val="Odstavecseseznamem"/>
        <w:numPr>
          <w:ilvl w:val="0"/>
          <w:numId w:val="9"/>
        </w:numPr>
        <w:spacing w:line="276" w:lineRule="auto"/>
        <w:rPr>
          <w:lang w:val="en-US"/>
        </w:rPr>
      </w:pPr>
      <w:r>
        <w:t>MÚ:</w:t>
      </w:r>
      <w:r w:rsidRPr="007E16E1">
        <w:rPr>
          <w:rFonts w:asciiTheme="minorHAnsi" w:eastAsiaTheme="minorEastAsia" w:hAnsi="Calibri"/>
          <w:color w:val="004CE4"/>
          <w:kern w:val="24"/>
          <w:sz w:val="52"/>
          <w:szCs w:val="52"/>
        </w:rPr>
        <w:t xml:space="preserve"> </w:t>
      </w:r>
      <w:r w:rsidRPr="007E16E1">
        <w:t>antagonismus D</w:t>
      </w:r>
      <w:r w:rsidRPr="007E16E1">
        <w:rPr>
          <w:vertAlign w:val="subscript"/>
        </w:rPr>
        <w:t>2</w:t>
      </w:r>
      <w:r>
        <w:t>-receptorů (</w:t>
      </w:r>
      <w:r w:rsidRPr="007E16E1">
        <w:t>CNS i na periferii</w:t>
      </w:r>
      <w:r w:rsidR="000A51C5">
        <w:t>),</w:t>
      </w:r>
      <w:r>
        <w:t xml:space="preserve"> </w:t>
      </w:r>
      <w:r w:rsidRPr="007E16E1">
        <w:t>modulace 5-HT receptorů</w:t>
      </w:r>
    </w:p>
    <w:p w:rsidR="00BD0A74" w:rsidRPr="002713E2" w:rsidRDefault="00605712" w:rsidP="00B22DA6">
      <w:pPr>
        <w:pStyle w:val="Odstavecseseznamem"/>
        <w:numPr>
          <w:ilvl w:val="0"/>
          <w:numId w:val="9"/>
        </w:numPr>
        <w:spacing w:line="276" w:lineRule="auto"/>
        <w:ind w:left="709"/>
      </w:pPr>
      <w:r>
        <w:t>m</w:t>
      </w:r>
      <w:r w:rsidR="007E16E1">
        <w:t>etoclopramid, domperidon, itoprid</w:t>
      </w:r>
    </w:p>
    <w:sectPr w:rsidR="00BD0A74" w:rsidRPr="002713E2" w:rsidSect="005F1527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352"/>
    <w:multiLevelType w:val="hybridMultilevel"/>
    <w:tmpl w:val="2486B226"/>
    <w:lvl w:ilvl="0" w:tplc="DC82F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07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C5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62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E6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C2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C8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E6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023CB3"/>
    <w:multiLevelType w:val="hybridMultilevel"/>
    <w:tmpl w:val="B2AABE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6C0E308">
      <w:start w:val="1421"/>
      <w:numFmt w:val="bullet"/>
      <w:lvlText w:val="–"/>
      <w:lvlJc w:val="left"/>
      <w:pPr>
        <w:ind w:left="15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5464DB"/>
    <w:multiLevelType w:val="hybridMultilevel"/>
    <w:tmpl w:val="F4E0C2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D1757B9"/>
    <w:multiLevelType w:val="hybridMultilevel"/>
    <w:tmpl w:val="561A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06449"/>
    <w:multiLevelType w:val="hybridMultilevel"/>
    <w:tmpl w:val="2FFC4F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88E2D87"/>
    <w:multiLevelType w:val="hybridMultilevel"/>
    <w:tmpl w:val="B11A9EF4"/>
    <w:lvl w:ilvl="0" w:tplc="9830E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6A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CA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46A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CD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C2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A9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29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A7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F10D59"/>
    <w:multiLevelType w:val="hybridMultilevel"/>
    <w:tmpl w:val="783C0C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36C0E308">
      <w:start w:val="1421"/>
      <w:numFmt w:val="bullet"/>
      <w:lvlText w:val="–"/>
      <w:lvlJc w:val="left"/>
      <w:pPr>
        <w:ind w:left="222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8296C07"/>
    <w:multiLevelType w:val="hybridMultilevel"/>
    <w:tmpl w:val="0C56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76122"/>
    <w:multiLevelType w:val="hybridMultilevel"/>
    <w:tmpl w:val="3E38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16E97"/>
    <w:multiLevelType w:val="hybridMultilevel"/>
    <w:tmpl w:val="B4CEB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E7473"/>
    <w:multiLevelType w:val="hybridMultilevel"/>
    <w:tmpl w:val="63E4988C"/>
    <w:lvl w:ilvl="0" w:tplc="BE8A4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01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88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A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65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A8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E8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EB9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47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CE7D3C"/>
    <w:multiLevelType w:val="hybridMultilevel"/>
    <w:tmpl w:val="6A7EBB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0DE1B75"/>
    <w:multiLevelType w:val="hybridMultilevel"/>
    <w:tmpl w:val="1CA8A3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36C0E308">
      <w:start w:val="1421"/>
      <w:numFmt w:val="bullet"/>
      <w:lvlText w:val="–"/>
      <w:lvlJc w:val="left"/>
      <w:pPr>
        <w:ind w:left="222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6B534AD"/>
    <w:multiLevelType w:val="hybridMultilevel"/>
    <w:tmpl w:val="F934F5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6C0E308">
      <w:start w:val="1421"/>
      <w:numFmt w:val="bullet"/>
      <w:lvlText w:val="–"/>
      <w:lvlJc w:val="left"/>
      <w:pPr>
        <w:ind w:left="15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87B409C"/>
    <w:multiLevelType w:val="hybridMultilevel"/>
    <w:tmpl w:val="A74C84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C347E1B"/>
    <w:multiLevelType w:val="hybridMultilevel"/>
    <w:tmpl w:val="45AA13D4"/>
    <w:lvl w:ilvl="0" w:tplc="F8B85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E9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07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80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07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A03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A0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4A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09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471045"/>
    <w:multiLevelType w:val="hybridMultilevel"/>
    <w:tmpl w:val="D53CF6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6C0E308">
      <w:start w:val="1421"/>
      <w:numFmt w:val="bullet"/>
      <w:lvlText w:val="–"/>
      <w:lvlJc w:val="left"/>
      <w:pPr>
        <w:ind w:left="15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67806A92"/>
    <w:multiLevelType w:val="hybridMultilevel"/>
    <w:tmpl w:val="3DF673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6C0E308">
      <w:start w:val="1421"/>
      <w:numFmt w:val="bullet"/>
      <w:lvlText w:val="–"/>
      <w:lvlJc w:val="left"/>
      <w:pPr>
        <w:ind w:left="15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A6D2525"/>
    <w:multiLevelType w:val="hybridMultilevel"/>
    <w:tmpl w:val="4E2C51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6C0E308">
      <w:start w:val="1421"/>
      <w:numFmt w:val="bullet"/>
      <w:lvlText w:val="–"/>
      <w:lvlJc w:val="left"/>
      <w:pPr>
        <w:ind w:left="15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5160B36"/>
    <w:multiLevelType w:val="hybridMultilevel"/>
    <w:tmpl w:val="7AF227C8"/>
    <w:lvl w:ilvl="0" w:tplc="73E46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0B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E2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A7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6C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C0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80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E9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01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58B1578"/>
    <w:multiLevelType w:val="hybridMultilevel"/>
    <w:tmpl w:val="B3264D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6C0E308">
      <w:start w:val="1421"/>
      <w:numFmt w:val="bullet"/>
      <w:lvlText w:val="–"/>
      <w:lvlJc w:val="left"/>
      <w:pPr>
        <w:ind w:left="15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15"/>
  </w:num>
  <w:num w:numId="6">
    <w:abstractNumId w:val="19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17"/>
  </w:num>
  <w:num w:numId="15">
    <w:abstractNumId w:val="20"/>
  </w:num>
  <w:num w:numId="16">
    <w:abstractNumId w:val="13"/>
  </w:num>
  <w:num w:numId="17">
    <w:abstractNumId w:val="18"/>
  </w:num>
  <w:num w:numId="18">
    <w:abstractNumId w:val="16"/>
  </w:num>
  <w:num w:numId="19">
    <w:abstractNumId w:val="1"/>
  </w:num>
  <w:num w:numId="20">
    <w:abstractNumId w:val="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492B"/>
    <w:rsid w:val="000A51C5"/>
    <w:rsid w:val="000C6146"/>
    <w:rsid w:val="000F4B9D"/>
    <w:rsid w:val="0014492B"/>
    <w:rsid w:val="00260103"/>
    <w:rsid w:val="002713E2"/>
    <w:rsid w:val="003B4DA1"/>
    <w:rsid w:val="004868F0"/>
    <w:rsid w:val="0058105F"/>
    <w:rsid w:val="00592A11"/>
    <w:rsid w:val="005F1527"/>
    <w:rsid w:val="00605712"/>
    <w:rsid w:val="00614181"/>
    <w:rsid w:val="006C6F85"/>
    <w:rsid w:val="0075714E"/>
    <w:rsid w:val="00797125"/>
    <w:rsid w:val="007E16E1"/>
    <w:rsid w:val="008F6CF6"/>
    <w:rsid w:val="00935B71"/>
    <w:rsid w:val="00966BD7"/>
    <w:rsid w:val="009A00A5"/>
    <w:rsid w:val="00A03D19"/>
    <w:rsid w:val="00B22DA6"/>
    <w:rsid w:val="00BD0A74"/>
    <w:rsid w:val="00C549F5"/>
    <w:rsid w:val="00C567AC"/>
    <w:rsid w:val="00C952CC"/>
    <w:rsid w:val="00CD44D3"/>
    <w:rsid w:val="00D6631F"/>
    <w:rsid w:val="00DB23E2"/>
    <w:rsid w:val="00DF07E3"/>
    <w:rsid w:val="00E54067"/>
    <w:rsid w:val="00E93ADC"/>
    <w:rsid w:val="00EB74AF"/>
    <w:rsid w:val="00EE5536"/>
    <w:rsid w:val="00FD0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7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7E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E5536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7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7E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E5536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2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716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78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35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44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335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70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233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60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 MU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dovrtel</dc:creator>
  <cp:keywords/>
  <dc:description/>
  <cp:lastModifiedBy>MVDr.Miklošová</cp:lastModifiedBy>
  <cp:revision>20</cp:revision>
  <dcterms:created xsi:type="dcterms:W3CDTF">2013-08-16T09:31:00Z</dcterms:created>
  <dcterms:modified xsi:type="dcterms:W3CDTF">2013-09-11T08:26:00Z</dcterms:modified>
</cp:coreProperties>
</file>