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B" w:rsidRPr="00EB4A97" w:rsidRDefault="00433A2C" w:rsidP="00A44880">
      <w:pPr>
        <w:spacing w:line="360" w:lineRule="auto"/>
        <w:jc w:val="center"/>
        <w:rPr>
          <w:b/>
          <w:sz w:val="28"/>
          <w:szCs w:val="28"/>
        </w:rPr>
      </w:pPr>
      <w:r w:rsidRPr="00EB4A97">
        <w:rPr>
          <w:b/>
          <w:sz w:val="28"/>
          <w:szCs w:val="28"/>
        </w:rPr>
        <w:t>GIT</w:t>
      </w:r>
    </w:p>
    <w:p w:rsidR="00433A2C" w:rsidRPr="00EB4A97" w:rsidRDefault="00433A2C" w:rsidP="00EB4A97">
      <w:pPr>
        <w:spacing w:line="276" w:lineRule="auto"/>
        <w:rPr>
          <w:szCs w:val="24"/>
        </w:rPr>
      </w:pPr>
      <w:r w:rsidRPr="00EB4A97">
        <w:rPr>
          <w:szCs w:val="24"/>
        </w:rPr>
        <w:t>Antacida</w:t>
      </w:r>
    </w:p>
    <w:p w:rsidR="00EB4A97" w:rsidRPr="00EB4A97" w:rsidRDefault="00EB4A97" w:rsidP="00EB4A97">
      <w:pPr>
        <w:spacing w:line="276" w:lineRule="auto"/>
        <w:rPr>
          <w:sz w:val="4"/>
          <w:szCs w:val="4"/>
        </w:rPr>
      </w:pPr>
    </w:p>
    <w:p w:rsidR="00433A2C" w:rsidRPr="00EB4A97" w:rsidRDefault="00433A2C" w:rsidP="00EB4A97">
      <w:pPr>
        <w:pStyle w:val="Odstavecseseznamem"/>
        <w:numPr>
          <w:ilvl w:val="0"/>
          <w:numId w:val="2"/>
        </w:numPr>
        <w:spacing w:line="276" w:lineRule="auto"/>
        <w:ind w:left="426"/>
        <w:rPr>
          <w:szCs w:val="24"/>
        </w:rPr>
      </w:pPr>
      <w:r w:rsidRPr="00EB4A97">
        <w:rPr>
          <w:szCs w:val="24"/>
        </w:rPr>
        <w:t>neutralizují HCl, která je již vytvořena</w:t>
      </w:r>
    </w:p>
    <w:p w:rsidR="00433A2C" w:rsidRPr="00EB4A97" w:rsidRDefault="00433A2C" w:rsidP="00EB4A97">
      <w:pPr>
        <w:pStyle w:val="Odstavecseseznamem"/>
        <w:numPr>
          <w:ilvl w:val="1"/>
          <w:numId w:val="8"/>
        </w:numPr>
        <w:spacing w:line="276" w:lineRule="auto"/>
        <w:ind w:left="851"/>
        <w:rPr>
          <w:szCs w:val="24"/>
        </w:rPr>
      </w:pPr>
      <w:r w:rsidRPr="00F52FE7">
        <w:rPr>
          <w:b/>
          <w:szCs w:val="24"/>
        </w:rPr>
        <w:t>systémově</w:t>
      </w:r>
      <w:r w:rsidRPr="00EB4A97">
        <w:rPr>
          <w:szCs w:val="24"/>
        </w:rPr>
        <w:t xml:space="preserve"> působící: </w:t>
      </w:r>
      <w:r w:rsidRPr="00EB4A97">
        <w:rPr>
          <w:bCs/>
          <w:szCs w:val="24"/>
        </w:rPr>
        <w:t>NaHCO</w:t>
      </w:r>
      <w:r w:rsidRPr="00EB4A97">
        <w:rPr>
          <w:bCs/>
          <w:szCs w:val="24"/>
          <w:vertAlign w:val="subscript"/>
        </w:rPr>
        <w:t>3</w:t>
      </w:r>
    </w:p>
    <w:p w:rsidR="00433A2C" w:rsidRPr="00EB4A97" w:rsidRDefault="00433A2C" w:rsidP="00EB4A97">
      <w:pPr>
        <w:pStyle w:val="Odstavecseseznamem"/>
        <w:numPr>
          <w:ilvl w:val="1"/>
          <w:numId w:val="8"/>
        </w:numPr>
        <w:spacing w:line="276" w:lineRule="auto"/>
        <w:ind w:left="851"/>
        <w:rPr>
          <w:szCs w:val="24"/>
        </w:rPr>
      </w:pPr>
      <w:r w:rsidRPr="00EB4A97">
        <w:rPr>
          <w:b/>
          <w:szCs w:val="24"/>
        </w:rPr>
        <w:t>místně</w:t>
      </w:r>
      <w:r w:rsidRPr="00EB4A97">
        <w:rPr>
          <w:szCs w:val="24"/>
        </w:rPr>
        <w:t xml:space="preserve"> působící: </w:t>
      </w:r>
      <w:r w:rsidRPr="00EB4A97">
        <w:rPr>
          <w:bCs/>
          <w:szCs w:val="24"/>
        </w:rPr>
        <w:t>CaCO</w:t>
      </w:r>
      <w:r w:rsidRPr="00EB4A97">
        <w:rPr>
          <w:bCs/>
          <w:szCs w:val="24"/>
          <w:vertAlign w:val="subscript"/>
        </w:rPr>
        <w:t xml:space="preserve">3, </w:t>
      </w:r>
      <w:r w:rsidRPr="00EB4A97">
        <w:rPr>
          <w:bCs/>
          <w:szCs w:val="24"/>
        </w:rPr>
        <w:t>MgCO</w:t>
      </w:r>
      <w:r w:rsidRPr="00EB4A97">
        <w:rPr>
          <w:bCs/>
          <w:szCs w:val="24"/>
          <w:vertAlign w:val="subscript"/>
        </w:rPr>
        <w:t xml:space="preserve">3, </w:t>
      </w:r>
      <w:r w:rsidRPr="00EB4A97">
        <w:rPr>
          <w:bCs/>
          <w:szCs w:val="24"/>
        </w:rPr>
        <w:t>Mg(OH)</w:t>
      </w:r>
      <w:r w:rsidRPr="00EB4A97">
        <w:rPr>
          <w:bCs/>
          <w:szCs w:val="24"/>
          <w:vertAlign w:val="subscript"/>
        </w:rPr>
        <w:t xml:space="preserve">2, </w:t>
      </w:r>
      <w:r w:rsidRPr="00EB4A97">
        <w:rPr>
          <w:bCs/>
          <w:szCs w:val="24"/>
        </w:rPr>
        <w:t>Al(OH)</w:t>
      </w:r>
      <w:r w:rsidRPr="00EB4A97">
        <w:rPr>
          <w:bCs/>
          <w:szCs w:val="24"/>
          <w:vertAlign w:val="subscript"/>
        </w:rPr>
        <w:t xml:space="preserve">3, </w:t>
      </w:r>
      <w:r w:rsidRPr="00EB4A97">
        <w:rPr>
          <w:bCs/>
          <w:szCs w:val="24"/>
        </w:rPr>
        <w:t>Mg</w:t>
      </w:r>
      <w:r w:rsidRPr="00EB4A97">
        <w:rPr>
          <w:bCs/>
          <w:szCs w:val="24"/>
          <w:vertAlign w:val="subscript"/>
        </w:rPr>
        <w:t>2</w:t>
      </w:r>
      <w:r w:rsidRPr="00EB4A97">
        <w:rPr>
          <w:bCs/>
          <w:szCs w:val="24"/>
        </w:rPr>
        <w:t>(SiO</w:t>
      </w:r>
      <w:r w:rsidRPr="00EB4A97">
        <w:rPr>
          <w:bCs/>
          <w:szCs w:val="24"/>
          <w:vertAlign w:val="subscript"/>
        </w:rPr>
        <w:t>3</w:t>
      </w:r>
      <w:r w:rsidRPr="00EB4A97">
        <w:rPr>
          <w:bCs/>
          <w:szCs w:val="24"/>
        </w:rPr>
        <w:t>)</w:t>
      </w:r>
      <w:r w:rsidRPr="00EB4A97">
        <w:rPr>
          <w:bCs/>
          <w:szCs w:val="24"/>
          <w:vertAlign w:val="subscript"/>
        </w:rPr>
        <w:t>3</w:t>
      </w:r>
      <w:r w:rsidR="0046222B" w:rsidRPr="00EB4A97">
        <w:rPr>
          <w:bCs/>
          <w:szCs w:val="24"/>
          <w:vertAlign w:val="subscript"/>
        </w:rPr>
        <w:t>,</w:t>
      </w:r>
      <w:r w:rsidR="0046222B" w:rsidRPr="00EB4A97">
        <w:rPr>
          <w:bCs/>
          <w:szCs w:val="24"/>
        </w:rPr>
        <w:t xml:space="preserve"> hydrotalcid</w:t>
      </w:r>
    </w:p>
    <w:p w:rsidR="00224A3D" w:rsidRPr="00EB4A97" w:rsidRDefault="00224A3D" w:rsidP="00EB4A97">
      <w:pPr>
        <w:spacing w:line="276" w:lineRule="auto"/>
        <w:rPr>
          <w:b/>
          <w:szCs w:val="24"/>
        </w:rPr>
      </w:pPr>
    </w:p>
    <w:p w:rsidR="0046222B" w:rsidRPr="00EB4A97" w:rsidRDefault="00EB1435" w:rsidP="00EB4A97">
      <w:pPr>
        <w:spacing w:line="276" w:lineRule="auto"/>
        <w:rPr>
          <w:szCs w:val="24"/>
        </w:rPr>
      </w:pPr>
      <w:r w:rsidRPr="00EB4A97">
        <w:rPr>
          <w:szCs w:val="24"/>
        </w:rPr>
        <w:t>Léčiva používan</w:t>
      </w:r>
      <w:r w:rsidR="00F52FE7">
        <w:rPr>
          <w:szCs w:val="24"/>
        </w:rPr>
        <w:t>á k terapii vředové choroby =  a</w:t>
      </w:r>
      <w:r w:rsidRPr="00EB4A97">
        <w:rPr>
          <w:szCs w:val="24"/>
        </w:rPr>
        <w:t>ntiulceróza</w:t>
      </w:r>
    </w:p>
    <w:p w:rsidR="00EB4A97" w:rsidRPr="00EB4A97" w:rsidRDefault="00EB4A97" w:rsidP="00EB4A97">
      <w:pPr>
        <w:spacing w:line="276" w:lineRule="auto"/>
        <w:rPr>
          <w:sz w:val="4"/>
          <w:szCs w:val="4"/>
        </w:rPr>
      </w:pPr>
    </w:p>
    <w:p w:rsidR="00BE2211" w:rsidRPr="00EB4A97" w:rsidRDefault="00BE2211" w:rsidP="00EB4A97">
      <w:pPr>
        <w:pStyle w:val="Odstavecseseznamem"/>
        <w:numPr>
          <w:ilvl w:val="0"/>
          <w:numId w:val="9"/>
        </w:numPr>
        <w:spacing w:line="276" w:lineRule="auto"/>
        <w:ind w:left="426"/>
        <w:rPr>
          <w:szCs w:val="24"/>
        </w:rPr>
      </w:pPr>
      <w:r w:rsidRPr="00EB4A97">
        <w:rPr>
          <w:szCs w:val="24"/>
        </w:rPr>
        <w:t xml:space="preserve">látky </w:t>
      </w:r>
      <w:r w:rsidRPr="00EB4A97">
        <w:rPr>
          <w:bCs/>
          <w:szCs w:val="24"/>
        </w:rPr>
        <w:t>neutralizující</w:t>
      </w:r>
      <w:r w:rsidR="00C45482" w:rsidRPr="00EB4A97">
        <w:rPr>
          <w:szCs w:val="24"/>
        </w:rPr>
        <w:t xml:space="preserve"> již vytvořenou HCl</w:t>
      </w:r>
      <w:r w:rsidR="0046222B" w:rsidRPr="00EB4A97">
        <w:rPr>
          <w:szCs w:val="24"/>
        </w:rPr>
        <w:t xml:space="preserve"> = </w:t>
      </w:r>
      <w:r w:rsidRPr="00EB4A97">
        <w:rPr>
          <w:b/>
          <w:szCs w:val="24"/>
        </w:rPr>
        <w:t>antacida</w:t>
      </w:r>
    </w:p>
    <w:p w:rsidR="00EB4A97" w:rsidRPr="00EB4A97" w:rsidRDefault="00EB4A97" w:rsidP="00EB4A97">
      <w:pPr>
        <w:pStyle w:val="Odstavecseseznamem"/>
        <w:spacing w:line="276" w:lineRule="auto"/>
        <w:ind w:left="426"/>
        <w:rPr>
          <w:sz w:val="4"/>
          <w:szCs w:val="4"/>
        </w:rPr>
      </w:pPr>
    </w:p>
    <w:p w:rsidR="00C45482" w:rsidRDefault="00BE2211" w:rsidP="00EB4A97">
      <w:pPr>
        <w:pStyle w:val="Odstavecseseznamem"/>
        <w:numPr>
          <w:ilvl w:val="0"/>
          <w:numId w:val="9"/>
        </w:numPr>
        <w:spacing w:line="276" w:lineRule="auto"/>
        <w:ind w:left="426"/>
        <w:rPr>
          <w:szCs w:val="24"/>
        </w:rPr>
      </w:pPr>
      <w:r w:rsidRPr="00EB4A97">
        <w:rPr>
          <w:szCs w:val="24"/>
        </w:rPr>
        <w:t xml:space="preserve">látky </w:t>
      </w:r>
      <w:r w:rsidRPr="00EB4A97">
        <w:rPr>
          <w:bCs/>
          <w:szCs w:val="24"/>
        </w:rPr>
        <w:t>snižující sekreci</w:t>
      </w:r>
      <w:r w:rsidRPr="00EB4A97">
        <w:rPr>
          <w:szCs w:val="24"/>
        </w:rPr>
        <w:t xml:space="preserve"> HCl </w:t>
      </w:r>
    </w:p>
    <w:p w:rsidR="00EB4A97" w:rsidRPr="00EB4A97" w:rsidRDefault="00EB4A97" w:rsidP="00EB4A97">
      <w:pPr>
        <w:spacing w:line="276" w:lineRule="auto"/>
        <w:rPr>
          <w:sz w:val="4"/>
          <w:szCs w:val="4"/>
        </w:rPr>
      </w:pPr>
    </w:p>
    <w:p w:rsidR="00C70A8E" w:rsidRPr="00EB4A97" w:rsidRDefault="00BE2211" w:rsidP="00EB4A97">
      <w:pPr>
        <w:pStyle w:val="Odstavecseseznamem"/>
        <w:numPr>
          <w:ilvl w:val="1"/>
          <w:numId w:val="10"/>
        </w:numPr>
        <w:spacing w:line="276" w:lineRule="auto"/>
        <w:ind w:left="851"/>
        <w:rPr>
          <w:szCs w:val="24"/>
        </w:rPr>
      </w:pPr>
      <w:r w:rsidRPr="00EB4A97">
        <w:rPr>
          <w:b/>
          <w:szCs w:val="24"/>
        </w:rPr>
        <w:t>blokátory protonové pumpy</w:t>
      </w:r>
      <w:r w:rsidR="0046222B" w:rsidRPr="00EB4A97">
        <w:rPr>
          <w:b/>
          <w:szCs w:val="24"/>
        </w:rPr>
        <w:t>:</w:t>
      </w:r>
      <w:r w:rsidR="00C70A8E" w:rsidRPr="00EB4A97">
        <w:rPr>
          <w:szCs w:val="24"/>
        </w:rPr>
        <w:t xml:space="preserve"> ireverzibilně blokují funkci protonové pumpy</w:t>
      </w:r>
    </w:p>
    <w:p w:rsidR="00C45482" w:rsidRPr="00EB4A97" w:rsidRDefault="0046222B" w:rsidP="00EB4A97">
      <w:pPr>
        <w:pStyle w:val="Odstavecseseznamem"/>
        <w:spacing w:line="276" w:lineRule="auto"/>
        <w:ind w:left="851"/>
        <w:rPr>
          <w:szCs w:val="24"/>
        </w:rPr>
      </w:pPr>
      <w:r w:rsidRPr="00EB4A97">
        <w:rPr>
          <w:szCs w:val="24"/>
        </w:rPr>
        <w:t xml:space="preserve"> </w:t>
      </w:r>
      <w:r w:rsidRPr="00EB4A97">
        <w:rPr>
          <w:rFonts w:cs="Times New Roman"/>
          <w:szCs w:val="24"/>
        </w:rPr>
        <w:t>omeprazol, pantoprazol, lansoprazol, rabeprazol</w:t>
      </w:r>
      <w:r w:rsidRPr="00EB4A97">
        <w:rPr>
          <w:szCs w:val="24"/>
        </w:rPr>
        <w:t xml:space="preserve"> </w:t>
      </w:r>
    </w:p>
    <w:p w:rsidR="0046222B" w:rsidRPr="00EB4A97" w:rsidRDefault="00BE2211" w:rsidP="00EB4A97">
      <w:pPr>
        <w:pStyle w:val="Odstavecseseznamem"/>
        <w:numPr>
          <w:ilvl w:val="1"/>
          <w:numId w:val="10"/>
        </w:numPr>
        <w:spacing w:line="276" w:lineRule="auto"/>
        <w:ind w:left="851"/>
        <w:rPr>
          <w:szCs w:val="24"/>
        </w:rPr>
      </w:pPr>
      <w:r w:rsidRPr="00EB4A97">
        <w:rPr>
          <w:b/>
          <w:szCs w:val="24"/>
        </w:rPr>
        <w:t>H</w:t>
      </w:r>
      <w:r w:rsidRPr="00EB4A97">
        <w:rPr>
          <w:b/>
          <w:szCs w:val="24"/>
          <w:vertAlign w:val="subscript"/>
        </w:rPr>
        <w:t>2</w:t>
      </w:r>
      <w:r w:rsidRPr="00EB4A97">
        <w:rPr>
          <w:b/>
          <w:szCs w:val="24"/>
        </w:rPr>
        <w:t>- antihistaminika</w:t>
      </w:r>
      <w:r w:rsidR="0046222B" w:rsidRPr="00EB4A97">
        <w:rPr>
          <w:b/>
          <w:szCs w:val="24"/>
        </w:rPr>
        <w:t>:</w:t>
      </w:r>
      <w:r w:rsidR="0046222B" w:rsidRPr="00EB4A97">
        <w:rPr>
          <w:szCs w:val="24"/>
        </w:rPr>
        <w:t xml:space="preserve"> </w:t>
      </w:r>
      <w:r w:rsidR="00C70A8E" w:rsidRPr="00EB4A97">
        <w:rPr>
          <w:szCs w:val="24"/>
        </w:rPr>
        <w:t>působí jako antagonisté na H</w:t>
      </w:r>
      <w:r w:rsidR="00C70A8E" w:rsidRPr="00EB4A97">
        <w:rPr>
          <w:szCs w:val="24"/>
          <w:vertAlign w:val="subscript"/>
        </w:rPr>
        <w:t>2</w:t>
      </w:r>
      <w:r w:rsidR="00C70A8E" w:rsidRPr="00EB4A97">
        <w:rPr>
          <w:szCs w:val="24"/>
        </w:rPr>
        <w:t xml:space="preserve"> receptorech</w:t>
      </w:r>
    </w:p>
    <w:p w:rsidR="00C70A8E" w:rsidRPr="00EB4A97" w:rsidRDefault="00F52FE7" w:rsidP="00EB4A97">
      <w:pPr>
        <w:pStyle w:val="Odstavecseseznamem"/>
        <w:spacing w:line="276" w:lineRule="auto"/>
        <w:ind w:left="851"/>
        <w:rPr>
          <w:szCs w:val="24"/>
        </w:rPr>
      </w:pPr>
      <w:r>
        <w:rPr>
          <w:szCs w:val="24"/>
        </w:rPr>
        <w:t>cimetidin</w:t>
      </w:r>
      <w:r w:rsidR="00C70A8E" w:rsidRPr="00EB4A97">
        <w:rPr>
          <w:szCs w:val="24"/>
        </w:rPr>
        <w:t>,</w:t>
      </w:r>
      <w:r w:rsidR="00C70A8E" w:rsidRPr="00EB4A97">
        <w:rPr>
          <w:rFonts w:cs="Times New Roman"/>
          <w:szCs w:val="24"/>
        </w:rPr>
        <w:t xml:space="preserve"> ranitidin, famotidin</w:t>
      </w:r>
    </w:p>
    <w:p w:rsidR="00C70A8E" w:rsidRPr="00EB4A97" w:rsidRDefault="00BE2211" w:rsidP="00EB4A97">
      <w:pPr>
        <w:pStyle w:val="Odstavecseseznamem"/>
        <w:numPr>
          <w:ilvl w:val="1"/>
          <w:numId w:val="10"/>
        </w:numPr>
        <w:spacing w:line="276" w:lineRule="auto"/>
        <w:ind w:left="851"/>
        <w:rPr>
          <w:b/>
          <w:szCs w:val="24"/>
        </w:rPr>
      </w:pPr>
      <w:r w:rsidRPr="00EB4A97">
        <w:rPr>
          <w:b/>
          <w:szCs w:val="24"/>
        </w:rPr>
        <w:t>selektivní PSL</w:t>
      </w:r>
      <w:r w:rsidR="00C70A8E" w:rsidRPr="00EB4A97">
        <w:rPr>
          <w:b/>
          <w:szCs w:val="24"/>
        </w:rPr>
        <w:t>:</w:t>
      </w:r>
      <w:r w:rsidR="00C70A8E" w:rsidRPr="00EB4A97">
        <w:rPr>
          <w:szCs w:val="24"/>
        </w:rPr>
        <w:t xml:space="preserve"> působí jako antagonisté na M</w:t>
      </w:r>
      <w:r w:rsidR="00C70A8E" w:rsidRPr="00EB4A97">
        <w:rPr>
          <w:szCs w:val="24"/>
          <w:vertAlign w:val="subscript"/>
        </w:rPr>
        <w:t>1</w:t>
      </w:r>
      <w:r w:rsidR="00C70A8E" w:rsidRPr="00EB4A97">
        <w:rPr>
          <w:szCs w:val="24"/>
        </w:rPr>
        <w:t xml:space="preserve"> receptorech</w:t>
      </w:r>
    </w:p>
    <w:p w:rsidR="00C70A8E" w:rsidRDefault="00C70A8E" w:rsidP="00EB4A97">
      <w:pPr>
        <w:pStyle w:val="Odstavecseseznamem"/>
        <w:spacing w:line="276" w:lineRule="auto"/>
        <w:ind w:left="851"/>
        <w:rPr>
          <w:bCs/>
          <w:szCs w:val="24"/>
        </w:rPr>
      </w:pPr>
      <w:r w:rsidRPr="00EB4A97">
        <w:rPr>
          <w:bCs/>
          <w:szCs w:val="24"/>
        </w:rPr>
        <w:t>pirenzepin,</w:t>
      </w:r>
      <w:r w:rsidRPr="00EB4A97">
        <w:rPr>
          <w:szCs w:val="24"/>
        </w:rPr>
        <w:t xml:space="preserve"> </w:t>
      </w:r>
      <w:r w:rsidRPr="00EB4A97">
        <w:rPr>
          <w:bCs/>
          <w:szCs w:val="24"/>
        </w:rPr>
        <w:t>terenzepin</w:t>
      </w:r>
    </w:p>
    <w:p w:rsidR="00EB4A97" w:rsidRPr="00EB4A97" w:rsidRDefault="00EB4A97" w:rsidP="00EB4A97">
      <w:pPr>
        <w:pStyle w:val="Odstavecseseznamem"/>
        <w:spacing w:line="276" w:lineRule="auto"/>
        <w:ind w:left="851"/>
        <w:rPr>
          <w:b/>
          <w:sz w:val="4"/>
          <w:szCs w:val="4"/>
        </w:rPr>
      </w:pPr>
    </w:p>
    <w:p w:rsidR="00BE2211" w:rsidRPr="00EB4A97" w:rsidRDefault="00BE2211" w:rsidP="00EB4A97">
      <w:pPr>
        <w:pStyle w:val="Odstavecseseznamem"/>
        <w:numPr>
          <w:ilvl w:val="0"/>
          <w:numId w:val="9"/>
        </w:numPr>
        <w:spacing w:line="276" w:lineRule="auto"/>
        <w:ind w:left="426"/>
        <w:rPr>
          <w:szCs w:val="24"/>
        </w:rPr>
      </w:pPr>
      <w:r w:rsidRPr="00EB4A97">
        <w:rPr>
          <w:szCs w:val="24"/>
        </w:rPr>
        <w:t xml:space="preserve">látky chránící gastroduodenální sliznici= </w:t>
      </w:r>
      <w:r w:rsidRPr="00EB4A97">
        <w:rPr>
          <w:b/>
          <w:szCs w:val="24"/>
        </w:rPr>
        <w:t>cytoprotektiva</w:t>
      </w:r>
    </w:p>
    <w:p w:rsidR="00EB4A97" w:rsidRPr="00EB4A97" w:rsidRDefault="00EB4A97" w:rsidP="00EB4A97">
      <w:pPr>
        <w:pStyle w:val="Odstavecseseznamem"/>
        <w:spacing w:line="276" w:lineRule="auto"/>
        <w:ind w:left="426"/>
        <w:rPr>
          <w:sz w:val="4"/>
          <w:szCs w:val="4"/>
        </w:rPr>
      </w:pPr>
    </w:p>
    <w:p w:rsidR="00BE2211" w:rsidRPr="00EB4A97" w:rsidRDefault="00BE2211" w:rsidP="00EB4A97">
      <w:pPr>
        <w:pStyle w:val="Odstavecseseznamem"/>
        <w:numPr>
          <w:ilvl w:val="1"/>
          <w:numId w:val="9"/>
        </w:numPr>
        <w:spacing w:line="276" w:lineRule="auto"/>
        <w:ind w:left="851"/>
        <w:rPr>
          <w:szCs w:val="24"/>
        </w:rPr>
      </w:pPr>
      <w:r w:rsidRPr="00EB4A97">
        <w:rPr>
          <w:szCs w:val="24"/>
        </w:rPr>
        <w:t>mají mukoprotektivní účinek na sliznici žaludku</w:t>
      </w:r>
    </w:p>
    <w:p w:rsidR="00AC13FC" w:rsidRDefault="002E0B0A" w:rsidP="00EB4A97">
      <w:pPr>
        <w:pStyle w:val="Odstavecseseznamem"/>
        <w:spacing w:line="276" w:lineRule="auto"/>
        <w:ind w:left="851"/>
        <w:rPr>
          <w:szCs w:val="24"/>
        </w:rPr>
      </w:pPr>
      <w:r w:rsidRPr="00EB4A97">
        <w:rPr>
          <w:szCs w:val="24"/>
        </w:rPr>
        <w:t>sukralfát, soli bismutu, kyselina alginová, prostaglandiny (misoprostol)</w:t>
      </w:r>
    </w:p>
    <w:p w:rsidR="00EB4A97" w:rsidRPr="00EB4A97" w:rsidRDefault="00EB4A97" w:rsidP="00EB4A97">
      <w:pPr>
        <w:pStyle w:val="Odstavecseseznamem"/>
        <w:spacing w:line="276" w:lineRule="auto"/>
        <w:ind w:left="851"/>
        <w:rPr>
          <w:sz w:val="4"/>
          <w:szCs w:val="4"/>
        </w:rPr>
      </w:pPr>
    </w:p>
    <w:p w:rsidR="00D00EE4" w:rsidRPr="00EB4A97" w:rsidRDefault="00D00EE4" w:rsidP="00EB4A97">
      <w:pPr>
        <w:pStyle w:val="Odstavecseseznamem"/>
        <w:numPr>
          <w:ilvl w:val="0"/>
          <w:numId w:val="9"/>
        </w:numPr>
        <w:spacing w:line="276" w:lineRule="auto"/>
        <w:ind w:left="426"/>
        <w:rPr>
          <w:rFonts w:cs="Times New Roman"/>
          <w:szCs w:val="24"/>
        </w:rPr>
      </w:pPr>
      <w:r w:rsidRPr="00EB4A97">
        <w:rPr>
          <w:rFonts w:cs="Times New Roman"/>
          <w:szCs w:val="24"/>
        </w:rPr>
        <w:t xml:space="preserve">eradikace </w:t>
      </w:r>
      <w:r w:rsidRPr="00EB4A97">
        <w:rPr>
          <w:rFonts w:cs="Times New Roman"/>
          <w:i/>
          <w:szCs w:val="24"/>
        </w:rPr>
        <w:t>H. pylori</w:t>
      </w:r>
    </w:p>
    <w:p w:rsidR="00EB4A97" w:rsidRPr="00EB4A97" w:rsidRDefault="00EB4A97" w:rsidP="00EB4A97">
      <w:pPr>
        <w:pStyle w:val="Odstavecseseznamem"/>
        <w:spacing w:line="276" w:lineRule="auto"/>
        <w:ind w:left="426"/>
        <w:rPr>
          <w:rFonts w:cs="Times New Roman"/>
          <w:sz w:val="4"/>
          <w:szCs w:val="4"/>
        </w:rPr>
      </w:pPr>
    </w:p>
    <w:p w:rsidR="00D00EE4" w:rsidRPr="00EB4A97" w:rsidRDefault="00D00EE4" w:rsidP="00EB4A97">
      <w:pPr>
        <w:pStyle w:val="Odstavecseseznamem"/>
        <w:numPr>
          <w:ilvl w:val="1"/>
          <w:numId w:val="9"/>
        </w:numPr>
        <w:spacing w:line="276" w:lineRule="auto"/>
        <w:ind w:left="851"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schéma terapie:</w:t>
      </w:r>
      <w:r w:rsidRPr="00EB4A97">
        <w:rPr>
          <w:rFonts w:cs="Times New Roman"/>
          <w:szCs w:val="24"/>
        </w:rPr>
        <w:t xml:space="preserve"> 7-10 dní kombinace A + B + C, kde:</w:t>
      </w:r>
    </w:p>
    <w:p w:rsidR="00D00EE4" w:rsidRPr="00EB4A97" w:rsidRDefault="00D00EE4" w:rsidP="00EB4A97">
      <w:pPr>
        <w:pStyle w:val="Odstavecseseznamem"/>
        <w:spacing w:line="276" w:lineRule="auto"/>
        <w:ind w:left="851"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A</w:t>
      </w:r>
      <w:r w:rsidRPr="00EB4A97">
        <w:rPr>
          <w:rFonts w:cs="Times New Roman"/>
          <w:szCs w:val="24"/>
        </w:rPr>
        <w:t xml:space="preserve"> = inhibitor protonové pumpy, např. omeprazol</w:t>
      </w:r>
    </w:p>
    <w:p w:rsidR="00D00EE4" w:rsidRPr="00EB4A97" w:rsidRDefault="00D00EE4" w:rsidP="00EB4A97">
      <w:pPr>
        <w:pStyle w:val="Odstavecseseznamem"/>
        <w:spacing w:line="276" w:lineRule="auto"/>
        <w:ind w:left="851"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B + C</w:t>
      </w:r>
      <w:r w:rsidRPr="00EB4A97">
        <w:rPr>
          <w:rFonts w:cs="Times New Roman"/>
          <w:szCs w:val="24"/>
        </w:rPr>
        <w:t xml:space="preserve"> = antibiotika</w:t>
      </w:r>
    </w:p>
    <w:p w:rsidR="00D00EE4" w:rsidRPr="00EB4A97" w:rsidRDefault="00D00EE4" w:rsidP="00EB4A97">
      <w:pPr>
        <w:pStyle w:val="Odstavecseseznamem"/>
        <w:spacing w:line="276" w:lineRule="auto"/>
        <w:ind w:left="851"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B</w:t>
      </w:r>
      <w:r w:rsidRPr="00EB4A97">
        <w:rPr>
          <w:rFonts w:cs="Times New Roman"/>
          <w:szCs w:val="24"/>
        </w:rPr>
        <w:t xml:space="preserve"> = antibiotikum + C = chemoterapeutikum</w:t>
      </w:r>
    </w:p>
    <w:p w:rsidR="00D00EE4" w:rsidRPr="00EB4A97" w:rsidRDefault="00D00EE4" w:rsidP="00EB4A97">
      <w:pPr>
        <w:pStyle w:val="Odstavecseseznamem"/>
        <w:numPr>
          <w:ilvl w:val="1"/>
          <w:numId w:val="9"/>
        </w:numPr>
        <w:spacing w:line="276" w:lineRule="auto"/>
        <w:ind w:left="851"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ATB</w:t>
      </w:r>
      <w:r w:rsidRPr="00EB4A97">
        <w:rPr>
          <w:rFonts w:cs="Times New Roman"/>
          <w:szCs w:val="24"/>
        </w:rPr>
        <w:t>: amoxicilin, klarithromycin, azithromycin</w:t>
      </w:r>
    </w:p>
    <w:p w:rsidR="00D00EE4" w:rsidRPr="00EB4A97" w:rsidRDefault="00D00EE4" w:rsidP="00EB4A97">
      <w:pPr>
        <w:pStyle w:val="Odstavecseseznamem"/>
        <w:numPr>
          <w:ilvl w:val="1"/>
          <w:numId w:val="9"/>
        </w:numPr>
        <w:spacing w:line="276" w:lineRule="auto"/>
        <w:ind w:left="851"/>
        <w:rPr>
          <w:szCs w:val="24"/>
        </w:rPr>
      </w:pPr>
      <w:r w:rsidRPr="00EB4A97">
        <w:rPr>
          <w:rFonts w:cs="Times New Roman"/>
          <w:b/>
          <w:szCs w:val="24"/>
        </w:rPr>
        <w:t>Chemoterapeutika:</w:t>
      </w:r>
      <w:r w:rsidRPr="00EB4A97">
        <w:rPr>
          <w:rFonts w:cs="Times New Roman"/>
          <w:szCs w:val="24"/>
        </w:rPr>
        <w:t xml:space="preserve"> metronidazol, ornidazol</w:t>
      </w:r>
    </w:p>
    <w:p w:rsidR="00EB1435" w:rsidRPr="00EB4A97" w:rsidRDefault="00EB1435" w:rsidP="00EB4A97">
      <w:pPr>
        <w:tabs>
          <w:tab w:val="left" w:pos="6647"/>
        </w:tabs>
        <w:spacing w:line="276" w:lineRule="auto"/>
        <w:ind w:left="567" w:firstLine="6075"/>
        <w:rPr>
          <w:szCs w:val="24"/>
        </w:rPr>
      </w:pPr>
    </w:p>
    <w:p w:rsidR="00D00EE4" w:rsidRDefault="0014598D" w:rsidP="00EB4A97">
      <w:pPr>
        <w:tabs>
          <w:tab w:val="left" w:pos="6647"/>
        </w:tabs>
        <w:spacing w:line="276" w:lineRule="auto"/>
        <w:rPr>
          <w:szCs w:val="24"/>
        </w:rPr>
      </w:pPr>
      <w:r w:rsidRPr="00EB4A97">
        <w:rPr>
          <w:szCs w:val="24"/>
        </w:rPr>
        <w:t>Antiemetika</w:t>
      </w:r>
    </w:p>
    <w:p w:rsidR="00EB4A97" w:rsidRPr="00EB4A97" w:rsidRDefault="00EB4A97" w:rsidP="00EB4A97">
      <w:pPr>
        <w:tabs>
          <w:tab w:val="left" w:pos="6647"/>
        </w:tabs>
        <w:spacing w:line="276" w:lineRule="auto"/>
        <w:rPr>
          <w:sz w:val="4"/>
          <w:szCs w:val="4"/>
        </w:rPr>
      </w:pPr>
      <w:bookmarkStart w:id="0" w:name="_GoBack"/>
      <w:bookmarkEnd w:id="0"/>
    </w:p>
    <w:p w:rsidR="00BE2211" w:rsidRPr="00EB4A97" w:rsidRDefault="00BE2211" w:rsidP="00EB4A97">
      <w:pPr>
        <w:numPr>
          <w:ilvl w:val="0"/>
          <w:numId w:val="12"/>
        </w:numPr>
        <w:tabs>
          <w:tab w:val="clear" w:pos="720"/>
          <w:tab w:val="left" w:pos="6647"/>
        </w:tabs>
        <w:spacing w:line="276" w:lineRule="auto"/>
        <w:ind w:left="426"/>
        <w:rPr>
          <w:szCs w:val="24"/>
        </w:rPr>
      </w:pPr>
      <w:r w:rsidRPr="00EB4A97">
        <w:rPr>
          <w:szCs w:val="24"/>
        </w:rPr>
        <w:t>zmírňují nebo odstraňují nauzeu a zvracení vyvolané nejrůznějšími příčinami</w:t>
      </w:r>
    </w:p>
    <w:p w:rsidR="00BE2211" w:rsidRPr="00EB4A97" w:rsidRDefault="00BE2211" w:rsidP="00EB4A97">
      <w:pPr>
        <w:numPr>
          <w:ilvl w:val="1"/>
          <w:numId w:val="12"/>
        </w:numPr>
        <w:tabs>
          <w:tab w:val="clear" w:pos="1440"/>
          <w:tab w:val="left" w:pos="6647"/>
        </w:tabs>
        <w:spacing w:line="276" w:lineRule="auto"/>
        <w:ind w:left="851"/>
        <w:contextualSpacing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parasympatolytika:</w:t>
      </w:r>
      <w:r w:rsidRPr="00EB4A97">
        <w:rPr>
          <w:rFonts w:cs="Times New Roman"/>
          <w:szCs w:val="24"/>
        </w:rPr>
        <w:t xml:space="preserve"> skopolamin </w:t>
      </w:r>
    </w:p>
    <w:p w:rsidR="00BE2211" w:rsidRPr="00EB4A97" w:rsidRDefault="00BE2211" w:rsidP="00EB4A97">
      <w:pPr>
        <w:numPr>
          <w:ilvl w:val="1"/>
          <w:numId w:val="12"/>
        </w:numPr>
        <w:tabs>
          <w:tab w:val="clear" w:pos="1440"/>
          <w:tab w:val="left" w:pos="6647"/>
        </w:tabs>
        <w:spacing w:line="276" w:lineRule="auto"/>
        <w:ind w:left="851"/>
        <w:contextualSpacing/>
        <w:rPr>
          <w:rFonts w:cs="Times New Roman"/>
          <w:szCs w:val="24"/>
        </w:rPr>
      </w:pPr>
      <w:r w:rsidRPr="00EB4A97">
        <w:rPr>
          <w:rFonts w:cs="Times New Roman"/>
          <w:b/>
          <w:szCs w:val="24"/>
        </w:rPr>
        <w:t>H</w:t>
      </w:r>
      <w:r w:rsidRPr="00EB4A97">
        <w:rPr>
          <w:rFonts w:cs="Times New Roman"/>
          <w:b/>
          <w:szCs w:val="24"/>
          <w:vertAlign w:val="subscript"/>
        </w:rPr>
        <w:t>1</w:t>
      </w:r>
      <w:r w:rsidRPr="00EB4A97">
        <w:rPr>
          <w:rFonts w:cs="Times New Roman"/>
          <w:b/>
          <w:szCs w:val="24"/>
        </w:rPr>
        <w:t>-antihistaminika 1. generace</w:t>
      </w:r>
      <w:r w:rsidRPr="00EB4A97">
        <w:rPr>
          <w:rFonts w:cs="Times New Roman"/>
          <w:szCs w:val="24"/>
        </w:rPr>
        <w:t xml:space="preserve">: promethazin, moxastin, dimenhydrinát, embramin </w:t>
      </w:r>
    </w:p>
    <w:p w:rsidR="00A44880" w:rsidRPr="00EB4A97" w:rsidRDefault="00BE2211" w:rsidP="00EB4A97">
      <w:pPr>
        <w:numPr>
          <w:ilvl w:val="1"/>
          <w:numId w:val="12"/>
        </w:numPr>
        <w:tabs>
          <w:tab w:val="clear" w:pos="1440"/>
          <w:tab w:val="left" w:pos="6647"/>
        </w:tabs>
        <w:spacing w:line="276" w:lineRule="auto"/>
        <w:ind w:left="851"/>
        <w:contextualSpacing/>
        <w:rPr>
          <w:b/>
          <w:bCs/>
          <w:szCs w:val="24"/>
        </w:rPr>
      </w:pPr>
      <w:r w:rsidRPr="00EB4A97">
        <w:rPr>
          <w:rFonts w:cs="Times New Roman"/>
          <w:b/>
          <w:szCs w:val="24"/>
        </w:rPr>
        <w:t>antagonisté D</w:t>
      </w:r>
      <w:r w:rsidRPr="00EB4A97">
        <w:rPr>
          <w:rFonts w:cs="Times New Roman"/>
          <w:b/>
          <w:szCs w:val="24"/>
          <w:vertAlign w:val="subscript"/>
        </w:rPr>
        <w:t>2</w:t>
      </w:r>
      <w:r w:rsidRPr="00EB4A97">
        <w:rPr>
          <w:rFonts w:cs="Times New Roman"/>
          <w:b/>
          <w:szCs w:val="24"/>
        </w:rPr>
        <w:t xml:space="preserve"> receptorů:</w:t>
      </w:r>
      <w:r w:rsidRPr="00EB4A97">
        <w:rPr>
          <w:rFonts w:cs="Times New Roman"/>
          <w:szCs w:val="24"/>
        </w:rPr>
        <w:t xml:space="preserve"> </w:t>
      </w:r>
    </w:p>
    <w:p w:rsidR="00A44880" w:rsidRPr="00EB4A97" w:rsidRDefault="00BE2211" w:rsidP="00EB4A97">
      <w:pPr>
        <w:tabs>
          <w:tab w:val="left" w:pos="6647"/>
        </w:tabs>
        <w:spacing w:line="276" w:lineRule="auto"/>
        <w:ind w:left="851"/>
        <w:contextualSpacing/>
        <w:rPr>
          <w:bCs/>
          <w:szCs w:val="24"/>
        </w:rPr>
      </w:pPr>
      <w:r w:rsidRPr="00EB4A97">
        <w:rPr>
          <w:rFonts w:cs="Times New Roman"/>
          <w:szCs w:val="24"/>
        </w:rPr>
        <w:t xml:space="preserve">klasická neuroleptika (droperidol, thietylperazin, </w:t>
      </w:r>
      <w:r w:rsidRPr="00EB4A97">
        <w:rPr>
          <w:bCs/>
          <w:szCs w:val="24"/>
        </w:rPr>
        <w:t>perfenazin</w:t>
      </w:r>
      <w:r w:rsidR="00A44880" w:rsidRPr="00EB4A97">
        <w:rPr>
          <w:bCs/>
          <w:szCs w:val="24"/>
        </w:rPr>
        <w:t>, prochlorperazin, haloperidol)</w:t>
      </w:r>
    </w:p>
    <w:p w:rsidR="00A44880" w:rsidRPr="00EB4A97" w:rsidRDefault="00A44880" w:rsidP="00EB4A97">
      <w:pPr>
        <w:tabs>
          <w:tab w:val="left" w:pos="6647"/>
        </w:tabs>
        <w:spacing w:line="276" w:lineRule="auto"/>
        <w:ind w:left="851"/>
        <w:contextualSpacing/>
        <w:rPr>
          <w:b/>
          <w:bCs/>
          <w:szCs w:val="24"/>
        </w:rPr>
      </w:pPr>
      <w:r w:rsidRPr="00EB4A97">
        <w:rPr>
          <w:bCs/>
          <w:szCs w:val="24"/>
        </w:rPr>
        <w:t>některá prokinetika (metoclopramid, domperidon, itoprid, alizaprid)</w:t>
      </w:r>
      <w:r w:rsidRPr="00EB4A97">
        <w:rPr>
          <w:b/>
          <w:bCs/>
          <w:szCs w:val="24"/>
        </w:rPr>
        <w:t xml:space="preserve"> </w:t>
      </w:r>
    </w:p>
    <w:p w:rsidR="00BE2211" w:rsidRPr="00EB4A97" w:rsidRDefault="00BE2211" w:rsidP="00EB4A97">
      <w:pPr>
        <w:spacing w:line="276" w:lineRule="auto"/>
        <w:rPr>
          <w:rFonts w:cs="Times New Roman"/>
          <w:szCs w:val="24"/>
        </w:rPr>
      </w:pPr>
    </w:p>
    <w:p w:rsidR="00BE2211" w:rsidRPr="00EB4A97" w:rsidRDefault="00A44880" w:rsidP="00EB4A97">
      <w:pPr>
        <w:numPr>
          <w:ilvl w:val="1"/>
          <w:numId w:val="12"/>
        </w:numPr>
        <w:tabs>
          <w:tab w:val="clear" w:pos="1440"/>
          <w:tab w:val="left" w:pos="6647"/>
        </w:tabs>
        <w:spacing w:line="276" w:lineRule="auto"/>
        <w:ind w:left="993"/>
        <w:rPr>
          <w:szCs w:val="24"/>
        </w:rPr>
      </w:pPr>
      <w:r w:rsidRPr="00EB4A97">
        <w:rPr>
          <w:rFonts w:cs="Times New Roman"/>
          <w:b/>
          <w:szCs w:val="24"/>
        </w:rPr>
        <w:t xml:space="preserve">antagonisté </w:t>
      </w:r>
      <w:r w:rsidR="00BE2211" w:rsidRPr="00EB4A97">
        <w:rPr>
          <w:rFonts w:cs="Times New Roman"/>
          <w:b/>
          <w:szCs w:val="24"/>
        </w:rPr>
        <w:t>5-HT</w:t>
      </w:r>
      <w:r w:rsidR="00BE2211" w:rsidRPr="00EB4A97">
        <w:rPr>
          <w:rFonts w:cs="Times New Roman"/>
          <w:b/>
          <w:szCs w:val="24"/>
          <w:vertAlign w:val="subscript"/>
        </w:rPr>
        <w:t>3</w:t>
      </w:r>
      <w:r w:rsidR="00BE2211" w:rsidRPr="00EB4A97">
        <w:rPr>
          <w:rFonts w:cs="Times New Roman"/>
          <w:b/>
          <w:szCs w:val="24"/>
        </w:rPr>
        <w:t>-receptorů</w:t>
      </w:r>
      <w:r w:rsidRPr="00EB4A97">
        <w:rPr>
          <w:rFonts w:cs="Times New Roman"/>
          <w:b/>
          <w:szCs w:val="24"/>
        </w:rPr>
        <w:t xml:space="preserve"> = setrony</w:t>
      </w:r>
      <w:r w:rsidRPr="00EB4A97">
        <w:rPr>
          <w:rFonts w:cs="Times New Roman"/>
          <w:szCs w:val="24"/>
        </w:rPr>
        <w:t xml:space="preserve">: ondansetron, </w:t>
      </w:r>
      <w:r w:rsidR="00BE2211" w:rsidRPr="00EB4A97">
        <w:rPr>
          <w:rFonts w:cs="Times New Roman"/>
          <w:szCs w:val="24"/>
        </w:rPr>
        <w:t>granisetr</w:t>
      </w:r>
      <w:r w:rsidRPr="00EB4A97">
        <w:rPr>
          <w:rFonts w:cs="Times New Roman"/>
          <w:szCs w:val="24"/>
        </w:rPr>
        <w:t xml:space="preserve">on, </w:t>
      </w:r>
      <w:r w:rsidRPr="00EB4A97">
        <w:rPr>
          <w:rFonts w:cs="Times New Roman"/>
          <w:bCs/>
          <w:szCs w:val="24"/>
        </w:rPr>
        <w:t>palonosetron,</w:t>
      </w:r>
      <w:r w:rsidRPr="00EB4A97">
        <w:rPr>
          <w:rFonts w:cs="Times New Roman"/>
          <w:b/>
          <w:bCs/>
          <w:szCs w:val="24"/>
        </w:rPr>
        <w:t xml:space="preserve"> </w:t>
      </w:r>
      <w:r w:rsidR="00BE2211" w:rsidRPr="00EB4A97">
        <w:rPr>
          <w:rFonts w:cs="Times New Roman"/>
          <w:szCs w:val="24"/>
        </w:rPr>
        <w:t>dolasteron</w:t>
      </w:r>
    </w:p>
    <w:p w:rsidR="00A44880" w:rsidRPr="00EB4A97" w:rsidRDefault="00A44880" w:rsidP="00EB4A97">
      <w:pPr>
        <w:numPr>
          <w:ilvl w:val="1"/>
          <w:numId w:val="12"/>
        </w:numPr>
        <w:tabs>
          <w:tab w:val="clear" w:pos="1440"/>
          <w:tab w:val="left" w:pos="6647"/>
        </w:tabs>
        <w:spacing w:line="276" w:lineRule="auto"/>
        <w:ind w:left="993"/>
        <w:rPr>
          <w:szCs w:val="24"/>
        </w:rPr>
      </w:pPr>
      <w:r w:rsidRPr="00EB4A97">
        <w:rPr>
          <w:b/>
          <w:bCs/>
          <w:szCs w:val="24"/>
        </w:rPr>
        <w:t>antagonisté neurokininových NK</w:t>
      </w:r>
      <w:r w:rsidRPr="00EB4A97">
        <w:rPr>
          <w:b/>
          <w:bCs/>
          <w:szCs w:val="24"/>
          <w:vertAlign w:val="subscript"/>
        </w:rPr>
        <w:t>1</w:t>
      </w:r>
      <w:r w:rsidRPr="00EB4A97">
        <w:rPr>
          <w:b/>
          <w:bCs/>
          <w:szCs w:val="24"/>
        </w:rPr>
        <w:t xml:space="preserve"> receptorů: </w:t>
      </w:r>
      <w:r w:rsidRPr="00EB4A97">
        <w:rPr>
          <w:szCs w:val="24"/>
        </w:rPr>
        <w:t>aprepitant</w:t>
      </w:r>
    </w:p>
    <w:p w:rsidR="00C1602D" w:rsidRPr="00EB4A97" w:rsidRDefault="00A44880" w:rsidP="00EB4A97">
      <w:pPr>
        <w:numPr>
          <w:ilvl w:val="1"/>
          <w:numId w:val="12"/>
        </w:numPr>
        <w:tabs>
          <w:tab w:val="clear" w:pos="1440"/>
          <w:tab w:val="left" w:pos="6647"/>
        </w:tabs>
        <w:spacing w:line="276" w:lineRule="auto"/>
        <w:ind w:left="993"/>
        <w:rPr>
          <w:b/>
          <w:szCs w:val="24"/>
        </w:rPr>
      </w:pPr>
      <w:r w:rsidRPr="00EB4A97">
        <w:rPr>
          <w:b/>
          <w:szCs w:val="24"/>
        </w:rPr>
        <w:t xml:space="preserve">ostatní: </w:t>
      </w:r>
    </w:p>
    <w:p w:rsidR="00C1602D" w:rsidRPr="00EB4A97" w:rsidRDefault="00A44880" w:rsidP="00EB4A97">
      <w:pPr>
        <w:tabs>
          <w:tab w:val="left" w:pos="6647"/>
        </w:tabs>
        <w:spacing w:line="276" w:lineRule="auto"/>
        <w:ind w:left="993"/>
        <w:rPr>
          <w:szCs w:val="24"/>
        </w:rPr>
      </w:pPr>
      <w:r w:rsidRPr="00EB4A97">
        <w:rPr>
          <w:szCs w:val="24"/>
        </w:rPr>
        <w:t>g</w:t>
      </w:r>
      <w:r w:rsidR="006E4120" w:rsidRPr="00EB4A97">
        <w:rPr>
          <w:szCs w:val="24"/>
        </w:rPr>
        <w:t>lukokortikoidy</w:t>
      </w:r>
      <w:r w:rsidRPr="00EB4A97">
        <w:rPr>
          <w:szCs w:val="24"/>
        </w:rPr>
        <w:t xml:space="preserve"> (dexametazon, metylprednisolon</w:t>
      </w:r>
      <w:r w:rsidR="00C1602D" w:rsidRPr="00EB4A97">
        <w:rPr>
          <w:szCs w:val="24"/>
        </w:rPr>
        <w:sym w:font="Symbol" w:char="F0AE"/>
      </w:r>
      <w:r w:rsidR="00C1602D" w:rsidRPr="00EB4A97">
        <w:rPr>
          <w:szCs w:val="24"/>
        </w:rPr>
        <w:t xml:space="preserve"> mají synergické působení se setrony)</w:t>
      </w:r>
    </w:p>
    <w:p w:rsidR="00C1602D" w:rsidRPr="00EB4A97" w:rsidRDefault="00C1602D" w:rsidP="00EB4A97">
      <w:pPr>
        <w:tabs>
          <w:tab w:val="left" w:pos="6647"/>
        </w:tabs>
        <w:spacing w:line="276" w:lineRule="auto"/>
        <w:ind w:left="993"/>
        <w:rPr>
          <w:szCs w:val="24"/>
        </w:rPr>
      </w:pPr>
      <w:r w:rsidRPr="00EB4A97">
        <w:rPr>
          <w:szCs w:val="24"/>
        </w:rPr>
        <w:t>pyridoxin</w:t>
      </w:r>
    </w:p>
    <w:p w:rsidR="00C1602D" w:rsidRPr="00EB4A97" w:rsidRDefault="00C1602D" w:rsidP="00EB4A97">
      <w:pPr>
        <w:tabs>
          <w:tab w:val="left" w:pos="6647"/>
        </w:tabs>
        <w:spacing w:line="276" w:lineRule="auto"/>
        <w:ind w:left="993"/>
        <w:rPr>
          <w:szCs w:val="24"/>
        </w:rPr>
      </w:pPr>
      <w:r w:rsidRPr="00EB4A97">
        <w:rPr>
          <w:szCs w:val="24"/>
        </w:rPr>
        <w:t>zázvor</w:t>
      </w:r>
    </w:p>
    <w:p w:rsidR="00A44880" w:rsidRPr="00EB4A97" w:rsidRDefault="00A44880" w:rsidP="00EB4A97">
      <w:pPr>
        <w:tabs>
          <w:tab w:val="left" w:pos="6647"/>
        </w:tabs>
        <w:spacing w:line="276" w:lineRule="auto"/>
        <w:ind w:left="993"/>
        <w:rPr>
          <w:b/>
          <w:szCs w:val="24"/>
        </w:rPr>
      </w:pPr>
      <w:r w:rsidRPr="00EB4A97">
        <w:rPr>
          <w:szCs w:val="24"/>
        </w:rPr>
        <w:t>benzodiazepiny (nemají přímý antiemetogenní účinek</w:t>
      </w:r>
      <w:r w:rsidR="00525A30" w:rsidRPr="00EB4A97">
        <w:rPr>
          <w:szCs w:val="24"/>
        </w:rPr>
        <w:t>;</w:t>
      </w:r>
      <w:r w:rsidR="00525A30" w:rsidRPr="00EB4A97">
        <w:rPr>
          <w:rFonts w:asciiTheme="minorHAnsi" w:eastAsiaTheme="minorEastAsia" w:hAnsi="Calibri"/>
          <w:color w:val="000000" w:themeColor="text1"/>
          <w:kern w:val="24"/>
          <w:szCs w:val="24"/>
        </w:rPr>
        <w:t xml:space="preserve"> </w:t>
      </w:r>
      <w:r w:rsidR="00525A30" w:rsidRPr="00EB4A97">
        <w:rPr>
          <w:szCs w:val="24"/>
        </w:rPr>
        <w:t>doplněk léčby</w:t>
      </w:r>
      <w:r w:rsidR="00525A30" w:rsidRPr="00EB4A97">
        <w:rPr>
          <w:szCs w:val="24"/>
        </w:rPr>
        <w:sym w:font="Symbol" w:char="F0AE"/>
      </w:r>
      <w:r w:rsidR="00525A30" w:rsidRPr="00EB4A97">
        <w:rPr>
          <w:szCs w:val="24"/>
        </w:rPr>
        <w:t>úprava anxiety a reflektorické nauzey</w:t>
      </w:r>
      <w:r w:rsidRPr="00EB4A97">
        <w:rPr>
          <w:szCs w:val="24"/>
        </w:rPr>
        <w:t>)</w:t>
      </w:r>
    </w:p>
    <w:sectPr w:rsidR="00A44880" w:rsidRPr="00EB4A97" w:rsidSect="00A44880"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81"/>
    <w:multiLevelType w:val="hybridMultilevel"/>
    <w:tmpl w:val="0B8A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3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0BAF"/>
    <w:multiLevelType w:val="hybridMultilevel"/>
    <w:tmpl w:val="D4C2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3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4A27"/>
    <w:multiLevelType w:val="hybridMultilevel"/>
    <w:tmpl w:val="F75E6CC6"/>
    <w:lvl w:ilvl="0" w:tplc="F47E3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C36783"/>
    <w:multiLevelType w:val="hybridMultilevel"/>
    <w:tmpl w:val="F0FC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E30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20B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A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69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6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4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E4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B42BDA"/>
    <w:multiLevelType w:val="hybridMultilevel"/>
    <w:tmpl w:val="B816C162"/>
    <w:lvl w:ilvl="0" w:tplc="F47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57C20"/>
    <w:multiLevelType w:val="hybridMultilevel"/>
    <w:tmpl w:val="777C6E14"/>
    <w:lvl w:ilvl="0" w:tplc="5DDA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EE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AD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AF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CB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45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00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0E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64639"/>
    <w:multiLevelType w:val="hybridMultilevel"/>
    <w:tmpl w:val="5CDE2AD0"/>
    <w:lvl w:ilvl="0" w:tplc="F47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403F2"/>
    <w:multiLevelType w:val="hybridMultilevel"/>
    <w:tmpl w:val="29A4DE72"/>
    <w:lvl w:ilvl="0" w:tplc="669AA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0E308">
      <w:start w:val="14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88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03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4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0E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0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28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4D7370"/>
    <w:multiLevelType w:val="hybridMultilevel"/>
    <w:tmpl w:val="A1AA6366"/>
    <w:lvl w:ilvl="0" w:tplc="DE12E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6B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AD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5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25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A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8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09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4D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9501F8"/>
    <w:multiLevelType w:val="hybridMultilevel"/>
    <w:tmpl w:val="F276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323F4"/>
    <w:multiLevelType w:val="hybridMultilevel"/>
    <w:tmpl w:val="E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3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D1ABF"/>
    <w:multiLevelType w:val="hybridMultilevel"/>
    <w:tmpl w:val="02FA7272"/>
    <w:lvl w:ilvl="0" w:tplc="F47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B74CE"/>
    <w:multiLevelType w:val="hybridMultilevel"/>
    <w:tmpl w:val="A22CE32E"/>
    <w:lvl w:ilvl="0" w:tplc="F47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7C01"/>
    <w:rsid w:val="0014598D"/>
    <w:rsid w:val="00224A3D"/>
    <w:rsid w:val="002E0B0A"/>
    <w:rsid w:val="00433A2C"/>
    <w:rsid w:val="0046222B"/>
    <w:rsid w:val="00525A30"/>
    <w:rsid w:val="006B28FA"/>
    <w:rsid w:val="006E4120"/>
    <w:rsid w:val="00757C88"/>
    <w:rsid w:val="008C0F89"/>
    <w:rsid w:val="00A230E9"/>
    <w:rsid w:val="00A44880"/>
    <w:rsid w:val="00AC13FC"/>
    <w:rsid w:val="00BE2211"/>
    <w:rsid w:val="00C1602D"/>
    <w:rsid w:val="00C45482"/>
    <w:rsid w:val="00C70A8E"/>
    <w:rsid w:val="00D00EE4"/>
    <w:rsid w:val="00D37C01"/>
    <w:rsid w:val="00D624A0"/>
    <w:rsid w:val="00EB1435"/>
    <w:rsid w:val="00EB4A97"/>
    <w:rsid w:val="00F5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A3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A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33A2C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A3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A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33A2C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5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9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32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dovrtel</dc:creator>
  <cp:keywords/>
  <dc:description/>
  <cp:lastModifiedBy>MVDr.Miklošová</cp:lastModifiedBy>
  <cp:revision>8</cp:revision>
  <dcterms:created xsi:type="dcterms:W3CDTF">2013-08-16T07:51:00Z</dcterms:created>
  <dcterms:modified xsi:type="dcterms:W3CDTF">2013-09-11T08:29:00Z</dcterms:modified>
</cp:coreProperties>
</file>