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BB" w:rsidRPr="00E46BB2" w:rsidRDefault="008338BB" w:rsidP="008338BB">
      <w:pPr>
        <w:spacing w:after="0"/>
        <w:rPr>
          <w:rFonts w:ascii="Arial" w:eastAsia="Times New Roman" w:hAnsi="Arial" w:cs="Arial"/>
          <w:b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lang w:eastAsia="cs-CZ"/>
        </w:rPr>
        <w:t>Léčiva ovlivňující hemostázu</w:t>
      </w:r>
    </w:p>
    <w:p w:rsidR="008338BB" w:rsidRPr="001D5BCA" w:rsidRDefault="008338BB" w:rsidP="00833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D5BCA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zkratky: </w:t>
      </w:r>
      <w:proofErr w:type="spellStart"/>
      <w:r w:rsidRPr="001D5BCA">
        <w:rPr>
          <w:rFonts w:ascii="Times New Roman" w:eastAsia="Times New Roman" w:hAnsi="Times New Roman" w:cs="Times New Roman"/>
          <w:sz w:val="20"/>
          <w:szCs w:val="20"/>
          <w:lang w:eastAsia="sk-SK"/>
        </w:rPr>
        <w:t>Xa</w:t>
      </w:r>
      <w:proofErr w:type="spellEnd"/>
      <w:r w:rsidRPr="001D5BC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– aktivovaný faktor X, AIM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–</w:t>
      </w:r>
      <w:r w:rsidRPr="001D5BC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akutní infarkt myokardu)</w:t>
      </w:r>
    </w:p>
    <w:p w:rsidR="008338BB" w:rsidRDefault="008338BB" w:rsidP="00833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8338BB" w:rsidRPr="001D5BCA" w:rsidRDefault="008338BB" w:rsidP="00833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Antikoagulancia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 zástava koagulační kaskády</w:t>
      </w:r>
    </w:p>
    <w:p w:rsidR="008338BB" w:rsidRPr="001D5BCA" w:rsidRDefault="008338BB" w:rsidP="008338B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Přímá – heparin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injekčně podávané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antikoagulans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</w:t>
      </w:r>
      <w:proofErr w:type="spellStart"/>
      <w:proofErr w:type="gram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proofErr w:type="gram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nebo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), kontrola terapie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prodloužení aktivovaného parciálního tromboplastinového času (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aPTT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), je účinný </w:t>
      </w:r>
      <w:r w:rsidRPr="001D5BCA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in vitro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 </w:t>
      </w:r>
      <w:r w:rsidRPr="001D5BCA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 xml:space="preserve">in </w:t>
      </w:r>
      <w:proofErr w:type="spellStart"/>
      <w:r w:rsidRPr="001D5BCA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vivo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8338BB" w:rsidRPr="001D5BCA" w:rsidRDefault="008338BB" w:rsidP="008338B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MÚ: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asi 1000x zrychluje a podporuje interakce antitrombinu III, který ireverzibilně inhibuje aktivitu trombinu a faktoru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Xa</w:t>
      </w:r>
      <w:proofErr w:type="spellEnd"/>
    </w:p>
    <w:p w:rsidR="008338BB" w:rsidRPr="001D5BCA" w:rsidRDefault="008338BB" w:rsidP="008338BB">
      <w:pPr>
        <w:spacing w:after="0" w:line="240" w:lineRule="auto"/>
        <w:ind w:left="1440" w:hanging="2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specifický antagonista – protamin sulfát</w:t>
      </w:r>
    </w:p>
    <w:p w:rsidR="008338BB" w:rsidRPr="001D5BCA" w:rsidRDefault="008338BB" w:rsidP="008338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sk-SK"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LMWH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</w:t>
      </w: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nízkomolekulární hepariny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nadroparin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enoxaparin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dalteparin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8338BB" w:rsidRPr="001D5BCA" w:rsidRDefault="008338BB" w:rsidP="008338B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val="sk-SK" w:eastAsia="sk-SK"/>
        </w:rPr>
      </w:pP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vznikly degradací molekuly heparinu, mají lepší kinetické vlastnosti</w:t>
      </w:r>
    </w:p>
    <w:p w:rsidR="008338BB" w:rsidRPr="001D5BCA" w:rsidRDefault="008338BB" w:rsidP="008338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heparinoidy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heparansulfát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dermatansulfát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lokální i systémová (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danaparoid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 aplikace </w:t>
      </w:r>
    </w:p>
    <w:p w:rsidR="008338BB" w:rsidRPr="001D5BCA" w:rsidRDefault="008338BB" w:rsidP="008338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pentasacharidy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fondaparinux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aktivita proti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Xa</w:t>
      </w:r>
      <w:proofErr w:type="spellEnd"/>
    </w:p>
    <w:p w:rsidR="008338BB" w:rsidRPr="001D5BCA" w:rsidRDefault="008338BB" w:rsidP="008338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přímé inhibitory trombinu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odvozené od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hirudinu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–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lepirudin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bivalirudin</w:t>
      </w:r>
      <w:proofErr w:type="spellEnd"/>
    </w:p>
    <w:p w:rsidR="008338BB" w:rsidRPr="001D5BCA" w:rsidRDefault="008338BB" w:rsidP="008338B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- perorální </w:t>
      </w: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–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dabigatran</w:t>
      </w:r>
      <w:proofErr w:type="spellEnd"/>
    </w:p>
    <w:p w:rsidR="008338BB" w:rsidRPr="001D5BCA" w:rsidRDefault="008338BB" w:rsidP="008338B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xabany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nejnovější skupina, přímá inaktivace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Xa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rivaroxaban</w:t>
      </w:r>
      <w:proofErr w:type="spellEnd"/>
    </w:p>
    <w:p w:rsidR="008338BB" w:rsidRPr="001D5BCA" w:rsidRDefault="008338BB" w:rsidP="008338B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Nepřímá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perorálně podávaný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warfarin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proofErr w:type="spellStart"/>
      <w:proofErr w:type="gram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kompeticí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gram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 inhibuje</w:t>
      </w:r>
      <w:proofErr w:type="gram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karboxylaci při tvorbě f. II, VII, IX a X v játrech, účinek nastupuje postupně, terapie se kontroluje pomocí INR, teratogenní</w:t>
      </w:r>
    </w:p>
    <w:p w:rsidR="008338BB" w:rsidRPr="001D5BCA" w:rsidRDefault="008338BB" w:rsidP="008338BB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Cs/>
          <w:sz w:val="24"/>
          <w:szCs w:val="24"/>
          <w:lang w:val="sk-SK" w:eastAsia="sk-SK"/>
        </w:rPr>
      </w:pP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- nevýhoda – velmi četné interakce s jinými léčivy i potravinami obsahujícími vit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</w:t>
      </w:r>
    </w:p>
    <w:p w:rsidR="008338BB" w:rsidRPr="001D5BCA" w:rsidRDefault="008338BB" w:rsidP="008338B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338BB" w:rsidRPr="001D5BCA" w:rsidRDefault="008338BB" w:rsidP="008338B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Fibrinolytika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 způsobují degradaci trombu</w:t>
      </w:r>
    </w:p>
    <w:p w:rsidR="008338BB" w:rsidRPr="001D5BCA" w:rsidRDefault="008338BB" w:rsidP="008338B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Neselektivní 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g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enerace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-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streptokináza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je antigenní, nedá se používat opakovaně, je levná</w:t>
      </w:r>
    </w:p>
    <w:p w:rsidR="008338BB" w:rsidRPr="001D5BCA" w:rsidRDefault="008338BB" w:rsidP="008338B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- </w:t>
      </w: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urokináza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 méně účinná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ale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nesenzitizuje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při opakovaném užívání</w:t>
      </w:r>
    </w:p>
    <w:p w:rsidR="008338BB" w:rsidRPr="001D5BCA" w:rsidRDefault="008338BB" w:rsidP="008338BB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Selektivní 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g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enerace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-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altepláza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je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rekombinantně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připravená t-PA (tkáňový aktivátor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plazminogenu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– je selektivní a velmi silná, ale má krátkou účinnost</w:t>
      </w:r>
    </w:p>
    <w:p w:rsidR="008338BB" w:rsidRPr="001D5BCA" w:rsidRDefault="008338BB" w:rsidP="008338BB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Další deriváty t-PA –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retepláza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dutepláza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tenektepláza</w:t>
      </w:r>
      <w:proofErr w:type="spellEnd"/>
    </w:p>
    <w:p w:rsidR="008338BB" w:rsidRPr="001D5BCA" w:rsidRDefault="008338BB" w:rsidP="008338B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338BB" w:rsidRPr="001D5BCA" w:rsidRDefault="008338BB" w:rsidP="008338B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Antifibrinolytika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zabraňují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fibrinolýze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použití u hemofiliků, krvácivé chirurgické výkony</w:t>
      </w:r>
    </w:p>
    <w:p w:rsidR="008338BB" w:rsidRPr="001D5BCA" w:rsidRDefault="008338BB" w:rsidP="008338BB">
      <w:pPr>
        <w:spacing w:after="0" w:line="240" w:lineRule="auto"/>
        <w:ind w:left="2124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PAMBA (kyselina para-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amino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-metyl-benzoová), kyselina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tranexamová</w:t>
      </w:r>
      <w:proofErr w:type="spellEnd"/>
    </w:p>
    <w:p w:rsidR="008338BB" w:rsidRPr="001D5BCA" w:rsidRDefault="008338BB" w:rsidP="008338B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338BB" w:rsidRPr="001D5BCA" w:rsidRDefault="008338BB" w:rsidP="008338B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Antitrombotika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(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protidestičkové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látky),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rozdělení dle mechanismu účinku:</w:t>
      </w:r>
    </w:p>
    <w:p w:rsidR="008338BB" w:rsidRPr="001D5BCA" w:rsidRDefault="008338BB" w:rsidP="008338B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338BB" w:rsidRPr="001D5BCA" w:rsidRDefault="008338BB" w:rsidP="00833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inhibice tvorby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tromboxanu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inhibice COX –</w:t>
      </w: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kyselina acetylsalicylová – ASA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 ireverzibilní blokáda COX, profylakticky malé dávky (cca 50mg), první pomoc u AIM – 500 mg, typické NÚ u 20% pacientů, stejný podíl je rezistentní k terapii, ale je levná</w:t>
      </w:r>
    </w:p>
    <w:p w:rsidR="008338BB" w:rsidRPr="001D5BCA" w:rsidRDefault="008338BB" w:rsidP="008338B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338BB" w:rsidRPr="001D5BCA" w:rsidRDefault="008338BB" w:rsidP="008338BB">
      <w:pPr>
        <w:spacing w:after="0" w:line="240" w:lineRule="auto"/>
        <w:ind w:firstLine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inhibice tvorby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tromboxanu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A2 zvýšením hladiny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cAMP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trombocytu</w:t>
      </w: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-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dipyridamol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pentoxifylin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prostacyklin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jeho analoga</w:t>
      </w:r>
    </w:p>
    <w:p w:rsidR="008338BB" w:rsidRPr="001D5BCA" w:rsidRDefault="008338BB" w:rsidP="008338B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338BB" w:rsidRPr="001D5BCA" w:rsidRDefault="008338BB" w:rsidP="008338B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inhibice tvorby fibrinogenových můstků mezi trombocyty</w:t>
      </w:r>
    </w:p>
    <w:p w:rsidR="008338BB" w:rsidRPr="001D5BCA" w:rsidRDefault="008338BB" w:rsidP="008338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inhibice receptoru pro ADP v membráně trombocytu  </w:t>
      </w:r>
    </w:p>
    <w:p w:rsidR="008338BB" w:rsidRPr="001D5BCA" w:rsidRDefault="008338BB" w:rsidP="008338BB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tik</w:t>
      </w: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lopidin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klopidogrel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(zlatý standard v této skupině)</w:t>
      </w: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prasugrel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ticagrelor</w:t>
      </w:r>
      <w:proofErr w:type="spellEnd"/>
    </w:p>
    <w:p w:rsidR="008338BB" w:rsidRPr="001D5BCA" w:rsidRDefault="008338BB" w:rsidP="008338BB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338BB" w:rsidRPr="001D5BCA" w:rsidRDefault="008338BB" w:rsidP="008338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 inhibice receptoru pro fibrinogen v membráně trombocytu (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IIb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IIIa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8338BB" w:rsidRPr="001D5BCA" w:rsidRDefault="008338BB" w:rsidP="008338BB">
      <w:pPr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–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eptifibatid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tirofiban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lamifiban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abciximab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(monoklonální protilátka proti tomuto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</w:p>
    <w:p w:rsidR="008338BB" w:rsidRPr="001D5BCA" w:rsidRDefault="008338BB" w:rsidP="008338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338BB" w:rsidRPr="001D5BCA" w:rsidRDefault="008338BB" w:rsidP="00833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Hemostatika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způsobují zástavu krvácení (bez výrazného ovlivnění samotné koagulace nebo destiček),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MÚ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vasokonstrikce, ovlivnění produkce </w:t>
      </w:r>
      <w:proofErr w:type="spell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autakoidů</w:t>
      </w:r>
      <w:proofErr w:type="spell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apod.</w:t>
      </w:r>
    </w:p>
    <w:p w:rsidR="008338BB" w:rsidRPr="001D5BCA" w:rsidRDefault="008338BB" w:rsidP="00833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želatina, želatinová houba, kolagen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lokálně</w:t>
      </w:r>
    </w:p>
    <w:p w:rsidR="008338BB" w:rsidRPr="001D5BCA" w:rsidRDefault="008338BB" w:rsidP="00833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etamsylát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systémově (např. </w:t>
      </w:r>
      <w:proofErr w:type="spellStart"/>
      <w:proofErr w:type="gramStart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proofErr w:type="gramEnd"/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podání při krvácení z GIT)</w:t>
      </w:r>
    </w:p>
    <w:p w:rsidR="008338BB" w:rsidRPr="001D5BCA" w:rsidRDefault="008338BB" w:rsidP="008338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deriváty vasopresinu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</w:t>
      </w: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terlipresin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ornipresin</w:t>
      </w:r>
      <w:proofErr w:type="spellEnd"/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D5BC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výrazná vasokonstrikce, lokálně i systémově</w:t>
      </w:r>
    </w:p>
    <w:p w:rsidR="008338BB" w:rsidRPr="001D5BCA" w:rsidRDefault="008338BB" w:rsidP="008338B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k-SK" w:eastAsia="sk-SK"/>
        </w:rPr>
      </w:pPr>
      <w:r w:rsidRPr="001D5BCA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(pozn. derivát </w:t>
      </w:r>
      <w:proofErr w:type="spellStart"/>
      <w:r w:rsidRPr="001D5BCA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desmopresin</w:t>
      </w:r>
      <w:proofErr w:type="spellEnd"/>
      <w:r w:rsidRPr="001D5BCA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má specifický účinek anurický, používá se u diabetes </w:t>
      </w:r>
      <w:proofErr w:type="spellStart"/>
      <w:r w:rsidRPr="001D5BCA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insipidus</w:t>
      </w:r>
      <w:proofErr w:type="spellEnd"/>
      <w:r w:rsidRPr="001D5BCA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nebo nykturii)</w:t>
      </w:r>
    </w:p>
    <w:p w:rsidR="008338BB" w:rsidRPr="001D5BCA" w:rsidRDefault="008338BB" w:rsidP="00833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338BB" w:rsidRDefault="008338BB" w:rsidP="008338BB">
      <w:pPr>
        <w:spacing w:after="0" w:line="240" w:lineRule="auto"/>
      </w:pPr>
      <w:r w:rsidRPr="001D5BC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Náhrady: mražená plazma, humánní fibrinogen, trombin, koagulační faktory (např. Novo VII)</w:t>
      </w:r>
    </w:p>
    <w:p w:rsidR="004E3538" w:rsidRDefault="004E3538"/>
    <w:sectPr w:rsidR="004E3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12" w:rsidRDefault="00784612" w:rsidP="0062681A">
      <w:pPr>
        <w:spacing w:after="0" w:line="240" w:lineRule="auto"/>
      </w:pPr>
      <w:r>
        <w:separator/>
      </w:r>
    </w:p>
  </w:endnote>
  <w:endnote w:type="continuationSeparator" w:id="0">
    <w:p w:rsidR="00784612" w:rsidRDefault="00784612" w:rsidP="0062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BB" w:rsidRDefault="008338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BB" w:rsidRDefault="008338B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BB" w:rsidRDefault="008338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12" w:rsidRDefault="00784612" w:rsidP="0062681A">
      <w:pPr>
        <w:spacing w:after="0" w:line="240" w:lineRule="auto"/>
      </w:pPr>
      <w:r>
        <w:separator/>
      </w:r>
    </w:p>
  </w:footnote>
  <w:footnote w:type="continuationSeparator" w:id="0">
    <w:p w:rsidR="00784612" w:rsidRDefault="00784612" w:rsidP="0062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BB" w:rsidRDefault="008338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1A" w:rsidRPr="0062681A" w:rsidRDefault="0062681A" w:rsidP="0062681A">
    <w:pPr>
      <w:ind w:hanging="567"/>
      <w:rPr>
        <w:rFonts w:eastAsia="Times New Roman"/>
        <w:color w:val="A6A6A6"/>
        <w:sz w:val="20"/>
        <w:szCs w:val="20"/>
      </w:rPr>
    </w:pPr>
    <w:bookmarkStart w:id="0" w:name="_GoBack"/>
    <w:r w:rsidRPr="009777A7">
      <w:rPr>
        <w:rFonts w:eastAsia="Times New Roman"/>
        <w:color w:val="A6A6A6"/>
        <w:sz w:val="20"/>
        <w:szCs w:val="20"/>
      </w:rPr>
      <w:t>Podklady pro  BPFA0321p, BSFA0321p, BZFA031p Farmakologie – přednáška</w:t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>
      <w:rPr>
        <w:rFonts w:eastAsia="Times New Roman"/>
        <w:color w:val="A6A6A6"/>
        <w:sz w:val="20"/>
        <w:szCs w:val="20"/>
      </w:rPr>
      <w:t>5. přednáška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BB" w:rsidRDefault="008338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807E7"/>
    <w:multiLevelType w:val="hybridMultilevel"/>
    <w:tmpl w:val="BD80900A"/>
    <w:lvl w:ilvl="0" w:tplc="52C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C4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745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B26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2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C2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6C4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AF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49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1A"/>
    <w:rsid w:val="004E3538"/>
    <w:rsid w:val="0062681A"/>
    <w:rsid w:val="00784612"/>
    <w:rsid w:val="0083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81A"/>
  </w:style>
  <w:style w:type="paragraph" w:styleId="Zpat">
    <w:name w:val="footer"/>
    <w:basedOn w:val="Normln"/>
    <w:link w:val="ZpatChar"/>
    <w:uiPriority w:val="99"/>
    <w:unhideWhenUsed/>
    <w:rsid w:val="0062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81A"/>
  </w:style>
  <w:style w:type="paragraph" w:styleId="Zpat">
    <w:name w:val="footer"/>
    <w:basedOn w:val="Normln"/>
    <w:link w:val="ZpatChar"/>
    <w:uiPriority w:val="99"/>
    <w:unhideWhenUsed/>
    <w:rsid w:val="0062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2</cp:revision>
  <dcterms:created xsi:type="dcterms:W3CDTF">2014-09-11T07:33:00Z</dcterms:created>
  <dcterms:modified xsi:type="dcterms:W3CDTF">2014-09-11T07:34:00Z</dcterms:modified>
</cp:coreProperties>
</file>