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569AE"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Výživová tvrzení jsou přípustná pouze tehdy, pokud jsou uvedena v příloze nařízení (ES) č. 1924/2006 a jsou v souladu se stanovenými podmínkami.</w:t>
      </w:r>
    </w:p>
    <w:p w14:paraId="1093EDDD" w14:textId="77777777" w:rsidR="004279B2" w:rsidRPr="004279B2" w:rsidRDefault="004279B2" w:rsidP="004279B2">
      <w:pPr>
        <w:spacing w:before="100" w:beforeAutospacing="1" w:after="100" w:afterAutospacing="1"/>
        <w:outlineLvl w:val="2"/>
        <w:rPr>
          <w:rFonts w:ascii="Arial" w:eastAsia="Times New Roman" w:hAnsi="Arial" w:cs="Arial"/>
          <w:b/>
          <w:bCs/>
          <w:color w:val="899F18"/>
          <w:sz w:val="29"/>
          <w:szCs w:val="29"/>
          <w:lang w:eastAsia="cs-CZ"/>
        </w:rPr>
      </w:pPr>
      <w:r w:rsidRPr="004279B2">
        <w:rPr>
          <w:rFonts w:ascii="Arial" w:eastAsia="Times New Roman" w:hAnsi="Arial" w:cs="Arial"/>
          <w:b/>
          <w:bCs/>
          <w:color w:val="899F18"/>
          <w:sz w:val="29"/>
          <w:szCs w:val="29"/>
          <w:lang w:eastAsia="cs-CZ"/>
        </w:rPr>
        <w:t>Výživová tvrzení a podmínky, které se na ně vztahují:</w:t>
      </w:r>
    </w:p>
    <w:p w14:paraId="1618ECDD"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S NÍZKOU ENERGETICKOU HODNOTOU</w:t>
      </w:r>
    </w:p>
    <w:p w14:paraId="554388E4"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 xml:space="preserve">Tvrzení, že se jedná o nízkoenergetickou potravinu, a jakékoli tvrzení, které má pro spotřebitele pravděpodobně stejný význam, lze použít pouze tehdy, neobsahuje-li produkt více než 40 kcal (170 </w:t>
      </w:r>
      <w:proofErr w:type="spellStart"/>
      <w:proofErr w:type="gramStart"/>
      <w:r w:rsidRPr="004279B2">
        <w:rPr>
          <w:rFonts w:ascii="Arial" w:eastAsia="Times New Roman" w:hAnsi="Arial" w:cs="Arial"/>
          <w:color w:val="5B5B5B"/>
          <w:sz w:val="19"/>
          <w:szCs w:val="19"/>
          <w:lang w:eastAsia="cs-CZ"/>
        </w:rPr>
        <w:t>kJ</w:t>
      </w:r>
      <w:proofErr w:type="spellEnd"/>
      <w:r w:rsidRPr="004279B2">
        <w:rPr>
          <w:rFonts w:ascii="Arial" w:eastAsia="Times New Roman" w:hAnsi="Arial" w:cs="Arial"/>
          <w:color w:val="5B5B5B"/>
          <w:sz w:val="19"/>
          <w:szCs w:val="19"/>
          <w:lang w:eastAsia="cs-CZ"/>
        </w:rPr>
        <w:t>)/</w:t>
      </w:r>
      <w:proofErr w:type="gramEnd"/>
      <w:r w:rsidRPr="004279B2">
        <w:rPr>
          <w:rFonts w:ascii="Arial" w:eastAsia="Times New Roman" w:hAnsi="Arial" w:cs="Arial"/>
          <w:color w:val="5B5B5B"/>
          <w:sz w:val="19"/>
          <w:szCs w:val="19"/>
          <w:lang w:eastAsia="cs-CZ"/>
        </w:rPr>
        <w:t xml:space="preserve">100 g v případě potravin pevné konzistence nebo více než 20 kcal (80 </w:t>
      </w:r>
      <w:proofErr w:type="spellStart"/>
      <w:r w:rsidRPr="004279B2">
        <w:rPr>
          <w:rFonts w:ascii="Arial" w:eastAsia="Times New Roman" w:hAnsi="Arial" w:cs="Arial"/>
          <w:color w:val="5B5B5B"/>
          <w:sz w:val="19"/>
          <w:szCs w:val="19"/>
          <w:lang w:eastAsia="cs-CZ"/>
        </w:rPr>
        <w:t>kJ</w:t>
      </w:r>
      <w:proofErr w:type="spellEnd"/>
      <w:r w:rsidRPr="004279B2">
        <w:rPr>
          <w:rFonts w:ascii="Arial" w:eastAsia="Times New Roman" w:hAnsi="Arial" w:cs="Arial"/>
          <w:color w:val="5B5B5B"/>
          <w:sz w:val="19"/>
          <w:szCs w:val="19"/>
          <w:lang w:eastAsia="cs-CZ"/>
        </w:rPr>
        <w:t xml:space="preserve">)/100 ml v případě tekutin. V případě stolních sladidel se použije limit 4 kcal (17 </w:t>
      </w:r>
      <w:proofErr w:type="spellStart"/>
      <w:r w:rsidRPr="004279B2">
        <w:rPr>
          <w:rFonts w:ascii="Arial" w:eastAsia="Times New Roman" w:hAnsi="Arial" w:cs="Arial"/>
          <w:color w:val="5B5B5B"/>
          <w:sz w:val="19"/>
          <w:szCs w:val="19"/>
          <w:lang w:eastAsia="cs-CZ"/>
        </w:rPr>
        <w:t>kJ</w:t>
      </w:r>
      <w:proofErr w:type="spellEnd"/>
      <w:r w:rsidRPr="004279B2">
        <w:rPr>
          <w:rFonts w:ascii="Arial" w:eastAsia="Times New Roman" w:hAnsi="Arial" w:cs="Arial"/>
          <w:color w:val="5B5B5B"/>
          <w:sz w:val="19"/>
          <w:szCs w:val="19"/>
          <w:lang w:eastAsia="cs-CZ"/>
        </w:rPr>
        <w:t>) na porci, se sladivými vlastnostmi odpovídajícími 6 g sacharózy (přibližně 1 kávová lžička sacharózy).</w:t>
      </w:r>
    </w:p>
    <w:p w14:paraId="1AE76BEC"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SE SNÍŽENOU ENERGETICKOU HODNOTOU</w:t>
      </w:r>
    </w:p>
    <w:p w14:paraId="3B23EF16"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Tvrzení, že se jedná o potravinu se sníženou energetickou hodnotou, a jakékoli tvrzení, které má pro spotřebitele pravděpodobně stejný význam, lze použít pouze tehdy, je-li energetická hodnota snížena alespoň o 30 %, a současně je nutné uvést vlastnost nebo vlastnosti, díky nimž má potravina sníženou celkovou energetickou hodnotu.</w:t>
      </w:r>
    </w:p>
    <w:p w14:paraId="6C97FB3A"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BEZ ENERGETICKÉ HODNOTY</w:t>
      </w:r>
    </w:p>
    <w:p w14:paraId="1D8DD0EA"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 xml:space="preserve">Tvrzení, že se jedná o potravinu bez energetické hodnoty, a jakékoli tvrzení, které má pro spotřebitele pravděpodobně stejný význam, lze použít pouze tehdy, neobsahuje-li produkt více než 4 kcal (17 </w:t>
      </w:r>
      <w:proofErr w:type="spellStart"/>
      <w:proofErr w:type="gramStart"/>
      <w:r w:rsidRPr="004279B2">
        <w:rPr>
          <w:rFonts w:ascii="Arial" w:eastAsia="Times New Roman" w:hAnsi="Arial" w:cs="Arial"/>
          <w:color w:val="5B5B5B"/>
          <w:sz w:val="19"/>
          <w:szCs w:val="19"/>
          <w:lang w:eastAsia="cs-CZ"/>
        </w:rPr>
        <w:t>kJ</w:t>
      </w:r>
      <w:proofErr w:type="spellEnd"/>
      <w:r w:rsidRPr="004279B2">
        <w:rPr>
          <w:rFonts w:ascii="Arial" w:eastAsia="Times New Roman" w:hAnsi="Arial" w:cs="Arial"/>
          <w:color w:val="5B5B5B"/>
          <w:sz w:val="19"/>
          <w:szCs w:val="19"/>
          <w:lang w:eastAsia="cs-CZ"/>
        </w:rPr>
        <w:t>)/</w:t>
      </w:r>
      <w:proofErr w:type="gramEnd"/>
      <w:r w:rsidRPr="004279B2">
        <w:rPr>
          <w:rFonts w:ascii="Arial" w:eastAsia="Times New Roman" w:hAnsi="Arial" w:cs="Arial"/>
          <w:color w:val="5B5B5B"/>
          <w:sz w:val="19"/>
          <w:szCs w:val="19"/>
          <w:lang w:eastAsia="cs-CZ"/>
        </w:rPr>
        <w:t xml:space="preserve">100 ml. V případě stolních sladidel se použije limit 0,4 kcal (1,7 </w:t>
      </w:r>
      <w:proofErr w:type="spellStart"/>
      <w:r w:rsidRPr="004279B2">
        <w:rPr>
          <w:rFonts w:ascii="Arial" w:eastAsia="Times New Roman" w:hAnsi="Arial" w:cs="Arial"/>
          <w:color w:val="5B5B5B"/>
          <w:sz w:val="19"/>
          <w:szCs w:val="19"/>
          <w:lang w:eastAsia="cs-CZ"/>
        </w:rPr>
        <w:t>kJ</w:t>
      </w:r>
      <w:proofErr w:type="spellEnd"/>
      <w:r w:rsidRPr="004279B2">
        <w:rPr>
          <w:rFonts w:ascii="Arial" w:eastAsia="Times New Roman" w:hAnsi="Arial" w:cs="Arial"/>
          <w:color w:val="5B5B5B"/>
          <w:sz w:val="19"/>
          <w:szCs w:val="19"/>
          <w:lang w:eastAsia="cs-CZ"/>
        </w:rPr>
        <w:t>) na porci, se sladivými vlastnostmi odpovídajícími 6 g sacharózy (přibližně 1 kávová lžička sacharózy).</w:t>
      </w:r>
    </w:p>
    <w:p w14:paraId="649469C3"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S NÍZKÝM OBSAHEM TUKU</w:t>
      </w:r>
    </w:p>
    <w:p w14:paraId="2CAA45FE"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Tvrzení, že se jedná o nízkotučnou potravinu, a jakékoli tvrzení, které má pro spotřebitele pravděpodobně stejný význam, lze použít pouze tehdy, neobsahuje-li produkt více než 3 g tuku na 100 g v případě potravin pevné konzistence nebo 1,5 g tuku na 100 ml v případě tekutin (1,8 g tuku na 100 ml v případě polotučného mléka).</w:t>
      </w:r>
    </w:p>
    <w:p w14:paraId="1B4BE72F"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BEZ TUKU</w:t>
      </w:r>
    </w:p>
    <w:p w14:paraId="49F0BB9B"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Tvrzení, že se jedná o potravinu bez tuku, a jakékoli tvrzení, které má pro spotřebitele pravděpodobně stejný význam, lze použít pouze tehdy, neobsahuje-li produkt více než 0,5 g tuku na 100 g nebo 100 ml. Tvrzení vyjádřená jako "X % bez tuku" jsou však zakázána.</w:t>
      </w:r>
    </w:p>
    <w:p w14:paraId="335A18BA"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S NÍZKÝM OBSAHEM NASYCENÝCH TUKŮ</w:t>
      </w:r>
    </w:p>
    <w:p w14:paraId="2273753C"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 xml:space="preserve">Tvrzení, že se jedná o potravinu s nízkým obsahem nasycených tuků, a jakékoli tvrzení, které má pro spotřebitele pravděpodobně stejný význam, lze použít pouze tehdy, pokud celkový obsah nasycených mastných kyselin a </w:t>
      </w:r>
      <w:proofErr w:type="spellStart"/>
      <w:r w:rsidRPr="004279B2">
        <w:rPr>
          <w:rFonts w:ascii="Arial" w:eastAsia="Times New Roman" w:hAnsi="Arial" w:cs="Arial"/>
          <w:color w:val="5B5B5B"/>
          <w:sz w:val="19"/>
          <w:szCs w:val="19"/>
          <w:lang w:eastAsia="cs-CZ"/>
        </w:rPr>
        <w:t>transmastných</w:t>
      </w:r>
      <w:proofErr w:type="spellEnd"/>
      <w:r w:rsidRPr="004279B2">
        <w:rPr>
          <w:rFonts w:ascii="Arial" w:eastAsia="Times New Roman" w:hAnsi="Arial" w:cs="Arial"/>
          <w:color w:val="5B5B5B"/>
          <w:sz w:val="19"/>
          <w:szCs w:val="19"/>
          <w:lang w:eastAsia="cs-CZ"/>
        </w:rPr>
        <w:t xml:space="preserve"> kyselin v produktu nepřesahuje 1,5 g na 100 g v případě potravin pevné konzistence nebo 0,75 g na 100 ml v případě tekutin, přičemž v žádném z těchto případů nesmí celkový obsah nasycených mastných kyselin a </w:t>
      </w:r>
      <w:proofErr w:type="spellStart"/>
      <w:r w:rsidRPr="004279B2">
        <w:rPr>
          <w:rFonts w:ascii="Arial" w:eastAsia="Times New Roman" w:hAnsi="Arial" w:cs="Arial"/>
          <w:color w:val="5B5B5B"/>
          <w:sz w:val="19"/>
          <w:szCs w:val="19"/>
          <w:lang w:eastAsia="cs-CZ"/>
        </w:rPr>
        <w:t>transmastných</w:t>
      </w:r>
      <w:proofErr w:type="spellEnd"/>
      <w:r w:rsidRPr="004279B2">
        <w:rPr>
          <w:rFonts w:ascii="Arial" w:eastAsia="Times New Roman" w:hAnsi="Arial" w:cs="Arial"/>
          <w:color w:val="5B5B5B"/>
          <w:sz w:val="19"/>
          <w:szCs w:val="19"/>
          <w:lang w:eastAsia="cs-CZ"/>
        </w:rPr>
        <w:t xml:space="preserve"> kyselin představovat více než 10 % energetické hodnoty.</w:t>
      </w:r>
    </w:p>
    <w:p w14:paraId="42653439"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BEZ NASYCENÝCH TUKŮ</w:t>
      </w:r>
    </w:p>
    <w:p w14:paraId="3F9135BD"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 xml:space="preserve">Tvrzení, že se jedná o potravinu bez nasycených tuků, a jakékoli tvrzení, které má pro spotřebitele pravděpodobně stejný význam, lze použít pouze tehdy, pokud celkový obsah nasycených tuků a </w:t>
      </w:r>
      <w:proofErr w:type="spellStart"/>
      <w:r w:rsidRPr="004279B2">
        <w:rPr>
          <w:rFonts w:ascii="Arial" w:eastAsia="Times New Roman" w:hAnsi="Arial" w:cs="Arial"/>
          <w:color w:val="5B5B5B"/>
          <w:sz w:val="19"/>
          <w:szCs w:val="19"/>
          <w:lang w:eastAsia="cs-CZ"/>
        </w:rPr>
        <w:t>transmastných</w:t>
      </w:r>
      <w:proofErr w:type="spellEnd"/>
      <w:r w:rsidRPr="004279B2">
        <w:rPr>
          <w:rFonts w:ascii="Arial" w:eastAsia="Times New Roman" w:hAnsi="Arial" w:cs="Arial"/>
          <w:color w:val="5B5B5B"/>
          <w:sz w:val="19"/>
          <w:szCs w:val="19"/>
          <w:lang w:eastAsia="cs-CZ"/>
        </w:rPr>
        <w:t xml:space="preserve"> kyselin nepřesahuje 0,1g nasycených tuků na 100 g nebo 100 ml.</w:t>
      </w:r>
    </w:p>
    <w:p w14:paraId="40C774FE"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S NÍZKÝM OBSAHEM CUKRŮ</w:t>
      </w:r>
    </w:p>
    <w:p w14:paraId="3EE00C3D"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Tvrzení, že se jedná o potravinu s nízkým obsahem cukrů, a jakékoli tvrzení, které má pro spotřebitele pravděpodobně stejný význam, lze použít pouze tehdy, neobsahuje-li produkt více než 5 g cukrů na 100 g v případě potravin pevné konzistence nebo 2,5 g cukrů na 100 ml v případě tekutin.</w:t>
      </w:r>
    </w:p>
    <w:p w14:paraId="34426371"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BEZ CUKRŮ</w:t>
      </w:r>
    </w:p>
    <w:p w14:paraId="71EDB360"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Tvrzení, že se jedná o potravinu bez cukrů, a jakékoli tvrzení, které má pro spotřebitele pravděpodobně stejný význam, lze použít pouze tehdy, neobsahuje-li produkt více než 0,5 g cukrů na 100 g nebo 100 ml.</w:t>
      </w:r>
    </w:p>
    <w:p w14:paraId="47075519"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BEZ PŘÍDAVKU CUKRŮ</w:t>
      </w:r>
    </w:p>
    <w:p w14:paraId="7F587738"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Tvrzení, že do potraviny nebyly přidány cukry, a jakékoli tvrzení, které má pro spotřebitele pravděpodobně stejný význam, lze použít pouze tehdy, pokud nebyly do produktu přidány žádné monosacharidy ani disacharidy ani žádná jiná potravina používaná pro své sladivé vlastnosti. Pokud se cukry v potravině vyskytují přirozeně, mělo by být na etiketě rovněž uvedeno: "</w:t>
      </w:r>
      <w:r w:rsidRPr="004279B2">
        <w:rPr>
          <w:rFonts w:ascii="Arial" w:eastAsia="Times New Roman" w:hAnsi="Arial" w:cs="Arial"/>
          <w:b/>
          <w:bCs/>
          <w:color w:val="5B5B5B"/>
          <w:sz w:val="19"/>
          <w:szCs w:val="19"/>
          <w:lang w:eastAsia="cs-CZ"/>
        </w:rPr>
        <w:t>OBSAHUJE PŘIROZENĚ SE VYSKYTUJÍCÍ CUKRY".</w:t>
      </w:r>
    </w:p>
    <w:p w14:paraId="7FE2A90F"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S NÍZKÝM OBSAHEM SODÍKU/SOLI</w:t>
      </w:r>
    </w:p>
    <w:p w14:paraId="357C9F42"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Tvrzení, že se jedná o potravinu s nízkým obsahem sodíku/soli, a jakékoli tvrzení, které má pro spotřebitele pravděpodobně stejný význam, lze použít pouze tehdy, neobsahuje-li produkt více než 0,12 g sodíku nebo rovnocenné množství soli na 100 g nebo 100 ml. V případě vod jiných než přírodních minerálních vod spadajících do působnosti směrnice 80/777/EHS by tato hodnota neměla být vyšší než 2 mg sodíku na 100 ml.</w:t>
      </w:r>
    </w:p>
    <w:p w14:paraId="08F675BB"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S VELMI NÍZKÝM OBSAHEM SODÍKU/SOLI</w:t>
      </w:r>
    </w:p>
    <w:p w14:paraId="720F36BC"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 xml:space="preserve">Tvrzení, že se jedná o potravinu s velmi nízkým obsahem sodíku/soli, a jakékoli tvrzení, které má pro spotřebitele pravděpodobně stejný význam, lze použít pouze tehdy, neobsahuje-li produkt více než 0,04 g </w:t>
      </w:r>
      <w:r w:rsidRPr="004279B2">
        <w:rPr>
          <w:rFonts w:ascii="Arial" w:eastAsia="Times New Roman" w:hAnsi="Arial" w:cs="Arial"/>
          <w:color w:val="5B5B5B"/>
          <w:sz w:val="19"/>
          <w:szCs w:val="19"/>
          <w:lang w:eastAsia="cs-CZ"/>
        </w:rPr>
        <w:lastRenderedPageBreak/>
        <w:t>sodíku nebo rovnocenné množství soli na 100 g nebo 100 ml. Toto tvrzení nelze použít v případě přírodních minerálních vod a jiných vod.</w:t>
      </w:r>
    </w:p>
    <w:p w14:paraId="4CB3C627"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BEZ SODÍKU NEBO BEZ SOLI</w:t>
      </w:r>
    </w:p>
    <w:p w14:paraId="27C5A9C0"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Tvrzení, že se jedná o potravinu bez sodíku nebo bez soli, a jakékoli tvrzení, které má pro spotřebitele pravděpodobně stejný význam, lze použít pouze tehdy, neobsahuje-li produkt více než 0,005 g sodíku nebo rovnocenné množství soli na 100 g.</w:t>
      </w:r>
    </w:p>
    <w:p w14:paraId="650DED96"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ZDROJ VLÁKNINY</w:t>
      </w:r>
    </w:p>
    <w:p w14:paraId="62606E3B"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Tvrzení, že se jedná o potravinu, která je zdrojem vlákniny, a jakékoli tvrzení, které má pro spotřebitele pravděpodobně stejný význam, lze použít pouze tehdy, obsahuje-li produkt alespoň 3 g vlákniny na 100 g nebo alespoň 1,5 g na 100 kcal.</w:t>
      </w:r>
    </w:p>
    <w:p w14:paraId="2871A600"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S VYSOKÝM OBSAHEM VLÁKNINY</w:t>
      </w:r>
    </w:p>
    <w:p w14:paraId="2AFA1C4D"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Tvrzení, že se jedná o potravinu s vysokým obsahem vlákniny, a jakékoli tvrzení, které má pro spotřebitele pravděpodobně stejný význam, lze použít pouze tehdy, obsahuje-li produkt alespoň 6 g vlákniny na 100 g nebo alespoň 3 g na 100 kcal.</w:t>
      </w:r>
    </w:p>
    <w:p w14:paraId="581C88B1"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ZDROJ BÍLKOVIN</w:t>
      </w:r>
    </w:p>
    <w:p w14:paraId="59B4DC85"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Tvrzení, že se jedná o potravinu, která je zdrojem bílkovin, a jakékoli tvrzení, které má pro spotřebitele pravděpodobně stejný význam, lze použít pouze tehdy, pokud bílkoviny představují alespoň 12 % energetické hodnoty potraviny.</w:t>
      </w:r>
    </w:p>
    <w:p w14:paraId="0A7CBB94"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S VYSOKÝM OBSAHEM BÍLKOVIN</w:t>
      </w:r>
    </w:p>
    <w:p w14:paraId="6E34C766"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Tvrzení, že se jedná o potravinu s vysokým obsahem bílkovin, a jakékoli tvrzení, které má pro spotřebitele pravděpodobně stejný význam, lze použít pouze tehdy, pokud bílkoviny představují alespoň 20 % energetické hodnoty potraviny.</w:t>
      </w:r>
    </w:p>
    <w:p w14:paraId="79D27B74"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ZDROJ (NÁZEV VITAMINU/VITAMINŮ) NEBO (NÁZEV MINERÁLNÍ LÁTKY/MINERÁLNÍCH LÁTEK)</w:t>
      </w:r>
    </w:p>
    <w:p w14:paraId="1AD70475"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Tvrzení, že se jedná o potravinu, která je zdrojem vitaminů nebo minerálních látek, a jakékoli tvrzení, které má pro spotřebitele pravděpodobně stejný význam, lze použít pouze tehdy, obsahuje-li produkt alespoň významné množství vitaminů nebo minerálních látek, jak je uvedeno v příloze směrnice Rady 90/496/EHS nebo množství uvedené v odchylkách stanovených v článku 7 nařízení Evropského parlamentu a Rady (ES) č. 1925/2006 ze dne 20. prosince 2006 o přidávání vitaminů, minerálních látek a některých dalších látek do potravin.</w:t>
      </w:r>
    </w:p>
    <w:p w14:paraId="45D2C4F6"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S VYSOKÝM OBSAHEM (NÁZEV VITAMINU/VITAMINŮ) NEBO (NÁZEV MINERÁLNÍ LÁTKY/MINERÁLNÍCH LÁTEK)</w:t>
      </w:r>
    </w:p>
    <w:p w14:paraId="41DADDA5"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Tvrzení, že se jedná o potravinu s vysokým obsahem vitaminů nebo minerálních látek, a jakékoli tvrzení, které má pro spotřebitele pravděpodobně stejný význam, lze použít pouze tehdy, obsahuje-li produkt alespoň dvojnásobek hodnoty "zdroje (NÁZEV VITAMINU/VITAMINŮ) nebo (NÁZEV MINERÁLNÍ LÁTKY/MINERÁLNÍCH LÁTEK)".</w:t>
      </w:r>
    </w:p>
    <w:p w14:paraId="0475D956"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OBSAHUJE (NÁZEV ŽIVINY NEBO JINÉ LÁTKY)</w:t>
      </w:r>
    </w:p>
    <w:p w14:paraId="381F7C47"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Tvrzení, že potravina obsahuje určitou živinu nebo jinou látku, pro které nejsou v tomto nařízení stanoveny zvláštní podmínky, a jakékoli tvrzení, které má pro spotřebitele pravděpodobně stejný význam, lze použít pouze tehdy, splňuje-li produkt všechna příslušná ustanovení tohoto nařízení, a zejména článek 5. Pro vitaminy a minerální látky se použijí podmínky vztahující se na tvrzení "zdroj…".</w:t>
      </w:r>
    </w:p>
    <w:p w14:paraId="2AEF86F0"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SE ZVÝŠENÝM OBSAHEM (NÁZEV ŽIVINY)</w:t>
      </w:r>
    </w:p>
    <w:p w14:paraId="4218622E"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Tvrzení, že obsah jedné nebo více živin jiných než vitaminů a minerálních látek byl zvýšen, a jakékoli tvrzení, které má pro spotřebitele pravděpodobně stejný význam, lze použít pouze tehdy, splňuje-li produkt podmínky platné pro tvrzení "zdroj …"fa zvýšení obsahu představuje ve srovnání s podobným produktem alespoň 30 %.</w:t>
      </w:r>
    </w:p>
    <w:p w14:paraId="3C7B5301"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SE SNÍŽENÝM OBSAHEM (NÁZEV ŽIVINY</w:t>
      </w:r>
      <w:r w:rsidRPr="004279B2">
        <w:rPr>
          <w:rFonts w:ascii="Arial" w:eastAsia="Times New Roman" w:hAnsi="Arial" w:cs="Arial"/>
          <w:color w:val="5B5B5B"/>
          <w:sz w:val="19"/>
          <w:szCs w:val="19"/>
          <w:lang w:eastAsia="cs-CZ"/>
        </w:rPr>
        <w:t>)</w:t>
      </w:r>
    </w:p>
    <w:p w14:paraId="622C3476"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Tvrzení, že byl obsah jedné nebo více živin snížen, a jakékoli tvrzení, které má pro spotřebitele pravděpodobně stejný význam, lze použít pouze tehdy, pokud snížení obsahu představuje alespoň 30 % ve srovnání s podobným produktem, s výjimkou mikroživin, pro něž je přijatelný 10 % rozdíl referenčních hodnot stanovených ve směrnici Rady 90/496/EHS, a sodíku nebo rovnocenné hodnoty soli, pro něž je přijatelný 25 % rozdíl.</w:t>
      </w:r>
    </w:p>
    <w:p w14:paraId="54E590AC"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LIGHT/LITE (LEHKÝ)</w:t>
      </w:r>
    </w:p>
    <w:p w14:paraId="05EBEF5A"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Tvrzení, že se jedná o produkt "</w:t>
      </w:r>
      <w:proofErr w:type="spellStart"/>
      <w:r w:rsidRPr="004279B2">
        <w:rPr>
          <w:rFonts w:ascii="Arial" w:eastAsia="Times New Roman" w:hAnsi="Arial" w:cs="Arial"/>
          <w:color w:val="5B5B5B"/>
          <w:sz w:val="19"/>
          <w:szCs w:val="19"/>
          <w:lang w:eastAsia="cs-CZ"/>
        </w:rPr>
        <w:t>light</w:t>
      </w:r>
      <w:proofErr w:type="spellEnd"/>
      <w:r w:rsidRPr="004279B2">
        <w:rPr>
          <w:rFonts w:ascii="Arial" w:eastAsia="Times New Roman" w:hAnsi="Arial" w:cs="Arial"/>
          <w:color w:val="5B5B5B"/>
          <w:sz w:val="19"/>
          <w:szCs w:val="19"/>
          <w:lang w:eastAsia="cs-CZ"/>
        </w:rPr>
        <w:t>" nebo "lite", a jakékoli tvrzení, které má pro spotřebitele pravděpodobně stejný význam, musí splňovat stejné podmínky, jako jsou podmínky stanovené pro výraz "se sníženým obsahem"; toto tvrzení musí být také doplněno informací o vlastnosti nebo vlastnostech, díky nimž se jedná o produkt "</w:t>
      </w:r>
      <w:proofErr w:type="spellStart"/>
      <w:r w:rsidRPr="004279B2">
        <w:rPr>
          <w:rFonts w:ascii="Arial" w:eastAsia="Times New Roman" w:hAnsi="Arial" w:cs="Arial"/>
          <w:color w:val="5B5B5B"/>
          <w:sz w:val="19"/>
          <w:szCs w:val="19"/>
          <w:lang w:eastAsia="cs-CZ"/>
        </w:rPr>
        <w:t>light</w:t>
      </w:r>
      <w:proofErr w:type="spellEnd"/>
      <w:r w:rsidRPr="004279B2">
        <w:rPr>
          <w:rFonts w:ascii="Arial" w:eastAsia="Times New Roman" w:hAnsi="Arial" w:cs="Arial"/>
          <w:color w:val="5B5B5B"/>
          <w:sz w:val="19"/>
          <w:szCs w:val="19"/>
          <w:lang w:eastAsia="cs-CZ"/>
        </w:rPr>
        <w:t>" nebo "lite".</w:t>
      </w:r>
    </w:p>
    <w:p w14:paraId="474A1381"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PŘIROZENĚ/PŘIROZENÝ</w:t>
      </w:r>
    </w:p>
    <w:p w14:paraId="7FDB2476"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Pokud potravina přirozeně splňuje podmínky stanovené v této příloze pro použití výživového tvrzení, lze před daným tvrzením použít slovo "přirozeně/přirozený".</w:t>
      </w:r>
    </w:p>
    <w:p w14:paraId="1512B297"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ZDROJ OMEGA-3 MASTNÝCH KYSELIN</w:t>
      </w:r>
    </w:p>
    <w:p w14:paraId="0959F7BE"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Tvrzení, že se jedná o potravinu, která je zdrojem omega-3 mastných kyselin, a jakékoli tvrzení, které má pro spotřebitele pravděpodobně stejný význam, lze použít pouze tehdy, obsahuje-li produkt alespoň 0,3 g kyseliny alfa-</w:t>
      </w:r>
      <w:proofErr w:type="spellStart"/>
      <w:r w:rsidRPr="004279B2">
        <w:rPr>
          <w:rFonts w:ascii="Arial" w:eastAsia="Times New Roman" w:hAnsi="Arial" w:cs="Arial"/>
          <w:color w:val="5B5B5B"/>
          <w:sz w:val="19"/>
          <w:szCs w:val="19"/>
          <w:lang w:eastAsia="cs-CZ"/>
        </w:rPr>
        <w:t>linolenové</w:t>
      </w:r>
      <w:proofErr w:type="spellEnd"/>
      <w:r w:rsidRPr="004279B2">
        <w:rPr>
          <w:rFonts w:ascii="Arial" w:eastAsia="Times New Roman" w:hAnsi="Arial" w:cs="Arial"/>
          <w:color w:val="5B5B5B"/>
          <w:sz w:val="19"/>
          <w:szCs w:val="19"/>
          <w:lang w:eastAsia="cs-CZ"/>
        </w:rPr>
        <w:t xml:space="preserve"> na 100 g a na 100 kcal nebo alespoň 40 mg celkového obsahu kyseliny </w:t>
      </w:r>
      <w:proofErr w:type="spellStart"/>
      <w:r w:rsidRPr="004279B2">
        <w:rPr>
          <w:rFonts w:ascii="Arial" w:eastAsia="Times New Roman" w:hAnsi="Arial" w:cs="Arial"/>
          <w:color w:val="5B5B5B"/>
          <w:sz w:val="19"/>
          <w:szCs w:val="19"/>
          <w:lang w:eastAsia="cs-CZ"/>
        </w:rPr>
        <w:t>eikosapentaenové</w:t>
      </w:r>
      <w:proofErr w:type="spellEnd"/>
      <w:r w:rsidRPr="004279B2">
        <w:rPr>
          <w:rFonts w:ascii="Arial" w:eastAsia="Times New Roman" w:hAnsi="Arial" w:cs="Arial"/>
          <w:color w:val="5B5B5B"/>
          <w:sz w:val="19"/>
          <w:szCs w:val="19"/>
          <w:lang w:eastAsia="cs-CZ"/>
        </w:rPr>
        <w:t xml:space="preserve"> a kyseliny </w:t>
      </w:r>
      <w:proofErr w:type="spellStart"/>
      <w:r w:rsidRPr="004279B2">
        <w:rPr>
          <w:rFonts w:ascii="Arial" w:eastAsia="Times New Roman" w:hAnsi="Arial" w:cs="Arial"/>
          <w:color w:val="5B5B5B"/>
          <w:sz w:val="19"/>
          <w:szCs w:val="19"/>
          <w:lang w:eastAsia="cs-CZ"/>
        </w:rPr>
        <w:t>dokosahexaenové</w:t>
      </w:r>
      <w:proofErr w:type="spellEnd"/>
      <w:r w:rsidRPr="004279B2">
        <w:rPr>
          <w:rFonts w:ascii="Arial" w:eastAsia="Times New Roman" w:hAnsi="Arial" w:cs="Arial"/>
          <w:color w:val="5B5B5B"/>
          <w:sz w:val="19"/>
          <w:szCs w:val="19"/>
          <w:lang w:eastAsia="cs-CZ"/>
        </w:rPr>
        <w:t xml:space="preserve"> na 100 g a na 100 kcal.</w:t>
      </w:r>
    </w:p>
    <w:p w14:paraId="5B81DFEE"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S VYSOKÝM OBSAHEM OMEGA-3 MASTNÝCH KYSELIN</w:t>
      </w:r>
    </w:p>
    <w:p w14:paraId="2078983C"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Tvrzení, že se jedná o potravinu s vysokým obsahem omega-3 mastných kyselin, a jakékoli tvrzení, které má pro spotřebitele pravděpodobně stejný význam, lze použít pouze tehdy, obsahuje-li produkt alespoň 0,6 g kyseliny alfa-</w:t>
      </w:r>
      <w:proofErr w:type="spellStart"/>
      <w:r w:rsidRPr="004279B2">
        <w:rPr>
          <w:rFonts w:ascii="Arial" w:eastAsia="Times New Roman" w:hAnsi="Arial" w:cs="Arial"/>
          <w:color w:val="5B5B5B"/>
          <w:sz w:val="19"/>
          <w:szCs w:val="19"/>
          <w:lang w:eastAsia="cs-CZ"/>
        </w:rPr>
        <w:t>linolenové</w:t>
      </w:r>
      <w:proofErr w:type="spellEnd"/>
      <w:r w:rsidRPr="004279B2">
        <w:rPr>
          <w:rFonts w:ascii="Arial" w:eastAsia="Times New Roman" w:hAnsi="Arial" w:cs="Arial"/>
          <w:color w:val="5B5B5B"/>
          <w:sz w:val="19"/>
          <w:szCs w:val="19"/>
          <w:lang w:eastAsia="cs-CZ"/>
        </w:rPr>
        <w:t xml:space="preserve"> na 100 g a na 100 kcal nebo alespoň 80 mg celkového obsahu kyseliny </w:t>
      </w:r>
      <w:proofErr w:type="spellStart"/>
      <w:r w:rsidRPr="004279B2">
        <w:rPr>
          <w:rFonts w:ascii="Arial" w:eastAsia="Times New Roman" w:hAnsi="Arial" w:cs="Arial"/>
          <w:color w:val="5B5B5B"/>
          <w:sz w:val="19"/>
          <w:szCs w:val="19"/>
          <w:lang w:eastAsia="cs-CZ"/>
        </w:rPr>
        <w:t>eikosapentaenové</w:t>
      </w:r>
      <w:proofErr w:type="spellEnd"/>
      <w:r w:rsidRPr="004279B2">
        <w:rPr>
          <w:rFonts w:ascii="Arial" w:eastAsia="Times New Roman" w:hAnsi="Arial" w:cs="Arial"/>
          <w:color w:val="5B5B5B"/>
          <w:sz w:val="19"/>
          <w:szCs w:val="19"/>
          <w:lang w:eastAsia="cs-CZ"/>
        </w:rPr>
        <w:t xml:space="preserve"> a kyseliny </w:t>
      </w:r>
      <w:proofErr w:type="spellStart"/>
      <w:r w:rsidRPr="004279B2">
        <w:rPr>
          <w:rFonts w:ascii="Arial" w:eastAsia="Times New Roman" w:hAnsi="Arial" w:cs="Arial"/>
          <w:color w:val="5B5B5B"/>
          <w:sz w:val="19"/>
          <w:szCs w:val="19"/>
          <w:lang w:eastAsia="cs-CZ"/>
        </w:rPr>
        <w:t>dokosahexaenové</w:t>
      </w:r>
      <w:proofErr w:type="spellEnd"/>
      <w:r w:rsidRPr="004279B2">
        <w:rPr>
          <w:rFonts w:ascii="Arial" w:eastAsia="Times New Roman" w:hAnsi="Arial" w:cs="Arial"/>
          <w:color w:val="5B5B5B"/>
          <w:sz w:val="19"/>
          <w:szCs w:val="19"/>
          <w:lang w:eastAsia="cs-CZ"/>
        </w:rPr>
        <w:t xml:space="preserve"> na 100 g a na 100 kcal.</w:t>
      </w:r>
    </w:p>
    <w:p w14:paraId="4D75096B"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S VYSOKÝM OBSAHEM MONONENASYCENÝCH TUKŮ</w:t>
      </w:r>
    </w:p>
    <w:p w14:paraId="1DF71CA0"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 xml:space="preserve">Tvrzení, že se jedná o potravinu s vysokým obsahem </w:t>
      </w:r>
      <w:proofErr w:type="spellStart"/>
      <w:r w:rsidRPr="004279B2">
        <w:rPr>
          <w:rFonts w:ascii="Arial" w:eastAsia="Times New Roman" w:hAnsi="Arial" w:cs="Arial"/>
          <w:color w:val="5B5B5B"/>
          <w:sz w:val="19"/>
          <w:szCs w:val="19"/>
          <w:lang w:eastAsia="cs-CZ"/>
        </w:rPr>
        <w:t>mononenasycených</w:t>
      </w:r>
      <w:proofErr w:type="spellEnd"/>
      <w:r w:rsidRPr="004279B2">
        <w:rPr>
          <w:rFonts w:ascii="Arial" w:eastAsia="Times New Roman" w:hAnsi="Arial" w:cs="Arial"/>
          <w:color w:val="5B5B5B"/>
          <w:sz w:val="19"/>
          <w:szCs w:val="19"/>
          <w:lang w:eastAsia="cs-CZ"/>
        </w:rPr>
        <w:t xml:space="preserve"> tuků, a jakékoli tvrzení, které má pro spotřebitele pravděpodobně stejný význam, lze použít pouze tehdy, je-li alespoň 45 % mastných kyselin přítomných v produktu odvozených od </w:t>
      </w:r>
      <w:proofErr w:type="spellStart"/>
      <w:r w:rsidRPr="004279B2">
        <w:rPr>
          <w:rFonts w:ascii="Arial" w:eastAsia="Times New Roman" w:hAnsi="Arial" w:cs="Arial"/>
          <w:color w:val="5B5B5B"/>
          <w:sz w:val="19"/>
          <w:szCs w:val="19"/>
          <w:lang w:eastAsia="cs-CZ"/>
        </w:rPr>
        <w:t>mononenasycených</w:t>
      </w:r>
      <w:proofErr w:type="spellEnd"/>
      <w:r w:rsidRPr="004279B2">
        <w:rPr>
          <w:rFonts w:ascii="Arial" w:eastAsia="Times New Roman" w:hAnsi="Arial" w:cs="Arial"/>
          <w:color w:val="5B5B5B"/>
          <w:sz w:val="19"/>
          <w:szCs w:val="19"/>
          <w:lang w:eastAsia="cs-CZ"/>
        </w:rPr>
        <w:t xml:space="preserve"> tuků a představují-li </w:t>
      </w:r>
      <w:proofErr w:type="spellStart"/>
      <w:r w:rsidRPr="004279B2">
        <w:rPr>
          <w:rFonts w:ascii="Arial" w:eastAsia="Times New Roman" w:hAnsi="Arial" w:cs="Arial"/>
          <w:color w:val="5B5B5B"/>
          <w:sz w:val="19"/>
          <w:szCs w:val="19"/>
          <w:lang w:eastAsia="cs-CZ"/>
        </w:rPr>
        <w:t>mononenasycené</w:t>
      </w:r>
      <w:proofErr w:type="spellEnd"/>
      <w:r w:rsidRPr="004279B2">
        <w:rPr>
          <w:rFonts w:ascii="Arial" w:eastAsia="Times New Roman" w:hAnsi="Arial" w:cs="Arial"/>
          <w:color w:val="5B5B5B"/>
          <w:sz w:val="19"/>
          <w:szCs w:val="19"/>
          <w:lang w:eastAsia="cs-CZ"/>
        </w:rPr>
        <w:t xml:space="preserve"> tuky více než 20 % energetické hodnoty produktu.</w:t>
      </w:r>
    </w:p>
    <w:p w14:paraId="2C11D5EE"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S VYSOKÝM OBSAHEM POLYNENASYCENÝCH TUKŮ</w:t>
      </w:r>
    </w:p>
    <w:p w14:paraId="4348E0F4"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Tvrzení, že se jedná o potravinu s vysokým obsahem polynenasycených tuků, a jakékoli tvrzení, které má pro spotřebitele pravděpodobně stejný význam, lze použít pouze tehdy, je-li alespoň 45 % mastných kyselin přítomných v produktu odvozených od polynenasycených tuků a představují-li polynenasycené tuky více než 20 % energetické hodnoty produktu.</w:t>
      </w:r>
    </w:p>
    <w:p w14:paraId="5DEAD425"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b/>
          <w:bCs/>
          <w:color w:val="5B5B5B"/>
          <w:sz w:val="19"/>
          <w:szCs w:val="19"/>
          <w:lang w:eastAsia="cs-CZ"/>
        </w:rPr>
        <w:t>S VYSOKÝM OBSAHEM NENASYCENÝCH TUKŮ</w:t>
      </w:r>
    </w:p>
    <w:p w14:paraId="14D971AD"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Tvrzení, že se jedná o potravinu s vysokým obsahem nenasycených tuků, a jakékoli tvrzení, které má pro spotřebitele pravděpodobně stejný význam, lze použít pouze tehdy, je-li alespoň 70 % mastných kyselin přítomných v produktu odvozených od nenasycených tuků a představují-li nenasycené tuky více než 20 % energetické hodnoty produktu.</w:t>
      </w:r>
    </w:p>
    <w:p w14:paraId="74EAB257" w14:textId="77777777" w:rsidR="004279B2" w:rsidRPr="004279B2" w:rsidRDefault="004279B2" w:rsidP="004279B2">
      <w:pPr>
        <w:spacing w:before="100" w:beforeAutospacing="1" w:after="100" w:afterAutospacing="1"/>
        <w:outlineLvl w:val="2"/>
        <w:rPr>
          <w:rFonts w:ascii="Arial" w:eastAsia="Times New Roman" w:hAnsi="Arial" w:cs="Arial"/>
          <w:b/>
          <w:bCs/>
          <w:color w:val="899F18"/>
          <w:sz w:val="29"/>
          <w:szCs w:val="29"/>
          <w:lang w:eastAsia="cs-CZ"/>
        </w:rPr>
      </w:pPr>
      <w:r w:rsidRPr="004279B2">
        <w:rPr>
          <w:rFonts w:ascii="Arial" w:eastAsia="Times New Roman" w:hAnsi="Arial" w:cs="Arial"/>
          <w:b/>
          <w:bCs/>
          <w:color w:val="899F18"/>
          <w:sz w:val="29"/>
          <w:szCs w:val="29"/>
          <w:lang w:eastAsia="cs-CZ"/>
        </w:rPr>
        <w:t>Srovnávací tvrzení</w:t>
      </w:r>
    </w:p>
    <w:p w14:paraId="6AC8B228" w14:textId="77777777" w:rsidR="004279B2" w:rsidRPr="004279B2" w:rsidRDefault="004279B2" w:rsidP="004279B2">
      <w:pPr>
        <w:jc w:val="both"/>
        <w:rPr>
          <w:rFonts w:ascii="Arial" w:eastAsia="Times New Roman" w:hAnsi="Arial" w:cs="Arial"/>
          <w:color w:val="5B5B5B"/>
          <w:sz w:val="19"/>
          <w:szCs w:val="19"/>
          <w:lang w:eastAsia="cs-CZ"/>
        </w:rPr>
      </w:pPr>
      <w:r w:rsidRPr="004279B2">
        <w:rPr>
          <w:rFonts w:ascii="Arial" w:eastAsia="Times New Roman" w:hAnsi="Arial" w:cs="Arial"/>
          <w:color w:val="5B5B5B"/>
          <w:sz w:val="19"/>
          <w:szCs w:val="19"/>
          <w:lang w:eastAsia="cs-CZ"/>
        </w:rPr>
        <w:t>Srovnávat se smějí pouze potraviny stejné kategorie, k přihlédnutím k sortimentu potravin dané kategorie. V daném případě se uvede rozdíl v množství živiny nebo energetické hodnotě a srovnání se vztahuje na stejné množství potraviny. Srovnávací výživová tvrzení porovnávají složení dotyčné potraviny se sortimentem potravin stejné kategorie, jejichž složení neumožňuje uvést určité tvrzení, včetně potravin jiných obchodních značek.</w:t>
      </w:r>
    </w:p>
    <w:p w14:paraId="3067A0CB" w14:textId="77777777" w:rsidR="00A83977" w:rsidRDefault="004279B2">
      <w:bookmarkStart w:id="0" w:name="_GoBack"/>
      <w:bookmarkEnd w:id="0"/>
    </w:p>
    <w:sectPr w:rsidR="00A83977" w:rsidSect="00C215E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B2"/>
    <w:rsid w:val="004279B2"/>
    <w:rsid w:val="00C215EB"/>
    <w:rsid w:val="00E67F9B"/>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0E4C2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paragraph" w:styleId="Nadpis3">
    <w:name w:val="heading 3"/>
    <w:basedOn w:val="Normln"/>
    <w:link w:val="Nadpis3Char"/>
    <w:uiPriority w:val="9"/>
    <w:qFormat/>
    <w:rsid w:val="004279B2"/>
    <w:pPr>
      <w:spacing w:before="100" w:beforeAutospacing="1" w:after="100" w:afterAutospacing="1"/>
      <w:outlineLvl w:val="2"/>
    </w:pPr>
    <w:rPr>
      <w:rFonts w:ascii="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279B2"/>
    <w:rPr>
      <w:rFonts w:ascii="Times New Roman" w:hAnsi="Times New Roman" w:cs="Times New Roman"/>
      <w:b/>
      <w:bCs/>
      <w:sz w:val="27"/>
      <w:szCs w:val="27"/>
      <w:lang w:eastAsia="cs-CZ"/>
    </w:rPr>
  </w:style>
  <w:style w:type="character" w:customStyle="1" w:styleId="emphtext1">
    <w:name w:val="emphtext1"/>
    <w:basedOn w:val="Standardnpsmoodstavce"/>
    <w:rsid w:val="00427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435835">
      <w:bodyDiv w:val="1"/>
      <w:marLeft w:val="0"/>
      <w:marRight w:val="0"/>
      <w:marTop w:val="0"/>
      <w:marBottom w:val="0"/>
      <w:divBdr>
        <w:top w:val="none" w:sz="0" w:space="0" w:color="auto"/>
        <w:left w:val="none" w:sz="0" w:space="0" w:color="auto"/>
        <w:bottom w:val="none" w:sz="0" w:space="0" w:color="auto"/>
        <w:right w:val="none" w:sz="0" w:space="0" w:color="auto"/>
      </w:divBdr>
      <w:divsChild>
        <w:div w:id="1058476592">
          <w:marLeft w:val="0"/>
          <w:marRight w:val="0"/>
          <w:marTop w:val="0"/>
          <w:marBottom w:val="300"/>
          <w:divBdr>
            <w:top w:val="none" w:sz="0" w:space="0" w:color="auto"/>
            <w:left w:val="none" w:sz="0" w:space="0" w:color="auto"/>
            <w:bottom w:val="none" w:sz="0" w:space="0" w:color="auto"/>
            <w:right w:val="none" w:sz="0" w:space="0" w:color="auto"/>
          </w:divBdr>
        </w:div>
        <w:div w:id="1037659366">
          <w:marLeft w:val="0"/>
          <w:marRight w:val="0"/>
          <w:marTop w:val="0"/>
          <w:marBottom w:val="300"/>
          <w:divBdr>
            <w:top w:val="none" w:sz="0" w:space="0" w:color="auto"/>
            <w:left w:val="none" w:sz="0" w:space="0" w:color="auto"/>
            <w:bottom w:val="none" w:sz="0" w:space="0" w:color="auto"/>
            <w:right w:val="none" w:sz="0" w:space="0" w:color="auto"/>
          </w:divBdr>
        </w:div>
        <w:div w:id="1525316379">
          <w:marLeft w:val="0"/>
          <w:marRight w:val="0"/>
          <w:marTop w:val="0"/>
          <w:marBottom w:val="300"/>
          <w:divBdr>
            <w:top w:val="none" w:sz="0" w:space="0" w:color="auto"/>
            <w:left w:val="none" w:sz="0" w:space="0" w:color="auto"/>
            <w:bottom w:val="none" w:sz="0" w:space="0" w:color="auto"/>
            <w:right w:val="none" w:sz="0" w:space="0" w:color="auto"/>
          </w:divBdr>
        </w:div>
        <w:div w:id="1565985636">
          <w:marLeft w:val="0"/>
          <w:marRight w:val="0"/>
          <w:marTop w:val="0"/>
          <w:marBottom w:val="300"/>
          <w:divBdr>
            <w:top w:val="none" w:sz="0" w:space="0" w:color="auto"/>
            <w:left w:val="none" w:sz="0" w:space="0" w:color="auto"/>
            <w:bottom w:val="none" w:sz="0" w:space="0" w:color="auto"/>
            <w:right w:val="none" w:sz="0" w:space="0" w:color="auto"/>
          </w:divBdr>
        </w:div>
        <w:div w:id="130711127">
          <w:marLeft w:val="0"/>
          <w:marRight w:val="0"/>
          <w:marTop w:val="0"/>
          <w:marBottom w:val="300"/>
          <w:divBdr>
            <w:top w:val="none" w:sz="0" w:space="0" w:color="auto"/>
            <w:left w:val="none" w:sz="0" w:space="0" w:color="auto"/>
            <w:bottom w:val="none" w:sz="0" w:space="0" w:color="auto"/>
            <w:right w:val="none" w:sz="0" w:space="0" w:color="auto"/>
          </w:divBdr>
        </w:div>
        <w:div w:id="2098088921">
          <w:marLeft w:val="0"/>
          <w:marRight w:val="0"/>
          <w:marTop w:val="0"/>
          <w:marBottom w:val="300"/>
          <w:divBdr>
            <w:top w:val="none" w:sz="0" w:space="0" w:color="auto"/>
            <w:left w:val="none" w:sz="0" w:space="0" w:color="auto"/>
            <w:bottom w:val="none" w:sz="0" w:space="0" w:color="auto"/>
            <w:right w:val="none" w:sz="0" w:space="0" w:color="auto"/>
          </w:divBdr>
        </w:div>
        <w:div w:id="1558589074">
          <w:marLeft w:val="0"/>
          <w:marRight w:val="0"/>
          <w:marTop w:val="0"/>
          <w:marBottom w:val="300"/>
          <w:divBdr>
            <w:top w:val="none" w:sz="0" w:space="0" w:color="auto"/>
            <w:left w:val="none" w:sz="0" w:space="0" w:color="auto"/>
            <w:bottom w:val="none" w:sz="0" w:space="0" w:color="auto"/>
            <w:right w:val="none" w:sz="0" w:space="0" w:color="auto"/>
          </w:divBdr>
        </w:div>
        <w:div w:id="686250517">
          <w:marLeft w:val="0"/>
          <w:marRight w:val="0"/>
          <w:marTop w:val="0"/>
          <w:marBottom w:val="300"/>
          <w:divBdr>
            <w:top w:val="none" w:sz="0" w:space="0" w:color="auto"/>
            <w:left w:val="none" w:sz="0" w:space="0" w:color="auto"/>
            <w:bottom w:val="none" w:sz="0" w:space="0" w:color="auto"/>
            <w:right w:val="none" w:sz="0" w:space="0" w:color="auto"/>
          </w:divBdr>
        </w:div>
        <w:div w:id="2100251691">
          <w:marLeft w:val="0"/>
          <w:marRight w:val="0"/>
          <w:marTop w:val="0"/>
          <w:marBottom w:val="300"/>
          <w:divBdr>
            <w:top w:val="none" w:sz="0" w:space="0" w:color="auto"/>
            <w:left w:val="none" w:sz="0" w:space="0" w:color="auto"/>
            <w:bottom w:val="none" w:sz="0" w:space="0" w:color="auto"/>
            <w:right w:val="none" w:sz="0" w:space="0" w:color="auto"/>
          </w:divBdr>
        </w:div>
        <w:div w:id="466821909">
          <w:marLeft w:val="0"/>
          <w:marRight w:val="0"/>
          <w:marTop w:val="0"/>
          <w:marBottom w:val="300"/>
          <w:divBdr>
            <w:top w:val="none" w:sz="0" w:space="0" w:color="auto"/>
            <w:left w:val="none" w:sz="0" w:space="0" w:color="auto"/>
            <w:bottom w:val="none" w:sz="0" w:space="0" w:color="auto"/>
            <w:right w:val="none" w:sz="0" w:space="0" w:color="auto"/>
          </w:divBdr>
        </w:div>
        <w:div w:id="1830635696">
          <w:marLeft w:val="0"/>
          <w:marRight w:val="0"/>
          <w:marTop w:val="0"/>
          <w:marBottom w:val="300"/>
          <w:divBdr>
            <w:top w:val="none" w:sz="0" w:space="0" w:color="auto"/>
            <w:left w:val="none" w:sz="0" w:space="0" w:color="auto"/>
            <w:bottom w:val="none" w:sz="0" w:space="0" w:color="auto"/>
            <w:right w:val="none" w:sz="0" w:space="0" w:color="auto"/>
          </w:divBdr>
        </w:div>
        <w:div w:id="571694069">
          <w:marLeft w:val="0"/>
          <w:marRight w:val="0"/>
          <w:marTop w:val="0"/>
          <w:marBottom w:val="300"/>
          <w:divBdr>
            <w:top w:val="none" w:sz="0" w:space="0" w:color="auto"/>
            <w:left w:val="none" w:sz="0" w:space="0" w:color="auto"/>
            <w:bottom w:val="none" w:sz="0" w:space="0" w:color="auto"/>
            <w:right w:val="none" w:sz="0" w:space="0" w:color="auto"/>
          </w:divBdr>
        </w:div>
        <w:div w:id="1541891520">
          <w:marLeft w:val="0"/>
          <w:marRight w:val="0"/>
          <w:marTop w:val="0"/>
          <w:marBottom w:val="300"/>
          <w:divBdr>
            <w:top w:val="none" w:sz="0" w:space="0" w:color="auto"/>
            <w:left w:val="none" w:sz="0" w:space="0" w:color="auto"/>
            <w:bottom w:val="none" w:sz="0" w:space="0" w:color="auto"/>
            <w:right w:val="none" w:sz="0" w:space="0" w:color="auto"/>
          </w:divBdr>
        </w:div>
        <w:div w:id="691688805">
          <w:marLeft w:val="0"/>
          <w:marRight w:val="0"/>
          <w:marTop w:val="0"/>
          <w:marBottom w:val="300"/>
          <w:divBdr>
            <w:top w:val="none" w:sz="0" w:space="0" w:color="auto"/>
            <w:left w:val="none" w:sz="0" w:space="0" w:color="auto"/>
            <w:bottom w:val="none" w:sz="0" w:space="0" w:color="auto"/>
            <w:right w:val="none" w:sz="0" w:space="0" w:color="auto"/>
          </w:divBdr>
        </w:div>
        <w:div w:id="314338213">
          <w:marLeft w:val="0"/>
          <w:marRight w:val="0"/>
          <w:marTop w:val="0"/>
          <w:marBottom w:val="300"/>
          <w:divBdr>
            <w:top w:val="none" w:sz="0" w:space="0" w:color="auto"/>
            <w:left w:val="none" w:sz="0" w:space="0" w:color="auto"/>
            <w:bottom w:val="none" w:sz="0" w:space="0" w:color="auto"/>
            <w:right w:val="none" w:sz="0" w:space="0" w:color="auto"/>
          </w:divBdr>
        </w:div>
        <w:div w:id="1122773271">
          <w:marLeft w:val="0"/>
          <w:marRight w:val="0"/>
          <w:marTop w:val="0"/>
          <w:marBottom w:val="300"/>
          <w:divBdr>
            <w:top w:val="none" w:sz="0" w:space="0" w:color="auto"/>
            <w:left w:val="none" w:sz="0" w:space="0" w:color="auto"/>
            <w:bottom w:val="none" w:sz="0" w:space="0" w:color="auto"/>
            <w:right w:val="none" w:sz="0" w:space="0" w:color="auto"/>
          </w:divBdr>
        </w:div>
        <w:div w:id="1543443422">
          <w:marLeft w:val="0"/>
          <w:marRight w:val="0"/>
          <w:marTop w:val="0"/>
          <w:marBottom w:val="300"/>
          <w:divBdr>
            <w:top w:val="none" w:sz="0" w:space="0" w:color="auto"/>
            <w:left w:val="none" w:sz="0" w:space="0" w:color="auto"/>
            <w:bottom w:val="none" w:sz="0" w:space="0" w:color="auto"/>
            <w:right w:val="none" w:sz="0" w:space="0" w:color="auto"/>
          </w:divBdr>
        </w:div>
        <w:div w:id="845288144">
          <w:marLeft w:val="0"/>
          <w:marRight w:val="0"/>
          <w:marTop w:val="0"/>
          <w:marBottom w:val="300"/>
          <w:divBdr>
            <w:top w:val="none" w:sz="0" w:space="0" w:color="auto"/>
            <w:left w:val="none" w:sz="0" w:space="0" w:color="auto"/>
            <w:bottom w:val="none" w:sz="0" w:space="0" w:color="auto"/>
            <w:right w:val="none" w:sz="0" w:space="0" w:color="auto"/>
          </w:divBdr>
        </w:div>
        <w:div w:id="1373383672">
          <w:marLeft w:val="0"/>
          <w:marRight w:val="0"/>
          <w:marTop w:val="0"/>
          <w:marBottom w:val="300"/>
          <w:divBdr>
            <w:top w:val="none" w:sz="0" w:space="0" w:color="auto"/>
            <w:left w:val="none" w:sz="0" w:space="0" w:color="auto"/>
            <w:bottom w:val="none" w:sz="0" w:space="0" w:color="auto"/>
            <w:right w:val="none" w:sz="0" w:space="0" w:color="auto"/>
          </w:divBdr>
        </w:div>
        <w:div w:id="1465152769">
          <w:marLeft w:val="0"/>
          <w:marRight w:val="0"/>
          <w:marTop w:val="0"/>
          <w:marBottom w:val="300"/>
          <w:divBdr>
            <w:top w:val="none" w:sz="0" w:space="0" w:color="auto"/>
            <w:left w:val="none" w:sz="0" w:space="0" w:color="auto"/>
            <w:bottom w:val="none" w:sz="0" w:space="0" w:color="auto"/>
            <w:right w:val="none" w:sz="0" w:space="0" w:color="auto"/>
          </w:divBdr>
        </w:div>
        <w:div w:id="1216626228">
          <w:marLeft w:val="0"/>
          <w:marRight w:val="0"/>
          <w:marTop w:val="0"/>
          <w:marBottom w:val="300"/>
          <w:divBdr>
            <w:top w:val="none" w:sz="0" w:space="0" w:color="auto"/>
            <w:left w:val="none" w:sz="0" w:space="0" w:color="auto"/>
            <w:bottom w:val="none" w:sz="0" w:space="0" w:color="auto"/>
            <w:right w:val="none" w:sz="0" w:space="0" w:color="auto"/>
          </w:divBdr>
        </w:div>
        <w:div w:id="2087798283">
          <w:marLeft w:val="0"/>
          <w:marRight w:val="0"/>
          <w:marTop w:val="0"/>
          <w:marBottom w:val="300"/>
          <w:divBdr>
            <w:top w:val="none" w:sz="0" w:space="0" w:color="auto"/>
            <w:left w:val="none" w:sz="0" w:space="0" w:color="auto"/>
            <w:bottom w:val="none" w:sz="0" w:space="0" w:color="auto"/>
            <w:right w:val="none" w:sz="0" w:space="0" w:color="auto"/>
          </w:divBdr>
        </w:div>
        <w:div w:id="1096025158">
          <w:marLeft w:val="0"/>
          <w:marRight w:val="0"/>
          <w:marTop w:val="0"/>
          <w:marBottom w:val="300"/>
          <w:divBdr>
            <w:top w:val="none" w:sz="0" w:space="0" w:color="auto"/>
            <w:left w:val="none" w:sz="0" w:space="0" w:color="auto"/>
            <w:bottom w:val="none" w:sz="0" w:space="0" w:color="auto"/>
            <w:right w:val="none" w:sz="0" w:space="0" w:color="auto"/>
          </w:divBdr>
        </w:div>
        <w:div w:id="73280178">
          <w:marLeft w:val="0"/>
          <w:marRight w:val="0"/>
          <w:marTop w:val="0"/>
          <w:marBottom w:val="300"/>
          <w:divBdr>
            <w:top w:val="none" w:sz="0" w:space="0" w:color="auto"/>
            <w:left w:val="none" w:sz="0" w:space="0" w:color="auto"/>
            <w:bottom w:val="none" w:sz="0" w:space="0" w:color="auto"/>
            <w:right w:val="none" w:sz="0" w:space="0" w:color="auto"/>
          </w:divBdr>
        </w:div>
        <w:div w:id="328943754">
          <w:marLeft w:val="0"/>
          <w:marRight w:val="0"/>
          <w:marTop w:val="0"/>
          <w:marBottom w:val="300"/>
          <w:divBdr>
            <w:top w:val="none" w:sz="0" w:space="0" w:color="auto"/>
            <w:left w:val="none" w:sz="0" w:space="0" w:color="auto"/>
            <w:bottom w:val="none" w:sz="0" w:space="0" w:color="auto"/>
            <w:right w:val="none" w:sz="0" w:space="0" w:color="auto"/>
          </w:divBdr>
        </w:div>
        <w:div w:id="1638100204">
          <w:marLeft w:val="0"/>
          <w:marRight w:val="0"/>
          <w:marTop w:val="0"/>
          <w:marBottom w:val="300"/>
          <w:divBdr>
            <w:top w:val="none" w:sz="0" w:space="0" w:color="auto"/>
            <w:left w:val="none" w:sz="0" w:space="0" w:color="auto"/>
            <w:bottom w:val="none" w:sz="0" w:space="0" w:color="auto"/>
            <w:right w:val="none" w:sz="0" w:space="0" w:color="auto"/>
          </w:divBdr>
        </w:div>
        <w:div w:id="1393964824">
          <w:marLeft w:val="0"/>
          <w:marRight w:val="0"/>
          <w:marTop w:val="0"/>
          <w:marBottom w:val="300"/>
          <w:divBdr>
            <w:top w:val="none" w:sz="0" w:space="0" w:color="auto"/>
            <w:left w:val="none" w:sz="0" w:space="0" w:color="auto"/>
            <w:bottom w:val="none" w:sz="0" w:space="0" w:color="auto"/>
            <w:right w:val="none" w:sz="0" w:space="0" w:color="auto"/>
          </w:divBdr>
        </w:div>
        <w:div w:id="443963978">
          <w:marLeft w:val="0"/>
          <w:marRight w:val="0"/>
          <w:marTop w:val="0"/>
          <w:marBottom w:val="300"/>
          <w:divBdr>
            <w:top w:val="none" w:sz="0" w:space="0" w:color="auto"/>
            <w:left w:val="none" w:sz="0" w:space="0" w:color="auto"/>
            <w:bottom w:val="none" w:sz="0" w:space="0" w:color="auto"/>
            <w:right w:val="none" w:sz="0" w:space="0" w:color="auto"/>
          </w:divBdr>
        </w:div>
        <w:div w:id="1722288869">
          <w:marLeft w:val="0"/>
          <w:marRight w:val="0"/>
          <w:marTop w:val="0"/>
          <w:marBottom w:val="300"/>
          <w:divBdr>
            <w:top w:val="none" w:sz="0" w:space="0" w:color="auto"/>
            <w:left w:val="none" w:sz="0" w:space="0" w:color="auto"/>
            <w:bottom w:val="none" w:sz="0" w:space="0" w:color="auto"/>
            <w:right w:val="none" w:sz="0" w:space="0" w:color="auto"/>
          </w:divBdr>
        </w:div>
        <w:div w:id="1963611842">
          <w:marLeft w:val="0"/>
          <w:marRight w:val="0"/>
          <w:marTop w:val="0"/>
          <w:marBottom w:val="300"/>
          <w:divBdr>
            <w:top w:val="none" w:sz="0" w:space="0" w:color="auto"/>
            <w:left w:val="none" w:sz="0" w:space="0" w:color="auto"/>
            <w:bottom w:val="none" w:sz="0" w:space="0" w:color="auto"/>
            <w:right w:val="none" w:sz="0" w:space="0" w:color="auto"/>
          </w:divBdr>
        </w:div>
        <w:div w:id="1772971329">
          <w:marLeft w:val="0"/>
          <w:marRight w:val="0"/>
          <w:marTop w:val="0"/>
          <w:marBottom w:val="300"/>
          <w:divBdr>
            <w:top w:val="none" w:sz="0" w:space="0" w:color="auto"/>
            <w:left w:val="none" w:sz="0" w:space="0" w:color="auto"/>
            <w:bottom w:val="none" w:sz="0" w:space="0" w:color="auto"/>
            <w:right w:val="none" w:sz="0" w:space="0" w:color="auto"/>
          </w:divBdr>
        </w:div>
        <w:div w:id="612054178">
          <w:marLeft w:val="0"/>
          <w:marRight w:val="0"/>
          <w:marTop w:val="0"/>
          <w:marBottom w:val="300"/>
          <w:divBdr>
            <w:top w:val="none" w:sz="0" w:space="0" w:color="auto"/>
            <w:left w:val="none" w:sz="0" w:space="0" w:color="auto"/>
            <w:bottom w:val="none" w:sz="0" w:space="0" w:color="auto"/>
            <w:right w:val="none" w:sz="0" w:space="0" w:color="auto"/>
          </w:divBdr>
        </w:div>
        <w:div w:id="1092164199">
          <w:marLeft w:val="0"/>
          <w:marRight w:val="0"/>
          <w:marTop w:val="0"/>
          <w:marBottom w:val="300"/>
          <w:divBdr>
            <w:top w:val="none" w:sz="0" w:space="0" w:color="auto"/>
            <w:left w:val="none" w:sz="0" w:space="0" w:color="auto"/>
            <w:bottom w:val="none" w:sz="0" w:space="0" w:color="auto"/>
            <w:right w:val="none" w:sz="0" w:space="0" w:color="auto"/>
          </w:divBdr>
        </w:div>
        <w:div w:id="2088377956">
          <w:marLeft w:val="0"/>
          <w:marRight w:val="0"/>
          <w:marTop w:val="0"/>
          <w:marBottom w:val="300"/>
          <w:divBdr>
            <w:top w:val="none" w:sz="0" w:space="0" w:color="auto"/>
            <w:left w:val="none" w:sz="0" w:space="0" w:color="auto"/>
            <w:bottom w:val="none" w:sz="0" w:space="0" w:color="auto"/>
            <w:right w:val="none" w:sz="0" w:space="0" w:color="auto"/>
          </w:divBdr>
        </w:div>
        <w:div w:id="1971786238">
          <w:marLeft w:val="0"/>
          <w:marRight w:val="0"/>
          <w:marTop w:val="0"/>
          <w:marBottom w:val="300"/>
          <w:divBdr>
            <w:top w:val="none" w:sz="0" w:space="0" w:color="auto"/>
            <w:left w:val="none" w:sz="0" w:space="0" w:color="auto"/>
            <w:bottom w:val="none" w:sz="0" w:space="0" w:color="auto"/>
            <w:right w:val="none" w:sz="0" w:space="0" w:color="auto"/>
          </w:divBdr>
        </w:div>
        <w:div w:id="1297486132">
          <w:marLeft w:val="0"/>
          <w:marRight w:val="0"/>
          <w:marTop w:val="0"/>
          <w:marBottom w:val="300"/>
          <w:divBdr>
            <w:top w:val="none" w:sz="0" w:space="0" w:color="auto"/>
            <w:left w:val="none" w:sz="0" w:space="0" w:color="auto"/>
            <w:bottom w:val="none" w:sz="0" w:space="0" w:color="auto"/>
            <w:right w:val="none" w:sz="0" w:space="0" w:color="auto"/>
          </w:divBdr>
        </w:div>
        <w:div w:id="106700058">
          <w:marLeft w:val="0"/>
          <w:marRight w:val="0"/>
          <w:marTop w:val="0"/>
          <w:marBottom w:val="300"/>
          <w:divBdr>
            <w:top w:val="none" w:sz="0" w:space="0" w:color="auto"/>
            <w:left w:val="none" w:sz="0" w:space="0" w:color="auto"/>
            <w:bottom w:val="none" w:sz="0" w:space="0" w:color="auto"/>
            <w:right w:val="none" w:sz="0" w:space="0" w:color="auto"/>
          </w:divBdr>
        </w:div>
        <w:div w:id="1866290380">
          <w:marLeft w:val="0"/>
          <w:marRight w:val="0"/>
          <w:marTop w:val="0"/>
          <w:marBottom w:val="300"/>
          <w:divBdr>
            <w:top w:val="none" w:sz="0" w:space="0" w:color="auto"/>
            <w:left w:val="none" w:sz="0" w:space="0" w:color="auto"/>
            <w:bottom w:val="none" w:sz="0" w:space="0" w:color="auto"/>
            <w:right w:val="none" w:sz="0" w:space="0" w:color="auto"/>
          </w:divBdr>
        </w:div>
        <w:div w:id="990523185">
          <w:marLeft w:val="0"/>
          <w:marRight w:val="0"/>
          <w:marTop w:val="0"/>
          <w:marBottom w:val="300"/>
          <w:divBdr>
            <w:top w:val="none" w:sz="0" w:space="0" w:color="auto"/>
            <w:left w:val="none" w:sz="0" w:space="0" w:color="auto"/>
            <w:bottom w:val="none" w:sz="0" w:space="0" w:color="auto"/>
            <w:right w:val="none" w:sz="0" w:space="0" w:color="auto"/>
          </w:divBdr>
        </w:div>
        <w:div w:id="23020838">
          <w:marLeft w:val="0"/>
          <w:marRight w:val="0"/>
          <w:marTop w:val="0"/>
          <w:marBottom w:val="300"/>
          <w:divBdr>
            <w:top w:val="none" w:sz="0" w:space="0" w:color="auto"/>
            <w:left w:val="none" w:sz="0" w:space="0" w:color="auto"/>
            <w:bottom w:val="none" w:sz="0" w:space="0" w:color="auto"/>
            <w:right w:val="none" w:sz="0" w:space="0" w:color="auto"/>
          </w:divBdr>
        </w:div>
        <w:div w:id="1789078108">
          <w:marLeft w:val="0"/>
          <w:marRight w:val="0"/>
          <w:marTop w:val="0"/>
          <w:marBottom w:val="300"/>
          <w:divBdr>
            <w:top w:val="none" w:sz="0" w:space="0" w:color="auto"/>
            <w:left w:val="none" w:sz="0" w:space="0" w:color="auto"/>
            <w:bottom w:val="none" w:sz="0" w:space="0" w:color="auto"/>
            <w:right w:val="none" w:sz="0" w:space="0" w:color="auto"/>
          </w:divBdr>
        </w:div>
        <w:div w:id="810899189">
          <w:marLeft w:val="0"/>
          <w:marRight w:val="0"/>
          <w:marTop w:val="0"/>
          <w:marBottom w:val="300"/>
          <w:divBdr>
            <w:top w:val="none" w:sz="0" w:space="0" w:color="auto"/>
            <w:left w:val="none" w:sz="0" w:space="0" w:color="auto"/>
            <w:bottom w:val="none" w:sz="0" w:space="0" w:color="auto"/>
            <w:right w:val="none" w:sz="0" w:space="0" w:color="auto"/>
          </w:divBdr>
        </w:div>
        <w:div w:id="365637503">
          <w:marLeft w:val="0"/>
          <w:marRight w:val="0"/>
          <w:marTop w:val="0"/>
          <w:marBottom w:val="300"/>
          <w:divBdr>
            <w:top w:val="none" w:sz="0" w:space="0" w:color="auto"/>
            <w:left w:val="none" w:sz="0" w:space="0" w:color="auto"/>
            <w:bottom w:val="none" w:sz="0" w:space="0" w:color="auto"/>
            <w:right w:val="none" w:sz="0" w:space="0" w:color="auto"/>
          </w:divBdr>
        </w:div>
        <w:div w:id="1008408003">
          <w:marLeft w:val="0"/>
          <w:marRight w:val="0"/>
          <w:marTop w:val="0"/>
          <w:marBottom w:val="300"/>
          <w:divBdr>
            <w:top w:val="none" w:sz="0" w:space="0" w:color="auto"/>
            <w:left w:val="none" w:sz="0" w:space="0" w:color="auto"/>
            <w:bottom w:val="none" w:sz="0" w:space="0" w:color="auto"/>
            <w:right w:val="none" w:sz="0" w:space="0" w:color="auto"/>
          </w:divBdr>
        </w:div>
        <w:div w:id="1500733137">
          <w:marLeft w:val="0"/>
          <w:marRight w:val="0"/>
          <w:marTop w:val="0"/>
          <w:marBottom w:val="300"/>
          <w:divBdr>
            <w:top w:val="none" w:sz="0" w:space="0" w:color="auto"/>
            <w:left w:val="none" w:sz="0" w:space="0" w:color="auto"/>
            <w:bottom w:val="none" w:sz="0" w:space="0" w:color="auto"/>
            <w:right w:val="none" w:sz="0" w:space="0" w:color="auto"/>
          </w:divBdr>
        </w:div>
        <w:div w:id="518469700">
          <w:marLeft w:val="0"/>
          <w:marRight w:val="0"/>
          <w:marTop w:val="0"/>
          <w:marBottom w:val="300"/>
          <w:divBdr>
            <w:top w:val="none" w:sz="0" w:space="0" w:color="auto"/>
            <w:left w:val="none" w:sz="0" w:space="0" w:color="auto"/>
            <w:bottom w:val="none" w:sz="0" w:space="0" w:color="auto"/>
            <w:right w:val="none" w:sz="0" w:space="0" w:color="auto"/>
          </w:divBdr>
        </w:div>
        <w:div w:id="365639905">
          <w:marLeft w:val="0"/>
          <w:marRight w:val="0"/>
          <w:marTop w:val="0"/>
          <w:marBottom w:val="300"/>
          <w:divBdr>
            <w:top w:val="none" w:sz="0" w:space="0" w:color="auto"/>
            <w:left w:val="none" w:sz="0" w:space="0" w:color="auto"/>
            <w:bottom w:val="none" w:sz="0" w:space="0" w:color="auto"/>
            <w:right w:val="none" w:sz="0" w:space="0" w:color="auto"/>
          </w:divBdr>
        </w:div>
        <w:div w:id="670640188">
          <w:marLeft w:val="0"/>
          <w:marRight w:val="0"/>
          <w:marTop w:val="0"/>
          <w:marBottom w:val="300"/>
          <w:divBdr>
            <w:top w:val="none" w:sz="0" w:space="0" w:color="auto"/>
            <w:left w:val="none" w:sz="0" w:space="0" w:color="auto"/>
            <w:bottom w:val="none" w:sz="0" w:space="0" w:color="auto"/>
            <w:right w:val="none" w:sz="0" w:space="0" w:color="auto"/>
          </w:divBdr>
        </w:div>
        <w:div w:id="154030748">
          <w:marLeft w:val="0"/>
          <w:marRight w:val="0"/>
          <w:marTop w:val="0"/>
          <w:marBottom w:val="300"/>
          <w:divBdr>
            <w:top w:val="none" w:sz="0" w:space="0" w:color="auto"/>
            <w:left w:val="none" w:sz="0" w:space="0" w:color="auto"/>
            <w:bottom w:val="none" w:sz="0" w:space="0" w:color="auto"/>
            <w:right w:val="none" w:sz="0" w:space="0" w:color="auto"/>
          </w:divBdr>
        </w:div>
        <w:div w:id="957680113">
          <w:marLeft w:val="0"/>
          <w:marRight w:val="0"/>
          <w:marTop w:val="0"/>
          <w:marBottom w:val="300"/>
          <w:divBdr>
            <w:top w:val="none" w:sz="0" w:space="0" w:color="auto"/>
            <w:left w:val="none" w:sz="0" w:space="0" w:color="auto"/>
            <w:bottom w:val="none" w:sz="0" w:space="0" w:color="auto"/>
            <w:right w:val="none" w:sz="0" w:space="0" w:color="auto"/>
          </w:divBdr>
        </w:div>
        <w:div w:id="1880121397">
          <w:marLeft w:val="0"/>
          <w:marRight w:val="0"/>
          <w:marTop w:val="0"/>
          <w:marBottom w:val="300"/>
          <w:divBdr>
            <w:top w:val="none" w:sz="0" w:space="0" w:color="auto"/>
            <w:left w:val="none" w:sz="0" w:space="0" w:color="auto"/>
            <w:bottom w:val="none" w:sz="0" w:space="0" w:color="auto"/>
            <w:right w:val="none" w:sz="0" w:space="0" w:color="auto"/>
          </w:divBdr>
        </w:div>
        <w:div w:id="1918400826">
          <w:marLeft w:val="0"/>
          <w:marRight w:val="0"/>
          <w:marTop w:val="0"/>
          <w:marBottom w:val="300"/>
          <w:divBdr>
            <w:top w:val="none" w:sz="0" w:space="0" w:color="auto"/>
            <w:left w:val="none" w:sz="0" w:space="0" w:color="auto"/>
            <w:bottom w:val="none" w:sz="0" w:space="0" w:color="auto"/>
            <w:right w:val="none" w:sz="0" w:space="0" w:color="auto"/>
          </w:divBdr>
        </w:div>
        <w:div w:id="1192499641">
          <w:marLeft w:val="0"/>
          <w:marRight w:val="0"/>
          <w:marTop w:val="0"/>
          <w:marBottom w:val="300"/>
          <w:divBdr>
            <w:top w:val="none" w:sz="0" w:space="0" w:color="auto"/>
            <w:left w:val="none" w:sz="0" w:space="0" w:color="auto"/>
            <w:bottom w:val="none" w:sz="0" w:space="0" w:color="auto"/>
            <w:right w:val="none" w:sz="0" w:space="0" w:color="auto"/>
          </w:divBdr>
        </w:div>
        <w:div w:id="1516534871">
          <w:marLeft w:val="0"/>
          <w:marRight w:val="0"/>
          <w:marTop w:val="0"/>
          <w:marBottom w:val="300"/>
          <w:divBdr>
            <w:top w:val="none" w:sz="0" w:space="0" w:color="auto"/>
            <w:left w:val="none" w:sz="0" w:space="0" w:color="auto"/>
            <w:bottom w:val="none" w:sz="0" w:space="0" w:color="auto"/>
            <w:right w:val="none" w:sz="0" w:space="0" w:color="auto"/>
          </w:divBdr>
        </w:div>
        <w:div w:id="869877966">
          <w:marLeft w:val="0"/>
          <w:marRight w:val="0"/>
          <w:marTop w:val="0"/>
          <w:marBottom w:val="300"/>
          <w:divBdr>
            <w:top w:val="none" w:sz="0" w:space="0" w:color="auto"/>
            <w:left w:val="none" w:sz="0" w:space="0" w:color="auto"/>
            <w:bottom w:val="none" w:sz="0" w:space="0" w:color="auto"/>
            <w:right w:val="none" w:sz="0" w:space="0" w:color="auto"/>
          </w:divBdr>
        </w:div>
        <w:div w:id="776680727">
          <w:marLeft w:val="0"/>
          <w:marRight w:val="0"/>
          <w:marTop w:val="0"/>
          <w:marBottom w:val="300"/>
          <w:divBdr>
            <w:top w:val="none" w:sz="0" w:space="0" w:color="auto"/>
            <w:left w:val="none" w:sz="0" w:space="0" w:color="auto"/>
            <w:bottom w:val="none" w:sz="0" w:space="0" w:color="auto"/>
            <w:right w:val="none" w:sz="0" w:space="0" w:color="auto"/>
          </w:divBdr>
        </w:div>
        <w:div w:id="1464276833">
          <w:marLeft w:val="0"/>
          <w:marRight w:val="0"/>
          <w:marTop w:val="0"/>
          <w:marBottom w:val="300"/>
          <w:divBdr>
            <w:top w:val="none" w:sz="0" w:space="0" w:color="auto"/>
            <w:left w:val="none" w:sz="0" w:space="0" w:color="auto"/>
            <w:bottom w:val="none" w:sz="0" w:space="0" w:color="auto"/>
            <w:right w:val="none" w:sz="0" w:space="0" w:color="auto"/>
          </w:divBdr>
        </w:div>
        <w:div w:id="2125221706">
          <w:marLeft w:val="0"/>
          <w:marRight w:val="0"/>
          <w:marTop w:val="0"/>
          <w:marBottom w:val="300"/>
          <w:divBdr>
            <w:top w:val="none" w:sz="0" w:space="0" w:color="auto"/>
            <w:left w:val="none" w:sz="0" w:space="0" w:color="auto"/>
            <w:bottom w:val="none" w:sz="0" w:space="0" w:color="auto"/>
            <w:right w:val="none" w:sz="0" w:space="0" w:color="auto"/>
          </w:divBdr>
        </w:div>
        <w:div w:id="1794059453">
          <w:marLeft w:val="0"/>
          <w:marRight w:val="0"/>
          <w:marTop w:val="0"/>
          <w:marBottom w:val="300"/>
          <w:divBdr>
            <w:top w:val="none" w:sz="0" w:space="0" w:color="auto"/>
            <w:left w:val="none" w:sz="0" w:space="0" w:color="auto"/>
            <w:bottom w:val="none" w:sz="0" w:space="0" w:color="auto"/>
            <w:right w:val="none" w:sz="0" w:space="0" w:color="auto"/>
          </w:divBdr>
        </w:div>
        <w:div w:id="1712877594">
          <w:marLeft w:val="0"/>
          <w:marRight w:val="0"/>
          <w:marTop w:val="0"/>
          <w:marBottom w:val="3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1626</Words>
  <Characters>9595</Characters>
  <Application>Microsoft Macintosh Word</Application>
  <DocSecurity>0</DocSecurity>
  <Lines>79</Lines>
  <Paragraphs>22</Paragraphs>
  <ScaleCrop>false</ScaleCrop>
  <LinksUpToDate>false</LinksUpToDate>
  <CharactersWithSpaces>11199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Březková</dc:creator>
  <cp:keywords/>
  <dc:description/>
  <cp:lastModifiedBy>Veronika Březková</cp:lastModifiedBy>
  <cp:revision>1</cp:revision>
  <dcterms:created xsi:type="dcterms:W3CDTF">2017-12-06T20:35:00Z</dcterms:created>
  <dcterms:modified xsi:type="dcterms:W3CDTF">2017-12-06T20:35:00Z</dcterms:modified>
</cp:coreProperties>
</file>