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0F" w:rsidRDefault="00E2210F">
      <w:pPr>
        <w:rPr>
          <w:b/>
          <w:bCs/>
          <w:sz w:val="28"/>
        </w:rPr>
      </w:pPr>
      <w:r>
        <w:rPr>
          <w:b/>
          <w:bCs/>
          <w:sz w:val="28"/>
        </w:rPr>
        <w:t>Téma P04: Diagnostika enterobakterií a bakteriálních původců gastrointestinálních infekcí</w:t>
      </w:r>
    </w:p>
    <w:p w:rsidR="00E2210F" w:rsidRDefault="00E2210F">
      <w:r>
        <w:rPr>
          <w:b/>
        </w:rPr>
        <w:t>Ke studiu:</w:t>
      </w:r>
      <w:r>
        <w:t xml:space="preserve"> </w:t>
      </w:r>
      <w:r>
        <w:rPr>
          <w:i/>
        </w:rPr>
        <w:t>Enterobacteriaceae, Vibrionaceae, Campylobacter, Helicobacter</w:t>
      </w:r>
      <w:r>
        <w:t xml:space="preserve"> (učebnice, WWW atd.)</w:t>
      </w:r>
    </w:p>
    <w:p w:rsidR="00E2210F" w:rsidRDefault="00E2210F">
      <w:r>
        <w:rPr>
          <w:b/>
        </w:rPr>
        <w:t>Z jarního semestru:</w:t>
      </w:r>
      <w:r>
        <w:t xml:space="preserve"> Mikroskopie, kultivace, biochemická identifikace, antigenní analýza</w:t>
      </w:r>
    </w:p>
    <w:p w:rsidR="00E2210F" w:rsidRPr="00525BE5" w:rsidRDefault="00E2210F">
      <w:pPr>
        <w:pStyle w:val="Nadpis2"/>
      </w:pPr>
      <w:r w:rsidRPr="00525BE5">
        <w:t>Tabulka pro hlavní výsledky úkolů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920"/>
        <w:gridCol w:w="903"/>
        <w:gridCol w:w="902"/>
        <w:gridCol w:w="904"/>
        <w:gridCol w:w="904"/>
        <w:gridCol w:w="902"/>
        <w:gridCol w:w="903"/>
        <w:gridCol w:w="903"/>
        <w:gridCol w:w="903"/>
      </w:tblGrid>
      <w:tr w:rsidR="00E2210F">
        <w:tc>
          <w:tcPr>
            <w:tcW w:w="1842" w:type="dxa"/>
            <w:gridSpan w:val="2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Kmen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jc w:val="center"/>
            </w:pPr>
            <w:r>
              <w:t>N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2210F">
        <w:tc>
          <w:tcPr>
            <w:tcW w:w="1842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Gramovo barvení – Úkol 1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 w:val="restart"/>
          </w:tcPr>
          <w:p w:rsidR="00E2210F" w:rsidRPr="00BC5000" w:rsidRDefault="00E2210F">
            <w:pPr>
              <w:rPr>
                <w:lang w:val="it-IT"/>
              </w:rPr>
            </w:pPr>
            <w:r w:rsidRPr="00BC5000">
              <w:rPr>
                <w:lang w:val="it-IT"/>
              </w:rPr>
              <w:t>Kulti- vace (KA a Endova půda) Úkol 2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Velikost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Barva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Jiné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Velikost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Barva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Jiné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Hajnova půda</w:t>
            </w:r>
          </w:p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Úkol 3a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Oxidázový test</w:t>
            </w:r>
          </w:p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Úkol 3b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  <w:shd w:val="clear" w:color="auto" w:fill="E6E6E6"/>
          </w:tcPr>
          <w:p w:rsidR="00E2210F" w:rsidRDefault="00E22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DÍLČÍ</w:t>
            </w:r>
          </w:p>
          <w:p w:rsidR="00E2210F" w:rsidRDefault="00E22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ZÁVĚR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/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90697">
        <w:tc>
          <w:tcPr>
            <w:tcW w:w="1842" w:type="dxa"/>
            <w:gridSpan w:val="2"/>
          </w:tcPr>
          <w:p w:rsidR="00E90697" w:rsidRDefault="00E90697" w:rsidP="00E90697">
            <w:pPr>
              <w:rPr>
                <w:lang w:val="en-GB"/>
              </w:rPr>
            </w:pPr>
            <w:r>
              <w:rPr>
                <w:lang w:val="en-GB"/>
              </w:rPr>
              <w:t>XLD agar</w:t>
            </w:r>
          </w:p>
          <w:p w:rsidR="00E90697" w:rsidRPr="00CE169D" w:rsidRDefault="00E90697" w:rsidP="00E90697">
            <w:pPr>
              <w:rPr>
                <w:lang w:val="en-GB"/>
              </w:rPr>
            </w:pPr>
            <w:r>
              <w:rPr>
                <w:lang w:val="en-GB"/>
              </w:rPr>
              <w:t>Úkol 4a</w:t>
            </w: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90697" w:rsidRDefault="00E90697"/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90697" w:rsidRDefault="00E90697">
            <w:pPr>
              <w:rPr>
                <w:lang w:val="en-US"/>
              </w:rPr>
            </w:pPr>
          </w:p>
        </w:tc>
      </w:tr>
      <w:tr w:rsidR="00E90697">
        <w:tc>
          <w:tcPr>
            <w:tcW w:w="1842" w:type="dxa"/>
            <w:gridSpan w:val="2"/>
          </w:tcPr>
          <w:p w:rsidR="00E90697" w:rsidRPr="00CE169D" w:rsidRDefault="00E90697" w:rsidP="00E90697">
            <w:pPr>
              <w:rPr>
                <w:lang w:val="en-GB"/>
              </w:rPr>
            </w:pPr>
            <w:r w:rsidRPr="00CE169D">
              <w:rPr>
                <w:lang w:val="en-GB"/>
              </w:rPr>
              <w:t>ENTEROt</w:t>
            </w:r>
            <w:r>
              <w:rPr>
                <w:lang w:val="en-GB"/>
              </w:rPr>
              <w:t>est 16 Úkol 4b</w:t>
            </w: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90697" w:rsidRDefault="00E90697"/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90697" w:rsidRDefault="00E90697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90697" w:rsidRDefault="00E90697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</w:tcPr>
          <w:p w:rsidR="00E2210F" w:rsidRDefault="00AF31C1">
            <w:pPr>
              <w:rPr>
                <w:lang w:val="en-US"/>
              </w:rPr>
            </w:pPr>
            <w:r>
              <w:rPr>
                <w:lang w:val="en-US"/>
              </w:rPr>
              <w:t>Antigenní analýza Úkoly 5a a 5b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  <w:shd w:val="clear" w:color="auto" w:fill="E6E6E6"/>
          </w:tcPr>
          <w:p w:rsidR="00E2210F" w:rsidRDefault="00E22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/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</w:tr>
    </w:tbl>
    <w:p w:rsidR="00E2210F" w:rsidRDefault="00E2210F">
      <w:pPr>
        <w:pStyle w:val="Nadpis2"/>
      </w:pPr>
      <w:r>
        <w:t>Úkol 1: Mikroskopie podezřelých kmenů</w:t>
      </w:r>
    </w:p>
    <w:p w:rsidR="00E2210F" w:rsidRDefault="00E2210F" w:rsidP="008A1334">
      <w:pPr>
        <w:tabs>
          <w:tab w:val="left" w:pos="1440"/>
          <w:tab w:val="left" w:pos="4860"/>
        </w:tabs>
      </w:pPr>
      <w:r>
        <w:t xml:space="preserve">Na stole máte kmeny označené písmeny. Obarvěte je podle Grama a vepište výsledky do tabulky. </w:t>
      </w:r>
      <w:r w:rsidR="008A1334" w:rsidRPr="008A1334">
        <w:rPr>
          <w:b/>
          <w:bCs/>
        </w:rPr>
        <w:t>Pozor, kmen N, jehož barvení je obtížnější, nebarvíte – je již pro vás obarven.</w:t>
      </w:r>
      <w:r w:rsidR="008A1334">
        <w:t xml:space="preserve"> </w:t>
      </w:r>
      <w:r>
        <w:t xml:space="preserve">Kmeny, které </w:t>
      </w:r>
      <w:r w:rsidRPr="009B47EC">
        <w:rPr>
          <w:b/>
          <w:bCs/>
        </w:rPr>
        <w:t>nejsou G– tyčinky, nebudou zkoumány v úkolech 3 až 5</w:t>
      </w:r>
      <w:r>
        <w:t xml:space="preserve"> (ale v Úkolu 2 pro srovnání s ostatními ano).</w:t>
      </w:r>
    </w:p>
    <w:p w:rsidR="00E2210F" w:rsidRDefault="00E2210F">
      <w:pPr>
        <w:pStyle w:val="Nadpis2"/>
      </w:pPr>
      <w:r>
        <w:t>Úkol 2: Kultivace na krevním agaru a Endově půdě</w:t>
      </w:r>
    </w:p>
    <w:p w:rsidR="00E2210F" w:rsidRDefault="00E2210F" w:rsidP="00BC5000">
      <w:r>
        <w:t>Standardním způsobem popište kolonie všech kmenů na krevním agaru a Endově půdě. Pokud kmen na půdě neroste, políčko proškrtněte. Bakterie, které na žádné z obou půd nerostou a morfologicky se jeví jako zahnuté gramnegativní tyčinky, mohou být kampylobakter. Gramnegativní tyčinka, která na žádné půdě neroste, ale mikroskopicky není zahnutá, se bude probírat v příštím praktiku. Pro srovnání popište i kmen, který se morfologick</w:t>
      </w:r>
      <w:r w:rsidR="00BC5000">
        <w:t>y jevil jako grampozitivní kok.</w:t>
      </w:r>
      <w:r w:rsidR="00613180">
        <w:t xml:space="preserve"> </w:t>
      </w:r>
      <w:r w:rsidR="00613180" w:rsidRPr="00682953">
        <w:rPr>
          <w:b/>
          <w:bCs/>
        </w:rPr>
        <w:t>Misky z Úkolu 2 nepoužívejte pro jiné úkoly.</w:t>
      </w:r>
    </w:p>
    <w:p w:rsidR="00E2210F" w:rsidRDefault="00E2210F">
      <w:pPr>
        <w:pStyle w:val="Nadpis2"/>
      </w:pPr>
      <w:r>
        <w:t>Úkol 3: Skupinová diagnostika nejvýznamnějších na Endu rostoucích G– tyčinek</w:t>
      </w:r>
    </w:p>
    <w:p w:rsidR="00E2210F" w:rsidRDefault="00E2210F">
      <w:pPr>
        <w:pStyle w:val="Nadpis2"/>
      </w:pPr>
      <w:r>
        <w:t>a) Odečtení zkoušky na šikmém agaru podle Hajny</w:t>
      </w:r>
    </w:p>
    <w:p w:rsidR="00E2210F" w:rsidRDefault="00E2210F">
      <w:r>
        <w:t xml:space="preserve">Agar podle Hajny je kombinovaná diagnostická půda. V tomto úkolu nám však půjde zejména o odlišení biochemicky neaktivních, glukosu ani laktosu nefermentujících a sirovodík netvořících tyčinek – gramnegativních nefermentujících bakterií. Na Hajnově půdě jsou naočkovány všechny kmeny rostoucí na Endu. Prohlédněte výsledek. Tam, kde půda zůstala v celém rozsahu červená, jde o biochemicky neaktivní kmen – zřejmě tedy o gramnegativní nefermentující tyčinku. Tento kmen nebude testován v úkolech číslo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5.</w:t>
      </w:r>
    </w:p>
    <w:p w:rsidR="00E2210F" w:rsidRDefault="00E2210F">
      <w:pPr>
        <w:pStyle w:val="Nadpis2"/>
      </w:pPr>
      <w:r>
        <w:t>b) Oxidázový test</w:t>
      </w:r>
    </w:p>
    <w:p w:rsidR="00E2210F" w:rsidRDefault="00E2210F">
      <w:r>
        <w:t xml:space="preserve">Učitel demonstračně provede oxidázový test u všech G– bakterií rostoucích na Endu. Oxidázapozitivní jsou zástupci čeledi </w:t>
      </w:r>
      <w:r>
        <w:rPr>
          <w:i/>
        </w:rPr>
        <w:t>Vibrionaceae</w:t>
      </w:r>
      <w:r>
        <w:t xml:space="preserve"> a některé gramnegativní nefermentující tyčinky; enterobakterie (s výjimkou plesiomonád) oxid</w:t>
      </w:r>
      <w:r w:rsidR="00525BE5">
        <w:t>áz</w:t>
      </w:r>
      <w:r>
        <w:t xml:space="preserve">u </w:t>
      </w:r>
      <w:r w:rsidR="00525BE5">
        <w:t xml:space="preserve">pozitivní </w:t>
      </w:r>
      <w:r>
        <w:t>nemají.</w:t>
      </w:r>
    </w:p>
    <w:p w:rsidR="00E2210F" w:rsidRDefault="00E2210F">
      <w:pPr>
        <w:rPr>
          <w:b/>
        </w:rPr>
      </w:pPr>
      <w:r>
        <w:rPr>
          <w:b/>
        </w:rPr>
        <w:lastRenderedPageBreak/>
        <w:t>Po splnění úkolů 1 až 3 sepište DÍLČÍ ZÁVĚR. Které bakterie jsou enterobakterie? Další úkoly budou prováděny právě jen s enterobakteriemi.</w:t>
      </w:r>
    </w:p>
    <w:p w:rsidR="00E2210F" w:rsidRDefault="00E2210F">
      <w:pPr>
        <w:pStyle w:val="Nadpis2"/>
      </w:pPr>
      <w:r>
        <w:t>Úkol 4: Rodové a druhové určení enterobakterií kultivačními a biochemickými testy</w:t>
      </w:r>
    </w:p>
    <w:p w:rsidR="00E2210F" w:rsidRDefault="00E2210F">
      <w:pPr>
        <w:pStyle w:val="Nadpis2"/>
      </w:pPr>
      <w:r>
        <w:t>a) Kultivační průkaz enterobakterií na dalších půdách</w:t>
      </w:r>
    </w:p>
    <w:p w:rsidR="00E2210F" w:rsidRDefault="00E2210F" w:rsidP="00AF31C1">
      <w:pPr>
        <w:rPr>
          <w:iCs/>
        </w:rPr>
      </w:pPr>
      <w:r>
        <w:rPr>
          <w:iCs/>
        </w:rPr>
        <w:t xml:space="preserve">Už jste viděli výsledky kultivace na KA a Endu. Nyní si prohlédněte ještě </w:t>
      </w:r>
      <w:r w:rsidR="00AF31C1">
        <w:t>misky s agarem XLD</w:t>
      </w:r>
      <w:r>
        <w:t>. Popište krátce kolonie enterobakterií na těchto půdách (vyplňte do tabulky).</w:t>
      </w:r>
      <w:r w:rsidR="00AF31C1">
        <w:t xml:space="preserve"> Na bočním stole ještě pro porovnání uvidíte výsledky na půdě MAL (půda velmi podobná půdě XLD, podobně jako některé další, například DC) a výsledky na půdě CIN (zde rostou yersinie v typických drobných růžových koloniích; pokud nic neroste, nejde o yersinie).</w:t>
      </w:r>
      <w:r w:rsidR="00BC5000">
        <w:t xml:space="preserve"> Tyto výsledky se do tabulky nezaznamenávají.</w:t>
      </w:r>
    </w:p>
    <w:p w:rsidR="00E2210F" w:rsidRDefault="00E2210F">
      <w:pPr>
        <w:pStyle w:val="Nadpis2"/>
      </w:pPr>
      <w:r>
        <w:t>b) Biochemický průkaz enterobakterií</w:t>
      </w:r>
    </w:p>
    <w:p w:rsidR="00E2210F" w:rsidRDefault="00E2210F" w:rsidP="00AF31C1">
      <w:r>
        <w:t>Vyhodnoťte ENTEROtest 16, který byl inkubován od předchozího dne. Zkontrolujte, zda výsledky souhlasí i s jinými testy, které jste již provedli; např. tvorba H</w:t>
      </w:r>
      <w:r>
        <w:rPr>
          <w:vertAlign w:val="subscript"/>
        </w:rPr>
        <w:t>2</w:t>
      </w:r>
      <w:r>
        <w:t>S se projeví i na Hajnově půdě, salmonely mají bledé kolonie s černým středem na půdách XLD a MAL.</w:t>
      </w:r>
    </w:p>
    <w:p w:rsidR="00E2210F" w:rsidRDefault="00E2210F">
      <w:r>
        <w:t xml:space="preserve">U kmene, který se jeví býti salmonelou, napište jako výsledek pouze </w:t>
      </w:r>
      <w:r>
        <w:rPr>
          <w:i/>
        </w:rPr>
        <w:t xml:space="preserve">Salmonella </w:t>
      </w:r>
      <w:r>
        <w:t xml:space="preserve">sp. (popř. </w:t>
      </w:r>
      <w:r>
        <w:rPr>
          <w:i/>
        </w:rPr>
        <w:t>Salmonella enterica</w:t>
      </w:r>
      <w:r>
        <w:t>), jako procento pravděpodobnosti uveďte u tohoto kmene součet procent všech tří salmonel uvedených u příslušného kódu v knize, a index typičnosti vezměte podle prvního uvedeného taxonu v kódové knize. Název identifikované bakterie přepište také do tabulky před úkolem č. 1.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E2210F">
        <w:tc>
          <w:tcPr>
            <w:tcW w:w="447" w:type="dxa"/>
            <w:shd w:val="clear" w:color="auto" w:fill="E6E6E6"/>
          </w:tcPr>
          <w:p w:rsidR="00E2210F" w:rsidRPr="00525BE5" w:rsidRDefault="00E2210F"/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Zkum.</w:t>
            </w:r>
          </w:p>
        </w:tc>
        <w:tc>
          <w:tcPr>
            <w:tcW w:w="3611" w:type="dxa"/>
            <w:gridSpan w:val="8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První řádek</w:t>
            </w:r>
          </w:p>
        </w:tc>
        <w:tc>
          <w:tcPr>
            <w:tcW w:w="4078" w:type="dxa"/>
            <w:gridSpan w:val="8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Druhý řádek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Kmen: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Kmen: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Identifikace</w:t>
            </w: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% pravd.</w:t>
            </w: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Kmen: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Identifikace</w:t>
            </w: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% pravd.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Kmen: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Kód: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Identifikace</w:t>
            </w: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% pravd.</w:t>
            </w: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</w:tbl>
    <w:p w:rsidR="00E2210F" w:rsidRDefault="00E2210F">
      <w:pPr>
        <w:pStyle w:val="Nadpis2"/>
      </w:pPr>
      <w:r>
        <w:t>Úkol 5: Antigenní analýza v diagnostice enterobakterií</w:t>
      </w:r>
    </w:p>
    <w:p w:rsidR="00E2210F" w:rsidRDefault="00E2210F">
      <w:r>
        <w:t>Antigenní analýzu budeme provádět pouze u těch bakteriálních kmenů, kde se provádí rutinně. Antigenní analýza je u enterobaktérií prováděna především ze dvou důvodů:</w:t>
      </w:r>
    </w:p>
    <w:p w:rsidR="00E2210F" w:rsidRDefault="00E2210F">
      <w:r>
        <w:t xml:space="preserve">(a) odlišení antigenních typů se zvýšenou virulencí – především u </w:t>
      </w:r>
      <w:r>
        <w:rPr>
          <w:i/>
          <w:iCs/>
        </w:rPr>
        <w:t>E. coli</w:t>
      </w:r>
      <w:r>
        <w:t xml:space="preserve"> k odlišení EPEC, popř. STEC atd.</w:t>
      </w:r>
    </w:p>
    <w:p w:rsidR="00E2210F" w:rsidRDefault="00E2210F">
      <w:r>
        <w:t xml:space="preserve">(b) z epidemiologických důvodů, někdy v kombinaci s důvody sub (a) – </w:t>
      </w:r>
      <w:r>
        <w:rPr>
          <w:i/>
        </w:rPr>
        <w:t xml:space="preserve">Salmonella, Shigella, Yersinia </w:t>
      </w:r>
      <w:r>
        <w:t xml:space="preserve">atd. </w:t>
      </w:r>
    </w:p>
    <w:p w:rsidR="00613180" w:rsidRDefault="00613180">
      <w:pPr>
        <w:pStyle w:val="Nadpis2"/>
      </w:pPr>
    </w:p>
    <w:p w:rsidR="00E2210F" w:rsidRDefault="00E2210F">
      <w:pPr>
        <w:pStyle w:val="Nadpis2"/>
      </w:pPr>
      <w:r>
        <w:lastRenderedPageBreak/>
        <w:t>a) Vyloučení EPEC</w:t>
      </w:r>
    </w:p>
    <w:p w:rsidR="00E2210F" w:rsidRDefault="00E2210F">
      <w:r>
        <w:t xml:space="preserve">U kmene identifikovaného jako </w:t>
      </w:r>
      <w:r>
        <w:rPr>
          <w:i/>
          <w:iCs/>
        </w:rPr>
        <w:t>Escherichia coli</w:t>
      </w:r>
      <w:r>
        <w:t>, proveďte antigenní analýzu pomocí sklíčkové aglutinace se dvěma polyvalentními séry. Pokud budou obě aglutinace negativní, lze konstat</w:t>
      </w:r>
      <w:r w:rsidR="00613180">
        <w:t>ovat, že kmen nepatří mezi EPEC (jako konečný závěr napište „</w:t>
      </w:r>
      <w:r w:rsidR="00613180" w:rsidRPr="00613180">
        <w:rPr>
          <w:i/>
          <w:iCs/>
        </w:rPr>
        <w:t>E. coli</w:t>
      </w:r>
      <w:r w:rsidR="00613180">
        <w:t>, non-EPEC“)</w:t>
      </w:r>
    </w:p>
    <w:p w:rsidR="00E2210F" w:rsidRDefault="00E2210F">
      <w:pPr>
        <w:pStyle w:val="Nadpis2"/>
        <w:rPr>
          <w:i/>
          <w:iCs w:val="0"/>
        </w:rPr>
      </w:pPr>
      <w:r>
        <w:t>b) Určení serovaru salmonely</w:t>
      </w:r>
    </w:p>
    <w:p w:rsidR="00063E86" w:rsidRPr="0085749F" w:rsidRDefault="00063E86" w:rsidP="00063E86">
      <w:pPr>
        <w:rPr>
          <w:iCs/>
        </w:rPr>
      </w:pPr>
      <w:r>
        <w:t xml:space="preserve">U kmene určeného jako salmonela bychom provedli antigenní analýzu sklíčkovou aglutinací a zjistili, o který serovar se jedná. Studenti zubního směru tento test </w:t>
      </w:r>
      <w:r w:rsidRPr="0085749F">
        <w:rPr>
          <w:iCs/>
        </w:rPr>
        <w:t>neprovád</w:t>
      </w:r>
      <w:r>
        <w:rPr>
          <w:iCs/>
        </w:rPr>
        <w:t>ěj</w:t>
      </w:r>
      <w:r w:rsidRPr="0085749F">
        <w:rPr>
          <w:iCs/>
        </w:rPr>
        <w:t>í</w:t>
      </w:r>
      <w:r>
        <w:rPr>
          <w:iCs/>
        </w:rPr>
        <w:t>.</w:t>
      </w:r>
    </w:p>
    <w:p w:rsidR="00E2210F" w:rsidRDefault="00E2210F">
      <w:pPr>
        <w:pStyle w:val="Nadpis2"/>
      </w:pPr>
      <w:r>
        <w:t>Úkol 6: Testy citlivosti enterobaktérií na antibiotika</w:t>
      </w:r>
    </w:p>
    <w:p w:rsidR="007D25F1" w:rsidRPr="00074164" w:rsidRDefault="00074164" w:rsidP="00F87EA9">
      <w:r>
        <w:t xml:space="preserve">Na stole naleznete difusní diskové testy citlivosti na antibiotika u kmenů, které jste určili jako </w:t>
      </w:r>
      <w:r w:rsidRPr="00212F56">
        <w:rPr>
          <w:i/>
        </w:rPr>
        <w:t>Enterobacteriaceae</w:t>
      </w:r>
      <w:r>
        <w:t>. U salmonely test záměrně chybí (nejčastěji jde o střevní nález a antibiotiky se tudíž neléčí.) Sestava antibiotik je vhodná k léčbě infekcí močových cest (IMC). Interpretujte kmeny jako citlivé (C), intermediární (I) či rezistentní (R) k daným antibiotikům</w:t>
      </w:r>
      <w:r w:rsidR="007D25F1" w:rsidRPr="00074164">
        <w:t xml:space="preserve">. </w:t>
      </w:r>
      <w:r w:rsidR="00F87EA9">
        <w:rPr>
          <w:b/>
          <w:bCs/>
        </w:rPr>
        <w:t>I</w:t>
      </w:r>
      <w:r>
        <w:rPr>
          <w:b/>
          <w:bCs/>
        </w:rPr>
        <w:t xml:space="preserve">nterpretace </w:t>
      </w:r>
      <w:r w:rsidR="00F87EA9">
        <w:rPr>
          <w:b/>
          <w:bCs/>
        </w:rPr>
        <w:t xml:space="preserve">je </w:t>
      </w:r>
      <w:r>
        <w:rPr>
          <w:b/>
          <w:bCs/>
        </w:rPr>
        <w:t>v </w:t>
      </w:r>
      <w:r w:rsidRPr="00074164">
        <w:rPr>
          <w:b/>
          <w:bCs/>
        </w:rPr>
        <w:t>souladu s aktuálními doporučeními</w:t>
      </w:r>
      <w:r w:rsidR="007D25F1" w:rsidRPr="00074164">
        <w:rPr>
          <w:b/>
          <w:bCs/>
        </w:rPr>
        <w:t xml:space="preserve"> EUCAST#</w:t>
      </w:r>
      <w:r w:rsidRPr="00074164">
        <w:rPr>
          <w:b/>
          <w:bCs/>
        </w:rPr>
        <w:t>, u některých antibiotik tedy máte pouze možnost</w:t>
      </w:r>
      <w:r>
        <w:rPr>
          <w:b/>
          <w:bCs/>
        </w:rPr>
        <w:t xml:space="preserve"> „citlivý“ či „rezistentní“, pro jiná i „intermediární“ </w:t>
      </w:r>
      <w:r w:rsidR="007D25F1" w:rsidRPr="00074164">
        <w:rPr>
          <w:b/>
          <w:bCs/>
        </w:rPr>
        <w:t>(I).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1035"/>
        <w:gridCol w:w="874"/>
        <w:gridCol w:w="803"/>
        <w:gridCol w:w="899"/>
        <w:gridCol w:w="803"/>
        <w:gridCol w:w="899"/>
        <w:gridCol w:w="803"/>
        <w:gridCol w:w="899"/>
      </w:tblGrid>
      <w:tr w:rsidR="007D25F1" w:rsidRPr="00CE169D">
        <w:tblPrEx>
          <w:tblCellMar>
            <w:top w:w="0" w:type="dxa"/>
            <w:bottom w:w="0" w:type="dxa"/>
          </w:tblCellMar>
        </w:tblPrEx>
        <w:tc>
          <w:tcPr>
            <w:tcW w:w="4106" w:type="dxa"/>
            <w:gridSpan w:val="4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br w:type="page"/>
            </w:r>
            <w:r w:rsidR="00074164" w:rsidRPr="00074164">
              <w:t>Kmen</w:t>
            </w:r>
            <w:r w:rsidRPr="00074164">
              <w:t xml:space="preserve"> </w:t>
            </w:r>
            <w:r w:rsidRPr="00074164">
              <w:sym w:font="Wingdings" w:char="F0E0"/>
            </w: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7D25F1" w:rsidRPr="00CE169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204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t>Antibio</w:t>
            </w:r>
            <w:r w:rsidR="00074164">
              <w:t>-</w:t>
            </w:r>
            <w:r w:rsidRPr="00074164">
              <w:t>ti</w:t>
            </w:r>
            <w:r w:rsidR="00074164" w:rsidRPr="00074164">
              <w:t>k</w:t>
            </w:r>
            <w:r w:rsidR="00074164">
              <w:t>u</w:t>
            </w:r>
            <w:r w:rsidR="00074164" w:rsidRPr="00074164">
              <w:t>m</w:t>
            </w:r>
          </w:p>
        </w:tc>
        <w:tc>
          <w:tcPr>
            <w:tcW w:w="99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Citlivý pokud je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Intermedi-ární pokud</w:t>
            </w:r>
          </w:p>
        </w:tc>
        <w:tc>
          <w:tcPr>
            <w:tcW w:w="874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Rezis-tentní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t>Interpre-</w:t>
            </w:r>
          </w:p>
          <w:p w:rsidR="007D25F1" w:rsidRPr="00074164" w:rsidRDefault="007D25F1" w:rsidP="007D25F1">
            <w:pPr>
              <w:jc w:val="center"/>
            </w:pPr>
            <w:r w:rsidRPr="00074164">
              <w:t>ta</w:t>
            </w:r>
            <w:r w:rsidR="00074164">
              <w:t>ce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074164" w:rsidRPr="00074164" w:rsidRDefault="00074164" w:rsidP="00074164">
            <w:pPr>
              <w:jc w:val="center"/>
            </w:pPr>
            <w:r w:rsidRPr="00074164">
              <w:t>Interpre-</w:t>
            </w:r>
          </w:p>
          <w:p w:rsidR="007D25F1" w:rsidRPr="00074164" w:rsidRDefault="00074164" w:rsidP="00074164">
            <w:pPr>
              <w:jc w:val="center"/>
            </w:pPr>
            <w:r w:rsidRPr="00074164">
              <w:t>ta</w:t>
            </w:r>
            <w:r>
              <w:t>ce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sym w:font="Symbol" w:char="F0C6"/>
            </w:r>
            <w:r w:rsidR="00074164"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074164" w:rsidRPr="00074164" w:rsidRDefault="00074164" w:rsidP="00074164">
            <w:pPr>
              <w:jc w:val="center"/>
            </w:pPr>
            <w:r w:rsidRPr="00074164">
              <w:t>Interpre-</w:t>
            </w:r>
          </w:p>
          <w:p w:rsidR="007D25F1" w:rsidRPr="00074164" w:rsidRDefault="00074164" w:rsidP="00074164">
            <w:pPr>
              <w:jc w:val="center"/>
            </w:pPr>
            <w:r w:rsidRPr="00074164">
              <w:t>ta</w:t>
            </w:r>
            <w:r>
              <w:t>ce</w:t>
            </w:r>
          </w:p>
        </w:tc>
      </w:tr>
      <w:tr w:rsidR="00063E86" w:rsidRPr="00063E86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 w:rsidRPr="00074164">
              <w:t>Ampicilin</w:t>
            </w:r>
          </w:p>
          <w:p w:rsidR="00063E86" w:rsidRPr="00074164" w:rsidRDefault="00A301F0" w:rsidP="007D25F1">
            <w:r>
              <w:t>AMP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14 mm</w:t>
            </w:r>
          </w:p>
        </w:tc>
        <w:tc>
          <w:tcPr>
            <w:tcW w:w="103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63E86" w:rsidRPr="00074164" w:rsidRDefault="00063E86" w:rsidP="007D25F1"/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14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 w:val="restart"/>
          </w:tcPr>
          <w:p w:rsidR="00063E86" w:rsidRDefault="00063E86" w:rsidP="007D25F1">
            <w:pPr>
              <w:jc w:val="center"/>
            </w:pPr>
          </w:p>
          <w:p w:rsidR="00063E86" w:rsidRDefault="00063E86" w:rsidP="007D25F1">
            <w:pPr>
              <w:jc w:val="center"/>
            </w:pPr>
          </w:p>
          <w:p w:rsidR="00063E86" w:rsidRDefault="00063E86" w:rsidP="007D25F1">
            <w:pPr>
              <w:jc w:val="center"/>
            </w:pPr>
          </w:p>
          <w:p w:rsidR="00063E86" w:rsidRDefault="00063E86" w:rsidP="007D25F1">
            <w:pPr>
              <w:jc w:val="center"/>
            </w:pPr>
          </w:p>
          <w:p w:rsidR="00063E86" w:rsidRDefault="00063E86" w:rsidP="007D25F1">
            <w:pPr>
              <w:jc w:val="center"/>
            </w:pPr>
          </w:p>
          <w:p w:rsidR="00063E86" w:rsidRPr="00074164" w:rsidRDefault="00063E86" w:rsidP="007D25F1">
            <w:pPr>
              <w:jc w:val="center"/>
            </w:pPr>
            <w:r>
              <w:t>Studenti zubního lékařství z časových důvodů neprovádějí</w:t>
            </w:r>
            <w:r w:rsidR="001F0C21">
              <w:t xml:space="preserve"> testování tří kmenů. Vyberou si jeden libovolný kmen.</w:t>
            </w:r>
            <w:bookmarkStart w:id="0" w:name="_GoBack"/>
            <w:bookmarkEnd w:id="0"/>
          </w:p>
        </w:tc>
      </w:tr>
      <w:tr w:rsidR="009B47EC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9B47EC" w:rsidRDefault="009B47EC" w:rsidP="009B47EC">
            <w:pPr>
              <w:rPr>
                <w:lang w:val="en-GB"/>
              </w:rPr>
            </w:pPr>
            <w:r>
              <w:rPr>
                <w:lang w:val="en-GB"/>
              </w:rPr>
              <w:t>Cefazolin</w:t>
            </w:r>
          </w:p>
          <w:p w:rsidR="009B47EC" w:rsidRDefault="009B47EC" w:rsidP="009B47EC">
            <w:pPr>
              <w:rPr>
                <w:lang w:val="en-GB"/>
              </w:rPr>
            </w:pPr>
            <w:r>
              <w:rPr>
                <w:lang w:val="en-GB"/>
              </w:rPr>
              <w:t>KZ</w:t>
            </w:r>
          </w:p>
        </w:tc>
        <w:tc>
          <w:tcPr>
            <w:tcW w:w="993" w:type="dxa"/>
            <w:shd w:val="clear" w:color="auto" w:fill="E6E6E6"/>
          </w:tcPr>
          <w:p w:rsidR="009B47EC" w:rsidRPr="00CE169D" w:rsidRDefault="009B47EC" w:rsidP="009B47EC">
            <w:pPr>
              <w:rPr>
                <w:lang w:val="en-GB"/>
              </w:rPr>
            </w:pPr>
            <w:r>
              <w:rPr>
                <w:lang w:val="en-GB"/>
              </w:rPr>
              <w:t>≥ 15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9B47EC" w:rsidRPr="00CE169D" w:rsidRDefault="009B47EC" w:rsidP="009B47EC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9B47EC" w:rsidRPr="00CE169D" w:rsidRDefault="009B47EC" w:rsidP="009B47EC">
            <w:pPr>
              <w:rPr>
                <w:lang w:val="en-GB"/>
              </w:rPr>
            </w:pPr>
            <w:r>
              <w:rPr>
                <w:lang w:val="en-GB"/>
              </w:rPr>
              <w:t>&lt; 14 mm</w:t>
            </w:r>
          </w:p>
        </w:tc>
        <w:tc>
          <w:tcPr>
            <w:tcW w:w="803" w:type="dxa"/>
          </w:tcPr>
          <w:p w:rsidR="009B47EC" w:rsidRPr="00074164" w:rsidRDefault="009B47EC" w:rsidP="007D25F1">
            <w:pPr>
              <w:jc w:val="center"/>
            </w:pPr>
          </w:p>
        </w:tc>
        <w:tc>
          <w:tcPr>
            <w:tcW w:w="899" w:type="dxa"/>
          </w:tcPr>
          <w:p w:rsidR="009B47EC" w:rsidRPr="00074164" w:rsidRDefault="009B47EC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9B47EC" w:rsidRPr="00074164" w:rsidRDefault="009B47EC" w:rsidP="007D25F1">
            <w:pPr>
              <w:jc w:val="center"/>
            </w:pPr>
          </w:p>
        </w:tc>
      </w:tr>
      <w:tr w:rsidR="00063E86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>
              <w:t>K</w:t>
            </w:r>
            <w:r w:rsidRPr="00074164">
              <w:t>o-trimo</w:t>
            </w:r>
            <w:r w:rsidR="00A301F0">
              <w:t>-</w:t>
            </w:r>
            <w:r w:rsidRPr="00074164">
              <w:t>xazol</w:t>
            </w:r>
            <w:r w:rsidR="00A301F0">
              <w:t xml:space="preserve"> SXT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16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063E86" w:rsidRPr="00074164" w:rsidRDefault="00063E86" w:rsidP="007D25F1">
            <w:r w:rsidRPr="00074164">
              <w:t>13–15 mm</w:t>
            </w:r>
          </w:p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13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  <w:tr w:rsidR="00063E86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 w:rsidRPr="00074164">
              <w:t>Nitrofuran-toin</w:t>
            </w:r>
            <w:r w:rsidR="00A301F0">
              <w:t xml:space="preserve"> F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11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63E86" w:rsidRPr="00074164" w:rsidRDefault="00063E86" w:rsidP="007D25F1"/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11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  <w:tr w:rsidR="00063E86" w:rsidRPr="00CE16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 w:rsidRPr="00074164">
              <w:t>Tetracyklin*</w:t>
            </w:r>
          </w:p>
          <w:p w:rsidR="00063E86" w:rsidRPr="00074164" w:rsidRDefault="00A301F0" w:rsidP="007D25F1">
            <w:r>
              <w:t>TE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15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063E86" w:rsidRPr="00074164" w:rsidRDefault="00063E86" w:rsidP="007D25F1">
            <w:r w:rsidRPr="00074164">
              <w:t>12–14 mm</w:t>
            </w:r>
          </w:p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12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  <w:tr w:rsidR="00063E86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63E86" w:rsidRPr="00074164" w:rsidRDefault="00063E86" w:rsidP="00A301F0">
            <w:r w:rsidRPr="00074164">
              <w:t>Cefuroxim</w:t>
            </w:r>
          </w:p>
          <w:p w:rsidR="00063E86" w:rsidRPr="00074164" w:rsidRDefault="00A301F0" w:rsidP="007D25F1">
            <w:r>
              <w:t>CXM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18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063E86" w:rsidRPr="00074164" w:rsidRDefault="00063E86" w:rsidP="007D25F1"/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18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  <w:tr w:rsidR="00063E86" w:rsidRPr="00CE169D">
        <w:tblPrEx>
          <w:tblCellMar>
            <w:top w:w="0" w:type="dxa"/>
            <w:bottom w:w="0" w:type="dxa"/>
          </w:tblCellMar>
        </w:tblPrEx>
        <w:tc>
          <w:tcPr>
            <w:tcW w:w="1204" w:type="dxa"/>
            <w:shd w:val="clear" w:color="auto" w:fill="E6E6E6"/>
          </w:tcPr>
          <w:p w:rsidR="00063E86" w:rsidRPr="00074164" w:rsidRDefault="00063E86" w:rsidP="007D25F1">
            <w:r w:rsidRPr="00074164">
              <w:t>Norfloxacin</w:t>
            </w:r>
          </w:p>
          <w:p w:rsidR="00063E86" w:rsidRPr="00074164" w:rsidRDefault="00A301F0" w:rsidP="007D25F1">
            <w:r>
              <w:t>NOR</w:t>
            </w:r>
          </w:p>
        </w:tc>
        <w:tc>
          <w:tcPr>
            <w:tcW w:w="993" w:type="dxa"/>
            <w:shd w:val="clear" w:color="auto" w:fill="E6E6E6"/>
          </w:tcPr>
          <w:p w:rsidR="00063E86" w:rsidRPr="00074164" w:rsidRDefault="00063E86" w:rsidP="007D25F1">
            <w:r w:rsidRPr="00074164">
              <w:t>≥ 22 mm</w:t>
            </w:r>
          </w:p>
        </w:tc>
        <w:tc>
          <w:tcPr>
            <w:tcW w:w="1035" w:type="dxa"/>
            <w:shd w:val="clear" w:color="auto" w:fill="E6E6E6"/>
          </w:tcPr>
          <w:p w:rsidR="00063E86" w:rsidRPr="00074164" w:rsidRDefault="00063E86" w:rsidP="007D25F1">
            <w:r w:rsidRPr="00074164">
              <w:t>19–21 mm</w:t>
            </w:r>
          </w:p>
        </w:tc>
        <w:tc>
          <w:tcPr>
            <w:tcW w:w="874" w:type="dxa"/>
            <w:shd w:val="clear" w:color="auto" w:fill="E6E6E6"/>
          </w:tcPr>
          <w:p w:rsidR="00063E86" w:rsidRPr="00074164" w:rsidRDefault="00063E86" w:rsidP="007D25F1">
            <w:r w:rsidRPr="00074164">
              <w:t>&lt; 19 mm</w:t>
            </w:r>
          </w:p>
        </w:tc>
        <w:tc>
          <w:tcPr>
            <w:tcW w:w="803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899" w:type="dxa"/>
          </w:tcPr>
          <w:p w:rsidR="00063E86" w:rsidRPr="00074164" w:rsidRDefault="00063E86" w:rsidP="007D25F1">
            <w:pPr>
              <w:jc w:val="center"/>
            </w:pPr>
          </w:p>
        </w:tc>
        <w:tc>
          <w:tcPr>
            <w:tcW w:w="3404" w:type="dxa"/>
            <w:gridSpan w:val="4"/>
            <w:vMerge/>
          </w:tcPr>
          <w:p w:rsidR="00063E86" w:rsidRPr="00074164" w:rsidRDefault="00063E86" w:rsidP="007D25F1">
            <w:pPr>
              <w:jc w:val="center"/>
            </w:pPr>
          </w:p>
        </w:tc>
      </w:tr>
    </w:tbl>
    <w:p w:rsidR="00074164" w:rsidRDefault="00074164" w:rsidP="00074164">
      <w:r>
        <w:t>*platí také pro doxycyklin</w:t>
      </w:r>
    </w:p>
    <w:p w:rsidR="00E2210F" w:rsidRDefault="00E2210F">
      <w:pPr>
        <w:pStyle w:val="Nadpis2"/>
        <w:rPr>
          <w:i/>
        </w:rPr>
      </w:pPr>
      <w:r>
        <w:t>Úkol 7: Diagnostika kampylobakterů</w:t>
      </w:r>
    </w:p>
    <w:p w:rsidR="00E2210F" w:rsidRDefault="00E2210F">
      <w:r>
        <w:t>Prohlédněte si kolonie bakterie, která nevyrostla na KA ani Endově půdě a kterou podle morfologie považujete za pravděpodobného kampylobaktera, na speciální půdě. Zapamatujte si čtyři základní podmínky kultivace kampylobakterů:</w:t>
      </w:r>
    </w:p>
    <w:p w:rsidR="00E2210F" w:rsidRDefault="00E2210F">
      <w:pPr>
        <w:numPr>
          <w:ilvl w:val="0"/>
          <w:numId w:val="12"/>
        </w:numPr>
      </w:pPr>
      <w:r>
        <w:t>speciální půda s aktivním uhlím a s přípravkem antibiotik a antimykotik k odclonění jiných mikrobů,</w:t>
      </w:r>
    </w:p>
    <w:p w:rsidR="00E2210F" w:rsidRDefault="00E2210F">
      <w:pPr>
        <w:numPr>
          <w:ilvl w:val="0"/>
          <w:numId w:val="12"/>
        </w:numPr>
      </w:pPr>
      <w:r>
        <w:t>mikroaerofilní atmosféra,</w:t>
      </w:r>
    </w:p>
    <w:p w:rsidR="00E2210F" w:rsidRDefault="00E2210F">
      <w:pPr>
        <w:numPr>
          <w:ilvl w:val="0"/>
          <w:numId w:val="12"/>
        </w:numPr>
      </w:pPr>
      <w:r>
        <w:t xml:space="preserve">zvýšená teplota na </w:t>
      </w:r>
      <w:smartTag w:uri="urn:schemas-microsoft-com:office:smarttags" w:element="metricconverter">
        <w:smartTagPr>
          <w:attr w:name="ProductID" w:val="42 ﾰC"/>
        </w:smartTagPr>
        <w:r>
          <w:t>42 °C</w:t>
        </w:r>
      </w:smartTag>
      <w:r>
        <w:t>, což odpovídá tělesné teplotě ptáků coby přirozených hostitelů, a</w:t>
      </w:r>
    </w:p>
    <w:p w:rsidR="00E2210F" w:rsidRDefault="00E2210F">
      <w:pPr>
        <w:numPr>
          <w:ilvl w:val="0"/>
          <w:numId w:val="12"/>
        </w:numPr>
      </w:pPr>
      <w:r>
        <w:t>prodloužení kultivace na 48 hodin.</w:t>
      </w:r>
    </w:p>
    <w:p w:rsidR="00E2210F" w:rsidRDefault="00E2210F">
      <w:r>
        <w:t>Popište kolonie a zapište výsledek oxidázového testu, který demonstračně provede učitel. Pro kampylobaktery je typická opožděná pozitivita, tj. proužek zmodrá, ale až po chvíli, nikoli okamžitě.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2519"/>
        <w:gridCol w:w="1890"/>
      </w:tblGrid>
      <w:tr w:rsidR="00E2210F">
        <w:tblPrEx>
          <w:tblCellMar>
            <w:top w:w="0" w:type="dxa"/>
            <w:bottom w:w="0" w:type="dxa"/>
          </w:tblCellMar>
        </w:tblPrEx>
        <w:tc>
          <w:tcPr>
            <w:tcW w:w="4748" w:type="dxa"/>
            <w:shd w:val="clear" w:color="auto" w:fill="E6E6E6"/>
          </w:tcPr>
          <w:p w:rsidR="00E2210F" w:rsidRDefault="00E2210F">
            <w:r>
              <w:t>Popis kolonií</w:t>
            </w:r>
          </w:p>
        </w:tc>
        <w:tc>
          <w:tcPr>
            <w:tcW w:w="2552" w:type="dxa"/>
            <w:shd w:val="clear" w:color="auto" w:fill="E6E6E6"/>
          </w:tcPr>
          <w:p w:rsidR="00E2210F" w:rsidRDefault="00E2210F">
            <w:r>
              <w:t>Výsledek oxidázového testu</w:t>
            </w:r>
          </w:p>
        </w:tc>
        <w:tc>
          <w:tcPr>
            <w:tcW w:w="1912" w:type="dxa"/>
            <w:shd w:val="clear" w:color="auto" w:fill="E6E6E6"/>
          </w:tcPr>
          <w:p w:rsidR="00E2210F" w:rsidRDefault="00E2210F">
            <w:r>
              <w:t>Další poznámky</w:t>
            </w:r>
          </w:p>
        </w:tc>
      </w:tr>
      <w:tr w:rsidR="00E2210F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</w:tbl>
    <w:p w:rsidR="00E2210F" w:rsidRDefault="00E2210F">
      <w:pPr>
        <w:pStyle w:val="Nadpis2"/>
      </w:pPr>
      <w:r>
        <w:t>Úkol 8: Ureázový test v diagnostice helikobaktera</w:t>
      </w:r>
    </w:p>
    <w:p w:rsidR="00E2210F" w:rsidRDefault="00E2210F">
      <w:r>
        <w:t>V diagnostice helikobakterů se využívá mj. ureázový test, provedený přímo s bioptickým vzorkem žaludeční sliznice (nikoli tedy s kmenem – výjimka!). Bioptát se vloží do půdy obsahující ureu a indikátor. V pozitivním případě tekutina zčervená, v negativním případě zůstane žlutá.</w:t>
      </w:r>
    </w:p>
    <w:p w:rsidR="00E2210F" w:rsidRDefault="00E2210F">
      <w:r>
        <w:t>Ze dvou vzorků (označených X a Y) vyberte, který je pozitivní.</w:t>
      </w:r>
    </w:p>
    <w:p w:rsidR="00991701" w:rsidRDefault="00991701">
      <w:pPr>
        <w:rPr>
          <w:b/>
          <w:iCs/>
        </w:rPr>
      </w:pPr>
    </w:p>
    <w:p w:rsidR="00E2210F" w:rsidRDefault="00E2210F">
      <w:r>
        <w:rPr>
          <w:b/>
        </w:rPr>
        <w:t>Výsledek:</w:t>
      </w:r>
      <w:r>
        <w:t xml:space="preserve"> Pozitivní je vzorek ____, negativní je vzorek ____.</w:t>
      </w:r>
    </w:p>
    <w:p w:rsidR="009D3CF6" w:rsidRDefault="009D3CF6">
      <w:pPr>
        <w:pStyle w:val="Nadpis2"/>
      </w:pPr>
    </w:p>
    <w:p w:rsidR="001F0C21" w:rsidRDefault="00BC5000" w:rsidP="0056153A">
      <w:pPr>
        <w:pStyle w:val="Nadpis2"/>
        <w:rPr>
          <w:i/>
          <w:iCs w:val="0"/>
        </w:rPr>
      </w:pPr>
      <w:r>
        <w:br w:type="page"/>
      </w:r>
      <w:r w:rsidR="001F0C21">
        <w:lastRenderedPageBreak/>
        <w:t xml:space="preserve">Úkol 9: Diagnostika skupiny </w:t>
      </w:r>
      <w:r w:rsidR="001F0C21">
        <w:rPr>
          <w:i/>
          <w:iCs w:val="0"/>
        </w:rPr>
        <w:t>Vibrio–Aeromonas</w:t>
      </w:r>
    </w:p>
    <w:p w:rsidR="001F0C21" w:rsidRDefault="001F0C21" w:rsidP="001F0C21">
      <w:r>
        <w:rPr>
          <w:i/>
        </w:rPr>
        <w:t>Vibrio</w:t>
      </w:r>
      <w:r>
        <w:t xml:space="preserve"> a </w:t>
      </w:r>
      <w:r>
        <w:rPr>
          <w:i/>
        </w:rPr>
        <w:t>Aeromonas</w:t>
      </w:r>
      <w:r>
        <w:t xml:space="preserve"> jsou bakterie blízké čeledi </w:t>
      </w:r>
      <w:r>
        <w:rPr>
          <w:i/>
        </w:rPr>
        <w:t>Enterobacteriaceae</w:t>
      </w:r>
      <w:r>
        <w:t xml:space="preserve">, ale oxidáza-pozitivní. Pro jejich kultivace užíváme speciální půdy. Vzájemné rozlišení je možné pomocí MALDI-TOF, anebo pomocí biochemických testů jako u enterobakterií, dokonce i Enterotest 16 lze využít, pro vyhodnocení však musí být použita jiná matice. Antigenní analýza se rovněž využívá. Zakreslete, jak vibria vypadají mikroskopicky, a uveďte některé jejich vlastnosti podle prezentace, kterou vám promítá učitel.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4324"/>
        <w:gridCol w:w="1872"/>
      </w:tblGrid>
      <w:tr w:rsidR="00E221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 w:val="restart"/>
          </w:tcPr>
          <w:p w:rsidR="00E2210F" w:rsidRDefault="00E2210F">
            <w:pPr>
              <w:rPr>
                <w:b/>
                <w:iCs/>
              </w:rPr>
            </w:pPr>
            <w:r>
              <w:t>Mikroskopie:</w:t>
            </w:r>
          </w:p>
        </w:tc>
        <w:tc>
          <w:tcPr>
            <w:tcW w:w="4395" w:type="dxa"/>
          </w:tcPr>
          <w:p w:rsidR="00E2210F" w:rsidRDefault="00E2210F">
            <w:r>
              <w:t>Nejdůležitější pevná půda pro kultivaci vibrií: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r>
              <w:t>Nejdůležitější tekutá půda pro kultivaci vibrií: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pPr>
              <w:rPr>
                <w:i/>
              </w:rPr>
            </w:pPr>
            <w:r>
              <w:t xml:space="preserve">Dva nejdůležitější serovary </w:t>
            </w:r>
            <w:r>
              <w:rPr>
                <w:i/>
              </w:rPr>
              <w:t>V. cholerae: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r>
              <w:t xml:space="preserve">Dva nejdůležitější biovary </w:t>
            </w:r>
            <w:r>
              <w:rPr>
                <w:i/>
              </w:rPr>
              <w:t>V. cholerae</w:t>
            </w:r>
            <w:r>
              <w:t xml:space="preserve"> O1: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</w:tbl>
    <w:p w:rsidR="00E2210F" w:rsidRDefault="00E2210F" w:rsidP="00525BE5">
      <w:pPr>
        <w:pStyle w:val="Nadpis2"/>
      </w:pPr>
    </w:p>
    <w:sectPr w:rsidR="00E221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1E" w:rsidRDefault="009A4F1E">
      <w:r>
        <w:separator/>
      </w:r>
    </w:p>
  </w:endnote>
  <w:endnote w:type="continuationSeparator" w:id="0">
    <w:p w:rsidR="009A4F1E" w:rsidRDefault="009A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C" w:rsidRDefault="00B8661C" w:rsidP="009B47EC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063E86">
      <w:rPr>
        <w:sz w:val="24"/>
      </w:rPr>
      <w:t>Zubní</w:t>
    </w:r>
    <w:r>
      <w:rPr>
        <w:sz w:val="24"/>
      </w:rPr>
      <w:t xml:space="preserve"> lékařství</w:t>
    </w:r>
    <w:r>
      <w:rPr>
        <w:sz w:val="24"/>
      </w:rPr>
      <w:tab/>
      <w:t xml:space="preserve">Datum </w:t>
    </w:r>
    <w:r w:rsidR="00B651BA">
      <w:rPr>
        <w:sz w:val="24"/>
      </w:rPr>
      <w:t>8</w:t>
    </w:r>
    <w:r>
      <w:rPr>
        <w:sz w:val="24"/>
      </w:rPr>
      <w:t>. 10. 201</w:t>
    </w:r>
    <w:r w:rsidR="00B651BA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F0C21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1E" w:rsidRDefault="009A4F1E">
      <w:r>
        <w:separator/>
      </w:r>
    </w:p>
  </w:footnote>
  <w:footnote w:type="continuationSeparator" w:id="0">
    <w:p w:rsidR="009A4F1E" w:rsidRDefault="009A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C" w:rsidRPr="00772A03" w:rsidRDefault="00063E86" w:rsidP="00991701">
    <w:pPr>
      <w:rPr>
        <w:sz w:val="24"/>
        <w:szCs w:val="24"/>
      </w:rPr>
    </w:pPr>
    <w:r>
      <w:rPr>
        <w:sz w:val="24"/>
        <w:szCs w:val="24"/>
      </w:rPr>
      <w:t>Z</w:t>
    </w:r>
    <w:r w:rsidR="00B8661C" w:rsidRPr="00772A03">
      <w:rPr>
        <w:sz w:val="24"/>
        <w:szCs w:val="24"/>
      </w:rPr>
      <w:t xml:space="preserve">LLM0522c – Lékařská </w:t>
    </w:r>
    <w:r>
      <w:rPr>
        <w:sz w:val="24"/>
        <w:szCs w:val="24"/>
      </w:rPr>
      <w:t xml:space="preserve">orální </w:t>
    </w:r>
    <w:r w:rsidR="00B8661C" w:rsidRPr="00772A03">
      <w:rPr>
        <w:sz w:val="24"/>
        <w:szCs w:val="24"/>
      </w:rPr>
      <w:t>mikrobiologie II, praktická cvičení. Protokol k tématu P0</w:t>
    </w:r>
    <w:r w:rsidR="00B8661C">
      <w:rPr>
        <w:sz w:val="24"/>
        <w:szCs w:val="24"/>
      </w:rPr>
      <w:t>4</w:t>
    </w:r>
  </w:p>
  <w:p w:rsidR="00B8661C" w:rsidRPr="00991701" w:rsidRDefault="00B8661C" w:rsidP="00991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F06D4"/>
    <w:multiLevelType w:val="hybridMultilevel"/>
    <w:tmpl w:val="65829B6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26D3F"/>
    <w:multiLevelType w:val="hybridMultilevel"/>
    <w:tmpl w:val="370AEF4C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2506AD"/>
    <w:multiLevelType w:val="hybridMultilevel"/>
    <w:tmpl w:val="73AE5506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56"/>
    <w:rsid w:val="00063E86"/>
    <w:rsid w:val="00074164"/>
    <w:rsid w:val="001309DF"/>
    <w:rsid w:val="001D252A"/>
    <w:rsid w:val="001F0C21"/>
    <w:rsid w:val="001F5A08"/>
    <w:rsid w:val="00212F56"/>
    <w:rsid w:val="002D2CC8"/>
    <w:rsid w:val="004A3C32"/>
    <w:rsid w:val="004D3A5E"/>
    <w:rsid w:val="00507BB2"/>
    <w:rsid w:val="00525BE5"/>
    <w:rsid w:val="00581267"/>
    <w:rsid w:val="006100FB"/>
    <w:rsid w:val="00613180"/>
    <w:rsid w:val="00621E15"/>
    <w:rsid w:val="00676808"/>
    <w:rsid w:val="007D25F1"/>
    <w:rsid w:val="00817FB1"/>
    <w:rsid w:val="008A1334"/>
    <w:rsid w:val="00991701"/>
    <w:rsid w:val="009A4F1E"/>
    <w:rsid w:val="009B47EC"/>
    <w:rsid w:val="009D3CF6"/>
    <w:rsid w:val="00A14966"/>
    <w:rsid w:val="00A301F0"/>
    <w:rsid w:val="00AF31C1"/>
    <w:rsid w:val="00B145E8"/>
    <w:rsid w:val="00B651BA"/>
    <w:rsid w:val="00B8661C"/>
    <w:rsid w:val="00BC5000"/>
    <w:rsid w:val="00C143F0"/>
    <w:rsid w:val="00C77312"/>
    <w:rsid w:val="00E20786"/>
    <w:rsid w:val="00E2210F"/>
    <w:rsid w:val="00E86FA2"/>
    <w:rsid w:val="00E90697"/>
    <w:rsid w:val="00EA1F8B"/>
    <w:rsid w:val="00F372FB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AC9DD"/>
  <w15:chartTrackingRefBased/>
  <w15:docId w15:val="{CCB5A475-96BB-4AB8-8BB2-658F3006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212F5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P04: Diagnostika enterobakterií a bakteriálních původců gastrointestinálních infekcí</vt:lpstr>
    </vt:vector>
  </TitlesOfParts>
  <Company> 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P04: Diagnostika enterobakterií a bakteriálních původců gastrointestinálních infekcí</dc:title>
  <dc:subject/>
  <dc:creator>MU</dc:creator>
  <cp:keywords/>
  <dc:description/>
  <cp:lastModifiedBy>FNuSA</cp:lastModifiedBy>
  <cp:revision>3</cp:revision>
  <dcterms:created xsi:type="dcterms:W3CDTF">2018-10-02T15:22:00Z</dcterms:created>
  <dcterms:modified xsi:type="dcterms:W3CDTF">2018-10-02T15:28:00Z</dcterms:modified>
</cp:coreProperties>
</file>