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3E" w:rsidRPr="00364E77" w:rsidRDefault="00F7773E" w:rsidP="006F5C25">
      <w:pPr>
        <w:jc w:val="center"/>
        <w:rPr>
          <w:b/>
        </w:rPr>
      </w:pPr>
      <w:bookmarkStart w:id="0" w:name="_GoBack"/>
      <w:bookmarkEnd w:id="0"/>
      <w:r w:rsidRPr="00364E77">
        <w:rPr>
          <w:b/>
        </w:rPr>
        <w:t xml:space="preserve">Název výukové jednotky: </w:t>
      </w:r>
      <w:proofErr w:type="spellStart"/>
      <w:r>
        <w:rPr>
          <w:b/>
        </w:rPr>
        <w:t>Spazmolytika</w:t>
      </w:r>
      <w:proofErr w:type="spellEnd"/>
    </w:p>
    <w:p w:rsidR="00F7773E" w:rsidRDefault="00F7773E" w:rsidP="00F96A77">
      <w:pPr>
        <w:rPr>
          <w:b/>
          <w:bCs/>
        </w:rPr>
      </w:pPr>
    </w:p>
    <w:p w:rsidR="00F96A77" w:rsidRDefault="00F96A77" w:rsidP="00F96A77">
      <w:pPr>
        <w:rPr>
          <w:b/>
        </w:rPr>
      </w:pPr>
      <w:r>
        <w:rPr>
          <w:b/>
        </w:rPr>
        <w:t>Rozsah a typ výuky:</w:t>
      </w:r>
    </w:p>
    <w:p w:rsidR="00F96A77" w:rsidRPr="00B86CBA" w:rsidRDefault="00F96A77" w:rsidP="00F96A77">
      <w:r w:rsidRPr="00B86CBA">
        <w:t xml:space="preserve">přednáška </w:t>
      </w:r>
      <w:r>
        <w:t>0</w:t>
      </w:r>
      <w:r w:rsidRPr="00B86CBA">
        <w:t>h</w:t>
      </w:r>
    </w:p>
    <w:p w:rsidR="00F96A77" w:rsidRPr="00B86CBA" w:rsidRDefault="00F96A77" w:rsidP="00F96A77">
      <w:r w:rsidRPr="00B86CBA">
        <w:t xml:space="preserve">cvičení </w:t>
      </w:r>
      <w:r>
        <w:t>1</w:t>
      </w:r>
      <w:r w:rsidRPr="00B86CBA">
        <w:t>h</w:t>
      </w:r>
    </w:p>
    <w:p w:rsidR="00F96A77" w:rsidRDefault="00F96A77" w:rsidP="00F96A77">
      <w:r w:rsidRPr="00B86CBA">
        <w:t xml:space="preserve">samostudium </w:t>
      </w:r>
      <w:r>
        <w:t xml:space="preserve">1 </w:t>
      </w:r>
      <w:r w:rsidRPr="00B86CBA">
        <w:t>h</w:t>
      </w:r>
    </w:p>
    <w:p w:rsidR="00F7773E" w:rsidRPr="00364E77" w:rsidRDefault="00F7773E" w:rsidP="004E600F">
      <w:pPr>
        <w:rPr>
          <w:b/>
          <w:bCs/>
        </w:rPr>
      </w:pPr>
      <w:r w:rsidRPr="00364E77">
        <w:rPr>
          <w:b/>
          <w:bCs/>
        </w:rPr>
        <w:t>Význam výukové jednotky</w:t>
      </w:r>
    </w:p>
    <w:p w:rsidR="00F7773E" w:rsidRDefault="00F7773E" w:rsidP="00FE4ACA">
      <w:r w:rsidRPr="00FE4ACA">
        <w:t xml:space="preserve">V symptomatické léčbě bolesti mají </w:t>
      </w:r>
      <w:proofErr w:type="spellStart"/>
      <w:r w:rsidRPr="00FE4ACA">
        <w:t>spazmolytika</w:t>
      </w:r>
      <w:proofErr w:type="spellEnd"/>
      <w:r w:rsidRPr="00FE4ACA">
        <w:t xml:space="preserve"> významné postavení. Mezi jejich indikace patří spazmy v oblasti gastrointestinálního, biliárního a urogenitálního traktu, včetně biliárních a renálních kolik. Užívají se k tlumení křečových viscerálních bolestí, i pro uvolnění spazmů při diagnostických a terapeutických výkonech, např. gastroduodenální endoskopii</w:t>
      </w:r>
      <w:r w:rsidR="00FE4ACA">
        <w:t xml:space="preserve">, radiologii, aj. </w:t>
      </w:r>
      <w:proofErr w:type="spellStart"/>
      <w:r w:rsidR="00FE4ACA">
        <w:t>Cholinotropní</w:t>
      </w:r>
      <w:proofErr w:type="spellEnd"/>
      <w:r w:rsidR="00FE4ACA">
        <w:t xml:space="preserve"> </w:t>
      </w:r>
      <w:proofErr w:type="spellStart"/>
      <w:r w:rsidRPr="00FE4ACA">
        <w:t>spazmolytika</w:t>
      </w:r>
      <w:proofErr w:type="spellEnd"/>
      <w:r w:rsidRPr="00FE4ACA">
        <w:t xml:space="preserve"> ovlivňují funkce, které jsou zprostředkované neurotransmiterem acetylcholinem. Další skupina </w:t>
      </w:r>
      <w:proofErr w:type="spellStart"/>
      <w:r w:rsidRPr="00FE4ACA">
        <w:t>spazmolytik</w:t>
      </w:r>
      <w:proofErr w:type="spellEnd"/>
      <w:r w:rsidRPr="00FE4ACA">
        <w:t xml:space="preserve"> působící přímo na hladké svalové buňky</w:t>
      </w:r>
      <w:r w:rsidR="00FE4ACA">
        <w:t xml:space="preserve"> jsou </w:t>
      </w:r>
      <w:r w:rsidRPr="00FE4ACA">
        <w:t xml:space="preserve">tzv. </w:t>
      </w:r>
      <w:proofErr w:type="spellStart"/>
      <w:r w:rsidRPr="00FE4ACA">
        <w:t>muskulotropní</w:t>
      </w:r>
      <w:proofErr w:type="spellEnd"/>
      <w:r w:rsidRPr="00FE4ACA">
        <w:t xml:space="preserve"> </w:t>
      </w:r>
      <w:proofErr w:type="spellStart"/>
      <w:r w:rsidRPr="00FE4ACA">
        <w:t>spazmolytika</w:t>
      </w:r>
      <w:proofErr w:type="spellEnd"/>
      <w:r w:rsidRPr="00FE4ACA">
        <w:t>.</w:t>
      </w:r>
      <w:r w:rsidR="00EB247E">
        <w:t xml:space="preserve"> </w:t>
      </w:r>
      <w:r w:rsidRPr="00FE4ACA">
        <w:t>Cílem výukové jednotky je seznámit studenta se skupinou léčiv</w:t>
      </w:r>
      <w:r w:rsidR="00EE4D88" w:rsidRPr="00FE4ACA">
        <w:t xml:space="preserve">. </w:t>
      </w:r>
      <w:r w:rsidRPr="00FE4ACA">
        <w:t xml:space="preserve"> </w:t>
      </w:r>
    </w:p>
    <w:p w:rsidR="00F7773E" w:rsidRPr="00364E77" w:rsidRDefault="00F7773E" w:rsidP="00B52BAE">
      <w:pPr>
        <w:rPr>
          <w:b/>
        </w:rPr>
      </w:pPr>
      <w:r w:rsidRPr="00364E77">
        <w:rPr>
          <w:b/>
        </w:rPr>
        <w:t>Významné pojmy</w:t>
      </w:r>
    </w:p>
    <w:p w:rsidR="00F7773E" w:rsidRDefault="00FE4ACA" w:rsidP="0063221A">
      <w:pPr>
        <w:spacing w:after="0" w:line="240" w:lineRule="auto"/>
        <w:rPr>
          <w:bCs/>
        </w:rPr>
      </w:pPr>
      <w:proofErr w:type="spellStart"/>
      <w:r>
        <w:rPr>
          <w:bCs/>
        </w:rPr>
        <w:t>s</w:t>
      </w:r>
      <w:r w:rsidR="000B1997">
        <w:rPr>
          <w:bCs/>
        </w:rPr>
        <w:t>pazmolytika</w:t>
      </w:r>
      <w:proofErr w:type="spellEnd"/>
      <w:r w:rsidR="000B1997">
        <w:rPr>
          <w:bCs/>
        </w:rPr>
        <w:t xml:space="preserve"> </w:t>
      </w:r>
    </w:p>
    <w:p w:rsidR="00F7773E" w:rsidRDefault="00F7773E" w:rsidP="00EE4D88">
      <w:pPr>
        <w:spacing w:after="0" w:line="240" w:lineRule="auto"/>
      </w:pPr>
      <w:r w:rsidRPr="006E004B">
        <w:rPr>
          <w:bCs/>
          <w:color w:val="auto"/>
        </w:rPr>
        <w:tab/>
      </w:r>
      <w:proofErr w:type="spellStart"/>
      <w:r w:rsidR="00EE4D88">
        <w:t>parasympatolytika</w:t>
      </w:r>
      <w:proofErr w:type="spellEnd"/>
      <w:r w:rsidR="00EE4D88">
        <w:t>/</w:t>
      </w:r>
      <w:proofErr w:type="spellStart"/>
      <w:r w:rsidR="00EE4D88">
        <w:t>neurotropní</w:t>
      </w:r>
      <w:proofErr w:type="spellEnd"/>
      <w:r w:rsidR="00EE4D88">
        <w:t xml:space="preserve">  </w:t>
      </w:r>
      <w:proofErr w:type="spellStart"/>
      <w:r w:rsidR="00EE4D88">
        <w:t>spazmolytika</w:t>
      </w:r>
      <w:proofErr w:type="spellEnd"/>
    </w:p>
    <w:p w:rsidR="00F7773E" w:rsidRDefault="00FE4ACA" w:rsidP="00CC1F29">
      <w:pPr>
        <w:spacing w:after="0" w:line="240" w:lineRule="auto"/>
      </w:pPr>
      <w:r>
        <w:tab/>
      </w:r>
      <w:r>
        <w:tab/>
      </w:r>
      <w:r w:rsidR="00F7773E">
        <w:t>s terciárním dusíkem (prostupují do CNS)</w:t>
      </w:r>
    </w:p>
    <w:p w:rsidR="00FE4ACA" w:rsidRDefault="00FE4ACA" w:rsidP="00C33BC5">
      <w:pPr>
        <w:spacing w:after="0" w:line="240" w:lineRule="auto"/>
      </w:pPr>
      <w:r>
        <w:tab/>
      </w:r>
      <w:r>
        <w:tab/>
      </w:r>
      <w:r>
        <w:tab/>
      </w:r>
      <w:r w:rsidR="00F7773E" w:rsidRPr="00FE4ACA">
        <w:t>atropin</w:t>
      </w:r>
    </w:p>
    <w:p w:rsidR="00F7773E" w:rsidRDefault="00F7773E" w:rsidP="00C33BC5">
      <w:pPr>
        <w:spacing w:after="0" w:line="240" w:lineRule="auto"/>
      </w:pPr>
      <w:r>
        <w:tab/>
      </w:r>
      <w:r>
        <w:tab/>
        <w:t>s kvart</w:t>
      </w:r>
      <w:r w:rsidR="00FE4ACA">
        <w:t>e</w:t>
      </w:r>
      <w:r>
        <w:t>rním dusíkem</w:t>
      </w:r>
    </w:p>
    <w:p w:rsidR="00F7773E" w:rsidRDefault="00FE4ACA" w:rsidP="00C33BC5">
      <w:pPr>
        <w:spacing w:after="0" w:line="240" w:lineRule="auto"/>
      </w:pPr>
      <w:r>
        <w:tab/>
      </w:r>
      <w:r>
        <w:tab/>
      </w:r>
      <w:r>
        <w:tab/>
      </w:r>
      <w:proofErr w:type="spellStart"/>
      <w:r w:rsidR="00F7773E" w:rsidRPr="00364E77">
        <w:t>butylskopolamin</w:t>
      </w:r>
      <w:proofErr w:type="spellEnd"/>
    </w:p>
    <w:p w:rsidR="00F7773E" w:rsidRDefault="00FE4ACA" w:rsidP="00C33BC5">
      <w:pPr>
        <w:spacing w:after="0" w:line="240" w:lineRule="auto"/>
      </w:pPr>
      <w:r>
        <w:tab/>
      </w:r>
      <w:r>
        <w:tab/>
      </w:r>
      <w:r>
        <w:tab/>
      </w:r>
      <w:proofErr w:type="spellStart"/>
      <w:r w:rsidR="00F7773E" w:rsidRPr="00FE4ACA">
        <w:t>fenpi</w:t>
      </w:r>
      <w:r w:rsidR="00F7773E" w:rsidRPr="00FE4ACA">
        <w:rPr>
          <w:b/>
        </w:rPr>
        <w:t>verin</w:t>
      </w:r>
      <w:proofErr w:type="spellEnd"/>
    </w:p>
    <w:p w:rsidR="00F7773E" w:rsidRDefault="00F7773E" w:rsidP="00AE0890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močová </w:t>
      </w:r>
      <w:proofErr w:type="spellStart"/>
      <w:r>
        <w:t>spazmolytika</w:t>
      </w:r>
      <w:proofErr w:type="spellEnd"/>
      <w:r>
        <w:t xml:space="preserve"> </w:t>
      </w:r>
    </w:p>
    <w:p w:rsidR="00F7773E" w:rsidRDefault="00FE4ACA" w:rsidP="00AE089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F7773E">
        <w:t>soli</w:t>
      </w:r>
      <w:r w:rsidR="00F7773E" w:rsidRPr="00FE4ACA">
        <w:rPr>
          <w:b/>
        </w:rPr>
        <w:t>fenacin</w:t>
      </w:r>
      <w:proofErr w:type="spellEnd"/>
      <w:r w:rsidR="00F7773E" w:rsidRPr="00FE4ACA">
        <w:rPr>
          <w:b/>
        </w:rPr>
        <w:t xml:space="preserve"> </w:t>
      </w:r>
      <w:r w:rsidR="00F7773E">
        <w:t>(selektivní antagonista M3)</w:t>
      </w:r>
    </w:p>
    <w:p w:rsidR="00F7773E" w:rsidRPr="00E9665E" w:rsidRDefault="007E2E67" w:rsidP="00E9665E">
      <w:pPr>
        <w:spacing w:after="0" w:line="240" w:lineRule="auto"/>
        <w:rPr>
          <w:rFonts w:cs="DejaVuSerifCondensed"/>
          <w:color w:val="auto"/>
        </w:rPr>
      </w:pPr>
      <w:r>
        <w:tab/>
      </w:r>
      <w:proofErr w:type="spellStart"/>
      <w:r w:rsidR="00EE4D88">
        <w:rPr>
          <w:rFonts w:cs="DejaVuSerifCondensed"/>
          <w:color w:val="auto"/>
        </w:rPr>
        <w:t>muskulotropní</w:t>
      </w:r>
      <w:proofErr w:type="spellEnd"/>
      <w:r w:rsidR="00EE4D88">
        <w:rPr>
          <w:rFonts w:cs="DejaVuSerifCondensed"/>
          <w:color w:val="auto"/>
        </w:rPr>
        <w:t xml:space="preserve"> </w:t>
      </w:r>
      <w:proofErr w:type="spellStart"/>
      <w:r w:rsidR="00EE4D88">
        <w:rPr>
          <w:rFonts w:cs="DejaVuSerifCondensed"/>
          <w:color w:val="auto"/>
        </w:rPr>
        <w:t>spazmolytika</w:t>
      </w:r>
      <w:proofErr w:type="spellEnd"/>
    </w:p>
    <w:p w:rsidR="00F7773E" w:rsidRPr="00E9665E" w:rsidRDefault="00F7773E" w:rsidP="00E9665E">
      <w:pPr>
        <w:spacing w:after="0" w:line="240" w:lineRule="auto"/>
        <w:rPr>
          <w:rFonts w:cs="DejaVuSerifCondensed"/>
          <w:color w:val="auto"/>
        </w:rPr>
      </w:pPr>
      <w:r w:rsidRPr="003E4B2A">
        <w:rPr>
          <w:rFonts w:cs="DejaVuSerifCondensed"/>
          <w:color w:val="FF0000"/>
        </w:rPr>
        <w:tab/>
      </w:r>
      <w:r w:rsidRPr="00E9665E">
        <w:rPr>
          <w:rFonts w:cs="DejaVuSerifCondensed"/>
          <w:color w:val="auto"/>
        </w:rPr>
        <w:t xml:space="preserve"> </w:t>
      </w:r>
      <w:r w:rsidRPr="00E9665E">
        <w:rPr>
          <w:rFonts w:cs="DejaVuSerifCondensed"/>
          <w:color w:val="auto"/>
        </w:rPr>
        <w:tab/>
      </w:r>
      <w:r w:rsidRPr="00E9665E">
        <w:rPr>
          <w:rFonts w:cs="DejaVuSerifCondensed"/>
          <w:color w:val="auto"/>
        </w:rPr>
        <w:tab/>
      </w:r>
      <w:proofErr w:type="spellStart"/>
      <w:r w:rsidR="006E004B">
        <w:rPr>
          <w:rFonts w:cs="DejaVuSerifCondensed"/>
          <w:color w:val="auto"/>
        </w:rPr>
        <w:t>m</w:t>
      </w:r>
      <w:r w:rsidRPr="00E9665E">
        <w:rPr>
          <w:rFonts w:cs="DejaVuSerifCondensed"/>
          <w:color w:val="auto"/>
        </w:rPr>
        <w:t>ebe</w:t>
      </w:r>
      <w:r w:rsidRPr="00FE4ACA">
        <w:rPr>
          <w:rFonts w:cs="DejaVuSerifCondensed"/>
          <w:b/>
          <w:color w:val="auto"/>
        </w:rPr>
        <w:t>verin</w:t>
      </w:r>
      <w:proofErr w:type="spellEnd"/>
    </w:p>
    <w:p w:rsidR="00F7773E" w:rsidRPr="00E9665E" w:rsidRDefault="00F7773E" w:rsidP="007E2E67">
      <w:pPr>
        <w:spacing w:after="0" w:line="240" w:lineRule="auto"/>
        <w:rPr>
          <w:rFonts w:cs="DejaVuSerifCondensed"/>
          <w:color w:val="auto"/>
        </w:rPr>
      </w:pPr>
      <w:r w:rsidRPr="00E9665E">
        <w:rPr>
          <w:rFonts w:cs="DejaVuSerifCondensed"/>
          <w:color w:val="auto"/>
        </w:rPr>
        <w:tab/>
      </w:r>
      <w:r w:rsidRPr="00E9665E">
        <w:rPr>
          <w:rFonts w:cs="DejaVuSerifCondensed"/>
          <w:color w:val="auto"/>
        </w:rPr>
        <w:tab/>
        <w:t xml:space="preserve"> </w:t>
      </w:r>
      <w:r w:rsidRPr="00E9665E">
        <w:rPr>
          <w:rFonts w:cs="DejaVuSerifCondensed"/>
          <w:color w:val="auto"/>
        </w:rPr>
        <w:tab/>
      </w:r>
      <w:proofErr w:type="spellStart"/>
      <w:r w:rsidR="006E004B">
        <w:rPr>
          <w:rFonts w:cs="DejaVuSerifCondensed"/>
          <w:color w:val="auto"/>
        </w:rPr>
        <w:t>p</w:t>
      </w:r>
      <w:r w:rsidRPr="00E9665E">
        <w:rPr>
          <w:rFonts w:cs="DejaVuSerifCondensed"/>
          <w:color w:val="auto"/>
        </w:rPr>
        <w:t>itofenon</w:t>
      </w:r>
      <w:proofErr w:type="spellEnd"/>
    </w:p>
    <w:p w:rsidR="00F7773E" w:rsidRPr="00E9665E" w:rsidRDefault="00EE4D88" w:rsidP="00E9665E">
      <w:pPr>
        <w:spacing w:after="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spazmoanalgetické</w:t>
      </w:r>
      <w:proofErr w:type="spellEnd"/>
      <w:r>
        <w:rPr>
          <w:rFonts w:cs="DejaVuSerifCondensed"/>
          <w:color w:val="auto"/>
        </w:rPr>
        <w:t xml:space="preserve"> kombinace</w:t>
      </w:r>
      <w:r w:rsidR="00F7773E" w:rsidRPr="00E9665E">
        <w:rPr>
          <w:rFonts w:cs="DejaVuSerifCondensed"/>
          <w:color w:val="auto"/>
        </w:rPr>
        <w:tab/>
      </w:r>
    </w:p>
    <w:p w:rsidR="00350BA6" w:rsidRPr="007E2E67" w:rsidRDefault="00F7773E" w:rsidP="007E2E67">
      <w:pPr>
        <w:spacing w:after="0" w:line="240" w:lineRule="auto"/>
        <w:ind w:left="360"/>
        <w:rPr>
          <w:rFonts w:cs="DejaVuSerifCondensed"/>
          <w:color w:val="auto"/>
        </w:rPr>
      </w:pPr>
      <w:r w:rsidRPr="00E9665E">
        <w:rPr>
          <w:rFonts w:cs="DejaVuSerifCondensed"/>
          <w:color w:val="auto"/>
        </w:rPr>
        <w:t xml:space="preserve"> </w:t>
      </w:r>
      <w:r w:rsidRPr="00E9665E">
        <w:rPr>
          <w:rFonts w:cs="DejaVuSerifCondensed"/>
          <w:color w:val="auto"/>
        </w:rPr>
        <w:tab/>
      </w:r>
      <w:r w:rsidRPr="00E9665E">
        <w:rPr>
          <w:rFonts w:cs="DejaVuSerifCondensed"/>
          <w:color w:val="auto"/>
        </w:rPr>
        <w:tab/>
      </w:r>
      <w:r w:rsidR="007E2E67">
        <w:rPr>
          <w:rFonts w:cs="DejaVuSerifCondensed"/>
          <w:color w:val="auto"/>
        </w:rPr>
        <w:tab/>
      </w:r>
      <w:proofErr w:type="spellStart"/>
      <w:r w:rsidR="007E2E67">
        <w:rPr>
          <w:rFonts w:cs="DejaVuSerifCondensed"/>
          <w:color w:val="auto"/>
        </w:rPr>
        <w:t>m</w:t>
      </w:r>
      <w:r w:rsidR="00F96A77" w:rsidRPr="007E2E67">
        <w:rPr>
          <w:rFonts w:cs="DejaVuSerifCondensed"/>
          <w:color w:val="auto"/>
        </w:rPr>
        <w:t>etamizol</w:t>
      </w:r>
      <w:proofErr w:type="spellEnd"/>
      <w:r w:rsidR="00F96A77" w:rsidRPr="007E2E67">
        <w:rPr>
          <w:rFonts w:cs="DejaVuSerifCondensed"/>
          <w:color w:val="auto"/>
        </w:rPr>
        <w:t xml:space="preserve"> + </w:t>
      </w:r>
      <w:proofErr w:type="spellStart"/>
      <w:r w:rsidR="00F96A77" w:rsidRPr="007E2E67">
        <w:rPr>
          <w:rFonts w:cs="DejaVuSerifCondensed"/>
          <w:color w:val="auto"/>
        </w:rPr>
        <w:t>pitofenon</w:t>
      </w:r>
      <w:proofErr w:type="spellEnd"/>
    </w:p>
    <w:p w:rsidR="00350BA6" w:rsidRPr="007E2E67" w:rsidRDefault="007E2E67" w:rsidP="007E2E67">
      <w:pPr>
        <w:spacing w:after="0" w:line="240" w:lineRule="auto"/>
        <w:ind w:left="1776" w:firstLine="348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m</w:t>
      </w:r>
      <w:r w:rsidR="00F96A77" w:rsidRPr="007E2E67">
        <w:rPr>
          <w:rFonts w:cs="DejaVuSerifCondensed"/>
          <w:color w:val="auto"/>
        </w:rPr>
        <w:t>etamizol</w:t>
      </w:r>
      <w:proofErr w:type="spellEnd"/>
      <w:r w:rsidR="00F96A77" w:rsidRPr="007E2E67">
        <w:rPr>
          <w:rFonts w:cs="DejaVuSerifCondensed"/>
          <w:color w:val="auto"/>
        </w:rPr>
        <w:t xml:space="preserve"> + </w:t>
      </w:r>
      <w:proofErr w:type="spellStart"/>
      <w:r w:rsidR="00F96A77" w:rsidRPr="007E2E67">
        <w:rPr>
          <w:rFonts w:cs="DejaVuSerifCondensed"/>
          <w:color w:val="auto"/>
        </w:rPr>
        <w:t>pitofenon</w:t>
      </w:r>
      <w:proofErr w:type="spellEnd"/>
      <w:r w:rsidR="00F96A77" w:rsidRPr="007E2E67">
        <w:rPr>
          <w:rFonts w:cs="DejaVuSerifCondensed"/>
          <w:color w:val="auto"/>
        </w:rPr>
        <w:t xml:space="preserve"> + </w:t>
      </w:r>
      <w:proofErr w:type="spellStart"/>
      <w:r w:rsidR="00F96A77" w:rsidRPr="007E2E67">
        <w:rPr>
          <w:rFonts w:cs="DejaVuSerifCondensed"/>
          <w:color w:val="auto"/>
        </w:rPr>
        <w:t>fenpiverin</w:t>
      </w:r>
      <w:proofErr w:type="spellEnd"/>
    </w:p>
    <w:p w:rsidR="00F7773E" w:rsidRPr="00E9665E" w:rsidRDefault="00F7773E" w:rsidP="00E9665E">
      <w:pPr>
        <w:spacing w:after="0" w:line="240" w:lineRule="auto"/>
        <w:rPr>
          <w:rFonts w:cs="DejaVuSerifCondensed"/>
          <w:color w:val="auto"/>
        </w:rPr>
      </w:pPr>
    </w:p>
    <w:p w:rsidR="00F7773E" w:rsidRPr="00364E77" w:rsidRDefault="00F7773E" w:rsidP="007A32A7">
      <w:pPr>
        <w:spacing w:after="0" w:line="240" w:lineRule="auto"/>
        <w:rPr>
          <w:rFonts w:cs="DejaVuSerifCondensed"/>
          <w:color w:val="FF0000"/>
        </w:rPr>
      </w:pPr>
      <w:r w:rsidRPr="003E4B2A">
        <w:rPr>
          <w:rFonts w:cs="DejaVuSerifCondensed"/>
          <w:color w:val="FF0000"/>
        </w:rPr>
        <w:tab/>
      </w:r>
    </w:p>
    <w:p w:rsidR="00F7773E" w:rsidRPr="00364E77" w:rsidRDefault="00F7773E" w:rsidP="007A32A7">
      <w:pPr>
        <w:spacing w:after="0" w:line="240" w:lineRule="auto"/>
        <w:rPr>
          <w:b/>
        </w:rPr>
      </w:pPr>
      <w:r w:rsidRPr="00364E77">
        <w:rPr>
          <w:b/>
        </w:rPr>
        <w:t>Výstupy z učení</w:t>
      </w:r>
    </w:p>
    <w:p w:rsidR="00F7773E" w:rsidRPr="00FE4ACA" w:rsidRDefault="00F7773E" w:rsidP="004F6BAB">
      <w:pPr>
        <w:spacing w:after="0" w:line="240" w:lineRule="auto"/>
        <w:rPr>
          <w:bCs/>
        </w:rPr>
      </w:pPr>
      <w:r w:rsidRPr="00FE4ACA">
        <w:rPr>
          <w:bCs/>
        </w:rPr>
        <w:t xml:space="preserve">Student rozdělí </w:t>
      </w:r>
      <w:proofErr w:type="spellStart"/>
      <w:r w:rsidRPr="00FE4ACA">
        <w:rPr>
          <w:bCs/>
        </w:rPr>
        <w:t>spazmolytika</w:t>
      </w:r>
      <w:proofErr w:type="spellEnd"/>
      <w:r w:rsidRPr="00FE4ACA">
        <w:rPr>
          <w:bCs/>
        </w:rPr>
        <w:t xml:space="preserve"> podle mechanismu účinku. </w:t>
      </w:r>
    </w:p>
    <w:p w:rsidR="00F7773E" w:rsidRPr="00FE4ACA" w:rsidRDefault="00F7773E" w:rsidP="004F6BAB">
      <w:pPr>
        <w:spacing w:after="0" w:line="240" w:lineRule="auto"/>
        <w:rPr>
          <w:bCs/>
        </w:rPr>
      </w:pPr>
      <w:r w:rsidRPr="00FE4ACA">
        <w:rPr>
          <w:bCs/>
        </w:rPr>
        <w:t xml:space="preserve">Student </w:t>
      </w:r>
      <w:r w:rsidR="006E004B" w:rsidRPr="00FE4ACA">
        <w:rPr>
          <w:bCs/>
        </w:rPr>
        <w:t xml:space="preserve">charakterizuje skupinu </w:t>
      </w:r>
      <w:proofErr w:type="spellStart"/>
      <w:r w:rsidRPr="00FE4ACA">
        <w:rPr>
          <w:bCs/>
        </w:rPr>
        <w:t>parasympatolyti</w:t>
      </w:r>
      <w:r w:rsidR="006E004B" w:rsidRPr="00FE4ACA">
        <w:rPr>
          <w:bCs/>
        </w:rPr>
        <w:t>k</w:t>
      </w:r>
      <w:proofErr w:type="spellEnd"/>
      <w:r w:rsidR="006E004B" w:rsidRPr="00FE4ACA">
        <w:rPr>
          <w:bCs/>
        </w:rPr>
        <w:t xml:space="preserve"> a </w:t>
      </w:r>
      <w:proofErr w:type="spellStart"/>
      <w:r w:rsidR="006E004B" w:rsidRPr="00FE4ACA">
        <w:rPr>
          <w:bCs/>
        </w:rPr>
        <w:t>muskulotropních</w:t>
      </w:r>
      <w:proofErr w:type="spellEnd"/>
      <w:r w:rsidR="006E004B" w:rsidRPr="00FE4ACA">
        <w:rPr>
          <w:bCs/>
        </w:rPr>
        <w:t xml:space="preserve"> </w:t>
      </w:r>
      <w:proofErr w:type="spellStart"/>
      <w:r w:rsidR="006E004B" w:rsidRPr="00FE4ACA">
        <w:rPr>
          <w:bCs/>
        </w:rPr>
        <w:t>spazmolytik</w:t>
      </w:r>
      <w:proofErr w:type="spellEnd"/>
      <w:r w:rsidRPr="00FE4ACA">
        <w:rPr>
          <w:bCs/>
        </w:rPr>
        <w:t>.</w:t>
      </w:r>
    </w:p>
    <w:p w:rsidR="00F7773E" w:rsidRPr="00FE4ACA" w:rsidRDefault="00F7773E" w:rsidP="00D749DD">
      <w:pPr>
        <w:spacing w:after="0" w:line="240" w:lineRule="auto"/>
        <w:rPr>
          <w:bCs/>
        </w:rPr>
      </w:pPr>
      <w:r w:rsidRPr="00FE4ACA">
        <w:rPr>
          <w:bCs/>
        </w:rPr>
        <w:t xml:space="preserve">Student vysvětlí mechanismus účinku </w:t>
      </w:r>
      <w:proofErr w:type="spellStart"/>
      <w:r w:rsidRPr="00FE4ACA">
        <w:rPr>
          <w:bCs/>
        </w:rPr>
        <w:t>spazmolytik</w:t>
      </w:r>
      <w:proofErr w:type="spellEnd"/>
      <w:r w:rsidRPr="00FE4ACA">
        <w:rPr>
          <w:bCs/>
        </w:rPr>
        <w:t xml:space="preserve"> a uvede základní indikace jednotlivých zástupců.</w:t>
      </w:r>
    </w:p>
    <w:p w:rsidR="00F7773E" w:rsidRPr="00FE4ACA" w:rsidRDefault="00F7773E" w:rsidP="00D749DD">
      <w:pPr>
        <w:spacing w:after="0" w:line="240" w:lineRule="auto"/>
        <w:rPr>
          <w:bCs/>
        </w:rPr>
      </w:pPr>
      <w:r w:rsidRPr="00FE4ACA">
        <w:rPr>
          <w:bCs/>
        </w:rPr>
        <w:t xml:space="preserve">Student uvede příklady vhodných kombinací </w:t>
      </w:r>
      <w:proofErr w:type="spellStart"/>
      <w:r w:rsidRPr="00FE4ACA">
        <w:rPr>
          <w:bCs/>
        </w:rPr>
        <w:t>spazmolytik</w:t>
      </w:r>
      <w:proofErr w:type="spellEnd"/>
      <w:r w:rsidRPr="00FE4ACA">
        <w:rPr>
          <w:bCs/>
        </w:rPr>
        <w:t xml:space="preserve"> s analgetiky.</w:t>
      </w:r>
    </w:p>
    <w:p w:rsidR="00F7773E" w:rsidRDefault="00F7773E" w:rsidP="007A32A7">
      <w:pPr>
        <w:spacing w:after="0" w:line="240" w:lineRule="auto"/>
        <w:rPr>
          <w:b/>
        </w:rPr>
      </w:pPr>
    </w:p>
    <w:p w:rsidR="00F96A77" w:rsidRDefault="00F96A77" w:rsidP="00F96A77">
      <w:pPr>
        <w:rPr>
          <w:b/>
        </w:rPr>
      </w:pPr>
      <w:r>
        <w:rPr>
          <w:b/>
        </w:rPr>
        <w:t>Informační zdroje</w:t>
      </w:r>
    </w:p>
    <w:p w:rsidR="00EB247E" w:rsidRDefault="00EB247E" w:rsidP="00EB247E">
      <w:r>
        <w:t>Podklady k přednáškám (IS)</w:t>
      </w:r>
    </w:p>
    <w:p w:rsidR="00F96A77" w:rsidRDefault="00F96A77" w:rsidP="00E94311">
      <w:pPr>
        <w:rPr>
          <w:b/>
        </w:rPr>
      </w:pPr>
      <w:r>
        <w:t>Farmakologie pro studenty bakalářských oborů na MU (str. 150 - 151)</w:t>
      </w:r>
    </w:p>
    <w:sectPr w:rsidR="00F96A77" w:rsidSect="007E2E6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59F"/>
    <w:multiLevelType w:val="hybridMultilevel"/>
    <w:tmpl w:val="433CD300"/>
    <w:lvl w:ilvl="0" w:tplc="6596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E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20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C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48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8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09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8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4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012B2C"/>
    <w:multiLevelType w:val="hybridMultilevel"/>
    <w:tmpl w:val="FC6C7488"/>
    <w:lvl w:ilvl="0" w:tplc="F576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2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A"/>
    <w:rsid w:val="000359E8"/>
    <w:rsid w:val="00051F5B"/>
    <w:rsid w:val="00056CFC"/>
    <w:rsid w:val="00067528"/>
    <w:rsid w:val="00080861"/>
    <w:rsid w:val="00082B43"/>
    <w:rsid w:val="00084CBE"/>
    <w:rsid w:val="00097DEC"/>
    <w:rsid w:val="000A1785"/>
    <w:rsid w:val="000A6F05"/>
    <w:rsid w:val="000B1997"/>
    <w:rsid w:val="000C46C9"/>
    <w:rsid w:val="000E5657"/>
    <w:rsid w:val="000E585A"/>
    <w:rsid w:val="00115159"/>
    <w:rsid w:val="001153AF"/>
    <w:rsid w:val="00127FF7"/>
    <w:rsid w:val="00163E8C"/>
    <w:rsid w:val="001709B1"/>
    <w:rsid w:val="00176328"/>
    <w:rsid w:val="001909B9"/>
    <w:rsid w:val="001A037B"/>
    <w:rsid w:val="001A3709"/>
    <w:rsid w:val="001A5ECC"/>
    <w:rsid w:val="001B76BD"/>
    <w:rsid w:val="001D1F7C"/>
    <w:rsid w:val="001E0094"/>
    <w:rsid w:val="001E1BFA"/>
    <w:rsid w:val="001E6197"/>
    <w:rsid w:val="001E6834"/>
    <w:rsid w:val="001F3766"/>
    <w:rsid w:val="00225140"/>
    <w:rsid w:val="00270B95"/>
    <w:rsid w:val="0027605A"/>
    <w:rsid w:val="00277538"/>
    <w:rsid w:val="00282ADA"/>
    <w:rsid w:val="00292F03"/>
    <w:rsid w:val="002C780A"/>
    <w:rsid w:val="002D7EAD"/>
    <w:rsid w:val="002E7C87"/>
    <w:rsid w:val="003458CB"/>
    <w:rsid w:val="00350BA6"/>
    <w:rsid w:val="00364E77"/>
    <w:rsid w:val="00370389"/>
    <w:rsid w:val="003A6C43"/>
    <w:rsid w:val="003C07FA"/>
    <w:rsid w:val="003E4B2A"/>
    <w:rsid w:val="004234BD"/>
    <w:rsid w:val="004266A4"/>
    <w:rsid w:val="004569BF"/>
    <w:rsid w:val="0045717D"/>
    <w:rsid w:val="004853CC"/>
    <w:rsid w:val="00490F04"/>
    <w:rsid w:val="004B0011"/>
    <w:rsid w:val="004C421B"/>
    <w:rsid w:val="004C7F0A"/>
    <w:rsid w:val="004D40C9"/>
    <w:rsid w:val="004E4045"/>
    <w:rsid w:val="004E5F8C"/>
    <w:rsid w:val="004E600F"/>
    <w:rsid w:val="004F6BAB"/>
    <w:rsid w:val="00530C47"/>
    <w:rsid w:val="005916A7"/>
    <w:rsid w:val="00594B90"/>
    <w:rsid w:val="00594DFA"/>
    <w:rsid w:val="005963F5"/>
    <w:rsid w:val="005B641D"/>
    <w:rsid w:val="005C0DDC"/>
    <w:rsid w:val="005D54B0"/>
    <w:rsid w:val="005F7BE4"/>
    <w:rsid w:val="00613F59"/>
    <w:rsid w:val="0063221A"/>
    <w:rsid w:val="00641734"/>
    <w:rsid w:val="006439B3"/>
    <w:rsid w:val="00647A2C"/>
    <w:rsid w:val="00653948"/>
    <w:rsid w:val="0065732C"/>
    <w:rsid w:val="006634B5"/>
    <w:rsid w:val="006737E7"/>
    <w:rsid w:val="00677F3E"/>
    <w:rsid w:val="00684C1C"/>
    <w:rsid w:val="006954A9"/>
    <w:rsid w:val="006C4388"/>
    <w:rsid w:val="006D00E4"/>
    <w:rsid w:val="006D0944"/>
    <w:rsid w:val="006E004B"/>
    <w:rsid w:val="006F0A2D"/>
    <w:rsid w:val="006F5C25"/>
    <w:rsid w:val="00706559"/>
    <w:rsid w:val="0078456F"/>
    <w:rsid w:val="007A30BF"/>
    <w:rsid w:val="007A32A7"/>
    <w:rsid w:val="007A6A60"/>
    <w:rsid w:val="007B02AC"/>
    <w:rsid w:val="007C623F"/>
    <w:rsid w:val="007D0D5D"/>
    <w:rsid w:val="007E2E67"/>
    <w:rsid w:val="007E56F0"/>
    <w:rsid w:val="007F6C1C"/>
    <w:rsid w:val="00807136"/>
    <w:rsid w:val="0081796A"/>
    <w:rsid w:val="00823C80"/>
    <w:rsid w:val="0083193E"/>
    <w:rsid w:val="0083426C"/>
    <w:rsid w:val="008612BF"/>
    <w:rsid w:val="008732C9"/>
    <w:rsid w:val="00876B8D"/>
    <w:rsid w:val="00883C05"/>
    <w:rsid w:val="0088448E"/>
    <w:rsid w:val="0089579B"/>
    <w:rsid w:val="008A1EE4"/>
    <w:rsid w:val="008A55DB"/>
    <w:rsid w:val="008B2628"/>
    <w:rsid w:val="008B788B"/>
    <w:rsid w:val="008C7B80"/>
    <w:rsid w:val="008D06C7"/>
    <w:rsid w:val="008E046B"/>
    <w:rsid w:val="009047F4"/>
    <w:rsid w:val="00906F8A"/>
    <w:rsid w:val="0091057E"/>
    <w:rsid w:val="0091789D"/>
    <w:rsid w:val="0092547D"/>
    <w:rsid w:val="00927CC3"/>
    <w:rsid w:val="00940233"/>
    <w:rsid w:val="00956262"/>
    <w:rsid w:val="009963AB"/>
    <w:rsid w:val="009A3F87"/>
    <w:rsid w:val="009A3F8C"/>
    <w:rsid w:val="009D1C8E"/>
    <w:rsid w:val="009F6515"/>
    <w:rsid w:val="00A3062E"/>
    <w:rsid w:val="00A61698"/>
    <w:rsid w:val="00AA21ED"/>
    <w:rsid w:val="00AA4C05"/>
    <w:rsid w:val="00AA5BD3"/>
    <w:rsid w:val="00AB7994"/>
    <w:rsid w:val="00AE0890"/>
    <w:rsid w:val="00AE1C88"/>
    <w:rsid w:val="00AF0B8A"/>
    <w:rsid w:val="00AF36B0"/>
    <w:rsid w:val="00B04FDB"/>
    <w:rsid w:val="00B12367"/>
    <w:rsid w:val="00B16DE0"/>
    <w:rsid w:val="00B17C97"/>
    <w:rsid w:val="00B43B97"/>
    <w:rsid w:val="00B52BAE"/>
    <w:rsid w:val="00B53209"/>
    <w:rsid w:val="00B67BBA"/>
    <w:rsid w:val="00B77916"/>
    <w:rsid w:val="00B87D93"/>
    <w:rsid w:val="00BD003A"/>
    <w:rsid w:val="00BD4DF6"/>
    <w:rsid w:val="00BE4066"/>
    <w:rsid w:val="00BE6481"/>
    <w:rsid w:val="00BF5AC1"/>
    <w:rsid w:val="00BF7E0A"/>
    <w:rsid w:val="00C03936"/>
    <w:rsid w:val="00C214CF"/>
    <w:rsid w:val="00C33BC5"/>
    <w:rsid w:val="00C518C1"/>
    <w:rsid w:val="00C6340C"/>
    <w:rsid w:val="00C662BF"/>
    <w:rsid w:val="00C71CCD"/>
    <w:rsid w:val="00C82B57"/>
    <w:rsid w:val="00C94116"/>
    <w:rsid w:val="00CC1F29"/>
    <w:rsid w:val="00CC29B3"/>
    <w:rsid w:val="00CD41C1"/>
    <w:rsid w:val="00CE445D"/>
    <w:rsid w:val="00CE722D"/>
    <w:rsid w:val="00D0640A"/>
    <w:rsid w:val="00D25FDF"/>
    <w:rsid w:val="00D43657"/>
    <w:rsid w:val="00D46314"/>
    <w:rsid w:val="00D524F5"/>
    <w:rsid w:val="00D66AF7"/>
    <w:rsid w:val="00D67644"/>
    <w:rsid w:val="00D71F00"/>
    <w:rsid w:val="00D749DD"/>
    <w:rsid w:val="00D825DE"/>
    <w:rsid w:val="00DA7CAA"/>
    <w:rsid w:val="00DB4D6E"/>
    <w:rsid w:val="00DC03C5"/>
    <w:rsid w:val="00DC1914"/>
    <w:rsid w:val="00DC2C90"/>
    <w:rsid w:val="00DC5D52"/>
    <w:rsid w:val="00DD3EFF"/>
    <w:rsid w:val="00DF4021"/>
    <w:rsid w:val="00E25807"/>
    <w:rsid w:val="00E2714A"/>
    <w:rsid w:val="00E628F1"/>
    <w:rsid w:val="00E67155"/>
    <w:rsid w:val="00E732F2"/>
    <w:rsid w:val="00E94311"/>
    <w:rsid w:val="00E94B6E"/>
    <w:rsid w:val="00E9665E"/>
    <w:rsid w:val="00EA00BC"/>
    <w:rsid w:val="00EB247E"/>
    <w:rsid w:val="00EE14FA"/>
    <w:rsid w:val="00EE429C"/>
    <w:rsid w:val="00EE4D88"/>
    <w:rsid w:val="00F071FF"/>
    <w:rsid w:val="00F170AD"/>
    <w:rsid w:val="00F606F8"/>
    <w:rsid w:val="00F7059C"/>
    <w:rsid w:val="00F762D4"/>
    <w:rsid w:val="00F7773E"/>
    <w:rsid w:val="00F96A77"/>
    <w:rsid w:val="00FA3B20"/>
    <w:rsid w:val="00FB2342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868D5-96F0-400B-864A-1F7376F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4853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draznn">
    <w:name w:val="Emphasis"/>
    <w:uiPriority w:val="99"/>
    <w:qFormat/>
    <w:rsid w:val="004853CC"/>
    <w:rPr>
      <w:rFonts w:cs="Times New Roman"/>
      <w:i/>
      <w:iCs/>
    </w:rPr>
  </w:style>
  <w:style w:type="character" w:customStyle="1" w:styleId="InternetLink">
    <w:name w:val="Internet Link"/>
    <w:uiPriority w:val="99"/>
    <w:rsid w:val="004853C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color w:val="auto"/>
      <w:sz w:val="20"/>
      <w:szCs w:val="20"/>
      <w:lang w:val="en-US" w:eastAsia="ja-JP"/>
    </w:rPr>
  </w:style>
  <w:style w:type="character" w:customStyle="1" w:styleId="TextkomenteChar">
    <w:name w:val="Text komentáře Char"/>
    <w:link w:val="Textkomente"/>
    <w:uiPriority w:val="99"/>
    <w:semiHidden/>
    <w:locked/>
    <w:rsid w:val="009963AB"/>
    <w:rPr>
      <w:rFonts w:cs="Times New Roman"/>
      <w:color w:val="00000A"/>
      <w:sz w:val="20"/>
      <w:szCs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963AB"/>
    <w:rPr>
      <w:rFonts w:cs="Times New Roman"/>
      <w:b/>
      <w:bCs/>
      <w:color w:val="00000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en-US" w:eastAsia="ja-JP"/>
    </w:rPr>
  </w:style>
  <w:style w:type="character" w:customStyle="1" w:styleId="TextbublinyChar">
    <w:name w:val="Text bubliny Char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34"/>
    <w:qFormat/>
    <w:rsid w:val="004853CC"/>
    <w:pPr>
      <w:ind w:left="720"/>
      <w:contextualSpacing/>
    </w:pPr>
  </w:style>
  <w:style w:type="character" w:styleId="Hypertextovodkaz">
    <w:name w:val="Hyperlink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2D7EA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výukové jednotky: Sympatotropní látky</vt:lpstr>
    </vt:vector>
  </TitlesOfParts>
  <Company>MUNI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výukové jednotky: Sympatotropní látky</dc:title>
  <dc:subject/>
  <dc:creator>Jana Pistovcakova</dc:creator>
  <cp:keywords/>
  <dc:description/>
  <cp:lastModifiedBy>Petra Amchová</cp:lastModifiedBy>
  <cp:revision>2</cp:revision>
  <dcterms:created xsi:type="dcterms:W3CDTF">2019-11-19T10:05:00Z</dcterms:created>
  <dcterms:modified xsi:type="dcterms:W3CDTF">2019-11-19T10:05:00Z</dcterms:modified>
</cp:coreProperties>
</file>